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color w:val="000000"/>
          <w:sz w:val="36"/>
          <w:szCs w:val="36"/>
        </w:rPr>
        <w:t>宁化县林业局（办）</w:t>
      </w:r>
    </w:p>
    <w:p>
      <w:pPr>
        <w:jc w:val="center"/>
        <w:rPr>
          <w:rFonts w:hint="eastAsia"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i w:val="0"/>
          <w:caps w:val="0"/>
          <w:color w:val="333333"/>
          <w:spacing w:val="0"/>
          <w:sz w:val="36"/>
          <w:szCs w:val="36"/>
          <w:shd w:val="clear" w:fill="FFFFFF"/>
        </w:rPr>
        <w:t>勘查、开采矿藏和各项建设工程占用或者征收、征用林地县级初审</w:t>
      </w:r>
      <w:r>
        <w:rPr>
          <w:rFonts w:hint="eastAsia" w:ascii="方正小标宋简体" w:hAnsi="方正小标宋简体" w:eastAsia="方正小标宋简体" w:cs="方正小标宋简体"/>
          <w:bCs/>
          <w:sz w:val="36"/>
          <w:szCs w:val="36"/>
        </w:rPr>
        <w:t>办事指南</w:t>
      </w:r>
    </w:p>
    <w:p>
      <w:pPr>
        <w:keepNext w:val="0"/>
        <w:keepLines w:val="0"/>
        <w:pageBreakBefore w:val="0"/>
        <w:widowControl w:val="0"/>
        <w:numPr>
          <w:ilvl w:val="0"/>
          <w:numId w:val="1"/>
        </w:numPr>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事项名称：</w:t>
      </w:r>
      <w:r>
        <w:rPr>
          <w:rFonts w:hint="eastAsia" w:ascii="仿宋_GB2312" w:hAnsi="仿宋_GB2312" w:eastAsia="仿宋_GB2312" w:cs="仿宋_GB2312"/>
          <w:i w:val="0"/>
          <w:caps w:val="0"/>
          <w:color w:val="333333"/>
          <w:spacing w:val="0"/>
          <w:sz w:val="28"/>
          <w:szCs w:val="28"/>
          <w:shd w:val="clear" w:fill="FFFFFF"/>
        </w:rPr>
        <w:t>勘查、开采矿藏和各项建设工程占用或者征收、征用林地县级初审</w:t>
      </w:r>
    </w:p>
    <w:p>
      <w:pPr>
        <w:keepNext w:val="0"/>
        <w:keepLines w:val="0"/>
        <w:pageBreakBefore w:val="0"/>
        <w:widowControl w:val="0"/>
        <w:numPr>
          <w:ilvl w:val="0"/>
          <w:numId w:val="1"/>
        </w:numPr>
        <w:kinsoku/>
        <w:wordWrap/>
        <w:overflowPunct/>
        <w:topLinePunct w:val="0"/>
        <w:autoSpaceDE/>
        <w:autoSpaceDN/>
        <w:bidi w:val="0"/>
        <w:adjustRightInd/>
        <w:snapToGrid/>
        <w:spacing w:line="660" w:lineRule="exact"/>
        <w:ind w:left="0" w:leftChars="0" w:firstLine="0" w:firstLineChars="0"/>
        <w:textAlignment w:val="auto"/>
        <w:rPr>
          <w:rFonts w:hint="eastAsia" w:ascii="仿宋_GB2312" w:hAnsi="仿宋_GB2312" w:eastAsia="仿宋_GB2312" w:cs="仿宋_GB2312"/>
          <w:i w:val="0"/>
          <w:caps w:val="0"/>
          <w:color w:val="333333"/>
          <w:spacing w:val="0"/>
          <w:sz w:val="28"/>
          <w:szCs w:val="28"/>
          <w:shd w:val="clear" w:fill="FFFFFF"/>
        </w:rPr>
      </w:pPr>
      <w:r>
        <w:rPr>
          <w:rFonts w:hint="eastAsia" w:ascii="仿宋_GB2312" w:hAnsi="仿宋_GB2312" w:eastAsia="仿宋_GB2312" w:cs="仿宋_GB2312"/>
          <w:sz w:val="28"/>
          <w:szCs w:val="28"/>
        </w:rPr>
        <w:t>事项类别：</w:t>
      </w:r>
      <w:r>
        <w:rPr>
          <w:rFonts w:hint="eastAsia" w:ascii="仿宋_GB2312" w:hAnsi="仿宋_GB2312" w:eastAsia="仿宋_GB2312" w:cs="仿宋_GB2312"/>
          <w:i w:val="0"/>
          <w:caps w:val="0"/>
          <w:color w:val="333333"/>
          <w:spacing w:val="0"/>
          <w:sz w:val="28"/>
          <w:szCs w:val="28"/>
          <w:shd w:val="clear" w:fill="FFFFFF"/>
        </w:rPr>
        <w:t>行政许可</w:t>
      </w:r>
    </w:p>
    <w:p>
      <w:pPr>
        <w:keepNext w:val="0"/>
        <w:keepLines w:val="0"/>
        <w:pageBreakBefore w:val="0"/>
        <w:widowControl w:val="0"/>
        <w:numPr>
          <w:ilvl w:val="0"/>
          <w:numId w:val="0"/>
        </w:numPr>
        <w:kinsoku/>
        <w:wordWrap/>
        <w:overflowPunct/>
        <w:topLinePunct w:val="0"/>
        <w:autoSpaceDE/>
        <w:autoSpaceDN/>
        <w:bidi w:val="0"/>
        <w:adjustRightInd/>
        <w:snapToGrid/>
        <w:spacing w:line="660" w:lineRule="exact"/>
        <w:ind w:leftChars="0"/>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三、办理依据：</w:t>
      </w:r>
      <w:r>
        <w:rPr>
          <w:rFonts w:hint="eastAsia" w:ascii="仿宋_GB2312" w:hAnsi="仿宋_GB2312" w:eastAsia="仿宋_GB2312" w:cs="仿宋_GB2312"/>
          <w:i w:val="0"/>
          <w:caps w:val="0"/>
          <w:color w:val="333333"/>
          <w:spacing w:val="0"/>
          <w:sz w:val="28"/>
          <w:szCs w:val="28"/>
          <w:shd w:val="clear" w:fill="FFFFFF"/>
        </w:rPr>
        <w:t>1.《</w:t>
      </w:r>
      <w:r>
        <w:rPr>
          <w:rFonts w:hint="eastAsia" w:ascii="仿宋_GB2312" w:hAnsi="仿宋_GB2312" w:eastAsia="仿宋_GB2312" w:cs="仿宋_GB2312"/>
          <w:i w:val="0"/>
          <w:caps w:val="0"/>
          <w:color w:val="418CE0"/>
          <w:spacing w:val="0"/>
          <w:sz w:val="28"/>
          <w:szCs w:val="28"/>
          <w:u w:val="none"/>
          <w:shd w:val="clear" w:fill="FFFFFF"/>
        </w:rPr>
        <w:fldChar w:fldCharType="begin"/>
      </w:r>
      <w:r>
        <w:rPr>
          <w:rFonts w:hint="eastAsia" w:ascii="仿宋_GB2312" w:hAnsi="仿宋_GB2312" w:eastAsia="仿宋_GB2312" w:cs="仿宋_GB2312"/>
          <w:i w:val="0"/>
          <w:caps w:val="0"/>
          <w:color w:val="418CE0"/>
          <w:spacing w:val="0"/>
          <w:sz w:val="28"/>
          <w:szCs w:val="28"/>
          <w:u w:val="none"/>
          <w:shd w:val="clear" w:fill="FFFFFF"/>
        </w:rPr>
        <w:instrText xml:space="preserve"> HYPERLINK "http://www.fujian.gov.cn/zcwjk/slyj/201907/t20190702_4910983.htm" \t "http://zwfw.fujian.gov.cn/person-todo/_blank" </w:instrText>
      </w:r>
      <w:r>
        <w:rPr>
          <w:rFonts w:hint="eastAsia" w:ascii="仿宋_GB2312" w:hAnsi="仿宋_GB2312" w:eastAsia="仿宋_GB2312" w:cs="仿宋_GB2312"/>
          <w:i w:val="0"/>
          <w:caps w:val="0"/>
          <w:color w:val="418CE0"/>
          <w:spacing w:val="0"/>
          <w:sz w:val="28"/>
          <w:szCs w:val="28"/>
          <w:u w:val="none"/>
          <w:shd w:val="clear" w:fill="FFFFFF"/>
        </w:rPr>
        <w:fldChar w:fldCharType="separate"/>
      </w:r>
      <w:r>
        <w:rPr>
          <w:rStyle w:val="7"/>
          <w:rFonts w:hint="eastAsia" w:ascii="仿宋_GB2312" w:hAnsi="仿宋_GB2312" w:eastAsia="仿宋_GB2312" w:cs="仿宋_GB2312"/>
          <w:i w:val="0"/>
          <w:caps w:val="0"/>
          <w:color w:val="418CE0"/>
          <w:spacing w:val="0"/>
          <w:sz w:val="28"/>
          <w:szCs w:val="28"/>
          <w:u w:val="none"/>
          <w:shd w:val="clear" w:fill="FFFFFF"/>
        </w:rPr>
        <w:t>森林法</w:t>
      </w:r>
      <w:r>
        <w:rPr>
          <w:rFonts w:hint="eastAsia" w:ascii="仿宋_GB2312" w:hAnsi="仿宋_GB2312" w:eastAsia="仿宋_GB2312" w:cs="仿宋_GB2312"/>
          <w:i w:val="0"/>
          <w:caps w:val="0"/>
          <w:color w:val="418CE0"/>
          <w:spacing w:val="0"/>
          <w:sz w:val="28"/>
          <w:szCs w:val="28"/>
          <w:u w:val="none"/>
          <w:shd w:val="clear" w:fill="FFFFFF"/>
        </w:rPr>
        <w:fldChar w:fldCharType="end"/>
      </w:r>
      <w:r>
        <w:rPr>
          <w:rFonts w:hint="eastAsia" w:ascii="仿宋_GB2312" w:hAnsi="仿宋_GB2312" w:eastAsia="仿宋_GB2312" w:cs="仿宋_GB2312"/>
          <w:i w:val="0"/>
          <w:caps w:val="0"/>
          <w:color w:val="333333"/>
          <w:spacing w:val="0"/>
          <w:sz w:val="28"/>
          <w:szCs w:val="28"/>
          <w:shd w:val="clear" w:fill="FFFFFF"/>
        </w:rPr>
        <w:t>》第三十七条矿藏勘查、开采以及其他各类工程建设，应当不占或者少占林地；确需占用林地的，应当经县级以上人民政府林业主管部门审核同意，依法办理建设用地审批手续。占用林地的单位应当缴纳森林植被恢复费。森林植被恢复费征收使用管理办法由国务院财政部门会同林业主管部门制定。县级以上人民政府林业主管部门应当按照规定安排植树造林，恢复森林植被，植树造林面积不得少于因占用林地而减少的森林植被面积。上级林业主管部门应当定期督促下级林业主管部门组织植树造林、恢复森林植被，并进行检查。</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四、受理机构：</w:t>
      </w:r>
      <w:r>
        <w:rPr>
          <w:rFonts w:hint="eastAsia" w:ascii="仿宋_GB2312" w:hAnsi="仿宋_GB2312" w:eastAsia="仿宋_GB2312" w:cs="仿宋_GB2312"/>
          <w:color w:val="333333"/>
          <w:sz w:val="28"/>
          <w:szCs w:val="28"/>
          <w:shd w:val="clear" w:color="auto" w:fill="FFFFFF"/>
        </w:rPr>
        <w:t>宁化县</w:t>
      </w:r>
      <w:r>
        <w:rPr>
          <w:rFonts w:hint="eastAsia" w:ascii="仿宋_GB2312" w:hAnsi="仿宋_GB2312" w:eastAsia="仿宋_GB2312" w:cs="仿宋_GB2312"/>
          <w:i w:val="0"/>
          <w:caps w:val="0"/>
          <w:color w:val="333333"/>
          <w:spacing w:val="0"/>
          <w:sz w:val="28"/>
          <w:szCs w:val="28"/>
          <w:shd w:val="clear" w:fill="FFFFFF"/>
        </w:rPr>
        <w:t>林业局林政股</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五、审批机构：宁化县林业局</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六、申请条件：</w:t>
      </w:r>
      <w:r>
        <w:rPr>
          <w:rFonts w:hint="eastAsia" w:ascii="仿宋_GB2312" w:hAnsi="仿宋_GB2312" w:eastAsia="仿宋_GB2312" w:cs="仿宋_GB2312"/>
          <w:i w:val="0"/>
          <w:caps w:val="0"/>
          <w:color w:val="333333"/>
          <w:spacing w:val="0"/>
          <w:sz w:val="28"/>
          <w:szCs w:val="28"/>
          <w:shd w:val="clear" w:fill="FFFFFF"/>
        </w:rPr>
        <w:t>矿藏勘查、开采以及其他各类工程建设，应当不占或者少占林地；确需占用林地的，应当经县级以上人民政府林业主管部门审核同意，依法办理建设用地审批手续</w:t>
      </w:r>
      <w:r>
        <w:rPr>
          <w:rFonts w:hint="eastAsia" w:ascii="仿宋_GB2312" w:hAnsi="仿宋_GB2312" w:eastAsia="仿宋_GB2312" w:cs="仿宋_GB2312"/>
          <w:color w:val="333333"/>
          <w:sz w:val="28"/>
          <w:szCs w:val="28"/>
          <w:shd w:val="clear" w:color="auto" w:fill="FFFFFF"/>
        </w:rPr>
        <w:t>。</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七、申请材料：⑴</w:t>
      </w:r>
      <w:r>
        <w:rPr>
          <w:rFonts w:hint="eastAsia" w:ascii="仿宋_GB2312" w:hAnsi="仿宋_GB2312" w:eastAsia="仿宋_GB2312" w:cs="仿宋_GB2312"/>
          <w:i w:val="0"/>
          <w:caps w:val="0"/>
          <w:color w:val="333333"/>
          <w:spacing w:val="0"/>
          <w:sz w:val="28"/>
          <w:szCs w:val="28"/>
          <w:shd w:val="clear" w:fill="FFFFFF"/>
        </w:rPr>
        <w:t>使用林地申请表</w:t>
      </w:r>
      <w:r>
        <w:rPr>
          <w:rFonts w:hint="eastAsia" w:ascii="仿宋_GB2312" w:hAnsi="仿宋_GB2312" w:eastAsia="仿宋_GB2312" w:cs="仿宋_GB2312"/>
          <w:color w:val="333333"/>
          <w:sz w:val="28"/>
          <w:szCs w:val="28"/>
          <w:shd w:val="clear" w:color="auto" w:fill="FFFFFF"/>
        </w:rPr>
        <w:t>；</w:t>
      </w:r>
    </w:p>
    <w:p>
      <w:pPr>
        <w:keepNext w:val="0"/>
        <w:keepLines w:val="0"/>
        <w:pageBreakBefore w:val="0"/>
        <w:widowControl w:val="0"/>
        <w:kinsoku/>
        <w:wordWrap/>
        <w:overflowPunct/>
        <w:topLinePunct w:val="0"/>
        <w:autoSpaceDE/>
        <w:autoSpaceDN/>
        <w:bidi w:val="0"/>
        <w:adjustRightInd/>
        <w:snapToGrid/>
        <w:spacing w:line="660" w:lineRule="exact"/>
        <w:ind w:firstLine="1120" w:firstLineChars="400"/>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（2）</w:t>
      </w:r>
      <w:r>
        <w:rPr>
          <w:rFonts w:hint="eastAsia" w:ascii="仿宋_GB2312" w:hAnsi="仿宋_GB2312" w:eastAsia="仿宋_GB2312" w:cs="仿宋_GB2312"/>
          <w:i w:val="0"/>
          <w:caps w:val="0"/>
          <w:color w:val="333333"/>
          <w:spacing w:val="0"/>
          <w:sz w:val="28"/>
          <w:szCs w:val="28"/>
          <w:shd w:val="clear" w:fill="FFFFFF"/>
        </w:rPr>
        <w:t>用地单位的资质证明或者个人的身份证明</w:t>
      </w:r>
      <w:r>
        <w:rPr>
          <w:rFonts w:hint="eastAsia" w:ascii="仿宋_GB2312" w:hAnsi="仿宋_GB2312" w:eastAsia="仿宋_GB2312" w:cs="仿宋_GB2312"/>
          <w:i w:val="0"/>
          <w:caps w:val="0"/>
          <w:color w:val="333333"/>
          <w:spacing w:val="0"/>
          <w:sz w:val="28"/>
          <w:szCs w:val="28"/>
          <w:shd w:val="clear" w:fill="FFFFFF"/>
          <w:lang w:val="en-US" w:eastAsia="zh-CN"/>
        </w:rPr>
        <w:t>复印件</w:t>
      </w:r>
      <w:r>
        <w:rPr>
          <w:rFonts w:hint="eastAsia" w:ascii="仿宋_GB2312" w:hAnsi="仿宋_GB2312" w:eastAsia="仿宋_GB2312" w:cs="仿宋_GB2312"/>
          <w:sz w:val="28"/>
          <w:szCs w:val="28"/>
          <w:lang w:val="en-US" w:eastAsia="zh-CN"/>
        </w:rPr>
        <w:t>（电子证照库获取）</w:t>
      </w:r>
      <w:r>
        <w:rPr>
          <w:rFonts w:hint="eastAsia" w:ascii="仿宋_GB2312" w:hAnsi="仿宋_GB2312" w:eastAsia="仿宋_GB2312" w:cs="仿宋_GB2312"/>
          <w:color w:val="333333"/>
          <w:sz w:val="28"/>
          <w:szCs w:val="28"/>
          <w:shd w:val="clear" w:color="auto" w:fill="FFFFFF"/>
        </w:rPr>
        <w:t>；</w:t>
      </w:r>
    </w:p>
    <w:p>
      <w:pPr>
        <w:keepNext w:val="0"/>
        <w:keepLines w:val="0"/>
        <w:pageBreakBefore w:val="0"/>
        <w:widowControl w:val="0"/>
        <w:kinsoku/>
        <w:wordWrap/>
        <w:overflowPunct/>
        <w:topLinePunct w:val="0"/>
        <w:autoSpaceDE/>
        <w:autoSpaceDN/>
        <w:bidi w:val="0"/>
        <w:adjustRightInd/>
        <w:snapToGrid/>
        <w:spacing w:line="660" w:lineRule="exact"/>
        <w:ind w:firstLine="1120" w:firstLineChars="400"/>
        <w:textAlignment w:val="auto"/>
        <w:rPr>
          <w:rFonts w:hint="eastAsia" w:ascii="仿宋_GB2312" w:hAnsi="仿宋_GB2312" w:eastAsia="仿宋_GB2312" w:cs="仿宋_GB2312"/>
          <w:color w:val="333333"/>
          <w:sz w:val="28"/>
          <w:szCs w:val="28"/>
          <w:shd w:val="clear" w:color="auto" w:fill="FFFFFF"/>
          <w:lang w:val="en-US" w:eastAsia="zh-CN"/>
        </w:rPr>
      </w:pPr>
      <w:r>
        <w:rPr>
          <w:rFonts w:hint="eastAsia" w:ascii="仿宋_GB2312" w:hAnsi="仿宋_GB2312" w:eastAsia="仿宋_GB2312" w:cs="仿宋_GB2312"/>
          <w:color w:val="333333"/>
          <w:sz w:val="28"/>
          <w:szCs w:val="28"/>
          <w:shd w:val="clear" w:color="auto" w:fill="FFFFFF"/>
          <w:lang w:val="en-US" w:eastAsia="zh-CN"/>
        </w:rPr>
        <w:t>(3)</w:t>
      </w:r>
      <w:r>
        <w:rPr>
          <w:rFonts w:hint="eastAsia" w:ascii="仿宋_GB2312" w:hAnsi="仿宋_GB2312" w:eastAsia="仿宋_GB2312" w:cs="仿宋_GB2312"/>
          <w:i w:val="0"/>
          <w:caps w:val="0"/>
          <w:color w:val="333333"/>
          <w:spacing w:val="0"/>
          <w:sz w:val="28"/>
          <w:szCs w:val="28"/>
          <w:shd w:val="clear" w:fill="FFFFFF"/>
        </w:rPr>
        <w:t>建设项目批准文件</w:t>
      </w:r>
      <w:r>
        <w:rPr>
          <w:rFonts w:hint="eastAsia" w:ascii="仿宋_GB2312" w:hAnsi="仿宋_GB2312" w:eastAsia="仿宋_GB2312" w:cs="仿宋_GB2312"/>
          <w:i w:val="0"/>
          <w:caps w:val="0"/>
          <w:color w:val="333333"/>
          <w:spacing w:val="0"/>
          <w:sz w:val="28"/>
          <w:szCs w:val="28"/>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660" w:lineRule="exact"/>
        <w:ind w:firstLine="840" w:firstLineChars="300"/>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color w:val="333333"/>
          <w:sz w:val="28"/>
          <w:szCs w:val="28"/>
          <w:shd w:val="clear" w:color="auto" w:fill="FFFFFF"/>
        </w:rPr>
        <w:t>（</w:t>
      </w:r>
      <w:r>
        <w:rPr>
          <w:rFonts w:hint="eastAsia" w:ascii="仿宋_GB2312" w:hAnsi="仿宋_GB2312" w:eastAsia="仿宋_GB2312" w:cs="仿宋_GB2312"/>
          <w:color w:val="333333"/>
          <w:sz w:val="28"/>
          <w:szCs w:val="28"/>
          <w:shd w:val="clear" w:color="auto" w:fill="FFFFFF"/>
          <w:lang w:val="en-US" w:eastAsia="zh-CN"/>
        </w:rPr>
        <w:t>4</w:t>
      </w:r>
      <w:r>
        <w:rPr>
          <w:rFonts w:hint="eastAsia" w:ascii="仿宋_GB2312" w:hAnsi="仿宋_GB2312" w:eastAsia="仿宋_GB2312" w:cs="仿宋_GB2312"/>
          <w:color w:val="333333"/>
          <w:sz w:val="28"/>
          <w:szCs w:val="28"/>
          <w:shd w:val="clear" w:color="auto" w:fill="FFFFFF"/>
        </w:rPr>
        <w:t>）委托书；</w:t>
      </w:r>
    </w:p>
    <w:p>
      <w:pPr>
        <w:keepNext w:val="0"/>
        <w:keepLines w:val="0"/>
        <w:pageBreakBefore w:val="0"/>
        <w:widowControl w:val="0"/>
        <w:kinsoku/>
        <w:wordWrap/>
        <w:overflowPunct/>
        <w:topLinePunct w:val="0"/>
        <w:autoSpaceDE/>
        <w:autoSpaceDN/>
        <w:bidi w:val="0"/>
        <w:adjustRightInd/>
        <w:snapToGrid/>
        <w:spacing w:line="660" w:lineRule="exact"/>
        <w:ind w:left="798" w:leftChars="380"/>
        <w:textAlignment w:val="auto"/>
        <w:rPr>
          <w:rFonts w:hint="eastAsia" w:ascii="仿宋_GB2312" w:hAnsi="仿宋_GB2312" w:eastAsia="仿宋_GB2312" w:cs="仿宋_GB2312"/>
          <w:color w:val="333333"/>
          <w:sz w:val="28"/>
          <w:szCs w:val="28"/>
          <w:shd w:val="clear" w:color="auto" w:fill="FFFFFF"/>
          <w:lang w:val="en-US" w:eastAsia="zh-CN"/>
        </w:rPr>
      </w:pPr>
      <w:r>
        <w:rPr>
          <w:rFonts w:hint="eastAsia" w:ascii="仿宋_GB2312" w:hAnsi="仿宋_GB2312" w:eastAsia="仿宋_GB2312" w:cs="仿宋_GB2312"/>
          <w:color w:val="333333"/>
          <w:sz w:val="28"/>
          <w:szCs w:val="28"/>
          <w:shd w:val="clear" w:color="auto" w:fill="FFFFFF"/>
        </w:rPr>
        <w:t>（</w:t>
      </w:r>
      <w:r>
        <w:rPr>
          <w:rFonts w:hint="eastAsia" w:ascii="仿宋_GB2312" w:hAnsi="仿宋_GB2312" w:eastAsia="仿宋_GB2312" w:cs="仿宋_GB2312"/>
          <w:color w:val="333333"/>
          <w:sz w:val="28"/>
          <w:szCs w:val="28"/>
          <w:shd w:val="clear" w:color="auto" w:fill="FFFFFF"/>
          <w:lang w:val="en-US" w:eastAsia="zh-CN"/>
        </w:rPr>
        <w:t>5</w:t>
      </w:r>
      <w:r>
        <w:rPr>
          <w:rFonts w:hint="eastAsia" w:ascii="仿宋_GB2312" w:hAnsi="仿宋_GB2312" w:eastAsia="仿宋_GB2312" w:cs="仿宋_GB2312"/>
          <w:color w:val="333333"/>
          <w:sz w:val="28"/>
          <w:szCs w:val="28"/>
          <w:shd w:val="clear" w:color="auto" w:fill="FFFFFF"/>
        </w:rPr>
        <w:t>）受托人身份证</w:t>
      </w:r>
      <w:r>
        <w:rPr>
          <w:rFonts w:hint="eastAsia" w:ascii="仿宋_GB2312" w:hAnsi="仿宋_GB2312" w:eastAsia="仿宋_GB2312" w:cs="仿宋_GB2312"/>
          <w:i w:val="0"/>
          <w:caps w:val="0"/>
          <w:color w:val="333333"/>
          <w:spacing w:val="0"/>
          <w:sz w:val="28"/>
          <w:szCs w:val="28"/>
          <w:shd w:val="clear" w:fill="FFFFFF"/>
          <w:lang w:val="en-US" w:eastAsia="zh-CN"/>
        </w:rPr>
        <w:t>复印件</w:t>
      </w:r>
      <w:r>
        <w:rPr>
          <w:rFonts w:hint="eastAsia" w:ascii="仿宋_GB2312" w:hAnsi="仿宋_GB2312" w:eastAsia="仿宋_GB2312" w:cs="仿宋_GB2312"/>
          <w:sz w:val="28"/>
          <w:szCs w:val="28"/>
          <w:lang w:val="en-US" w:eastAsia="zh-CN"/>
        </w:rPr>
        <w:t>（电子证照库获取）</w:t>
      </w:r>
      <w:r>
        <w:rPr>
          <w:rFonts w:hint="eastAsia" w:ascii="仿宋_GB2312" w:hAnsi="仿宋_GB2312" w:eastAsia="仿宋_GB2312" w:cs="仿宋_GB2312"/>
          <w:color w:val="333333"/>
          <w:sz w:val="28"/>
          <w:szCs w:val="28"/>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660" w:lineRule="exact"/>
        <w:ind w:left="798" w:leftChars="380"/>
        <w:textAlignment w:val="auto"/>
        <w:rPr>
          <w:rFonts w:hint="eastAsia" w:ascii="仿宋_GB2312" w:hAnsi="仿宋_GB2312" w:eastAsia="仿宋_GB2312" w:cs="仿宋_GB2312"/>
          <w:color w:val="333333"/>
          <w:sz w:val="28"/>
          <w:szCs w:val="28"/>
          <w:shd w:val="clear" w:color="auto" w:fill="FFFFFF"/>
          <w:lang w:val="en-US" w:eastAsia="zh-CN"/>
        </w:rPr>
      </w:pPr>
      <w:r>
        <w:rPr>
          <w:rFonts w:hint="eastAsia" w:ascii="仿宋_GB2312" w:hAnsi="仿宋_GB2312" w:eastAsia="仿宋_GB2312" w:cs="仿宋_GB2312"/>
          <w:color w:val="333333"/>
          <w:sz w:val="28"/>
          <w:szCs w:val="28"/>
          <w:shd w:val="clear" w:color="auto" w:fill="FFFFFF"/>
          <w:lang w:val="en-US" w:eastAsia="zh-CN"/>
        </w:rPr>
        <w:t>(6)</w:t>
      </w:r>
      <w:r>
        <w:rPr>
          <w:rFonts w:hint="eastAsia" w:ascii="仿宋_GB2312" w:hAnsi="仿宋_GB2312" w:eastAsia="仿宋_GB2312" w:cs="仿宋_GB2312"/>
          <w:i w:val="0"/>
          <w:caps w:val="0"/>
          <w:color w:val="333333"/>
          <w:spacing w:val="0"/>
          <w:sz w:val="28"/>
          <w:szCs w:val="28"/>
          <w:shd w:val="clear" w:fill="FFFFFF"/>
        </w:rPr>
        <w:t>建设项目使用林地可行性报告或者林地现状调查表</w:t>
      </w:r>
      <w:r>
        <w:rPr>
          <w:rFonts w:hint="eastAsia" w:ascii="仿宋_GB2312" w:hAnsi="仿宋_GB2312" w:eastAsia="仿宋_GB2312" w:cs="仿宋_GB2312"/>
          <w:i w:val="0"/>
          <w:caps w:val="0"/>
          <w:color w:val="333333"/>
          <w:spacing w:val="0"/>
          <w:sz w:val="28"/>
          <w:szCs w:val="28"/>
          <w:shd w:val="clear" w:fill="FFFFFF"/>
          <w:lang w:eastAsia="zh-CN"/>
        </w:rPr>
        <w:t>。</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八、办事流程：受理—审查—决定</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九、法定办理时限：自受理之日起20个工作日</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十、承诺办理时限：自受理之日起</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个工作日（</w:t>
      </w:r>
      <w:r>
        <w:rPr>
          <w:rFonts w:hint="eastAsia" w:ascii="仿宋_GB2312" w:hAnsi="仿宋_GB2312" w:eastAsia="仿宋_GB2312" w:cs="仿宋_GB2312"/>
          <w:i w:val="0"/>
          <w:caps w:val="0"/>
          <w:color w:val="333333"/>
          <w:spacing w:val="0"/>
          <w:sz w:val="28"/>
          <w:szCs w:val="28"/>
          <w:shd w:val="clear" w:fill="FFFFFF"/>
        </w:rPr>
        <w:t>承诺时限不含审查、实地勘验、公示所需的时间</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十一、发放证照情况：</w:t>
      </w:r>
      <w:r>
        <w:rPr>
          <w:rFonts w:hint="eastAsia" w:ascii="仿宋_GB2312" w:hAnsi="仿宋_GB2312" w:eastAsia="仿宋_GB2312" w:cs="仿宋_GB2312"/>
          <w:sz w:val="28"/>
          <w:szCs w:val="28"/>
          <w:lang w:val="en-US" w:eastAsia="zh-CN"/>
        </w:rPr>
        <w:t>福建省林业局使用林地审核同意书</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十二、收费标准：无</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十三、收费依据：无</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十四、表格下载：http://zwfw.fujian.gov.cn/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十五、填表示例：http://zwfw.fujian.gov.cn/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、投诉电话：12345</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、咨询电话：</w:t>
      </w:r>
      <w:r>
        <w:rPr>
          <w:rFonts w:hint="eastAsia" w:ascii="仿宋_GB2312" w:hAnsi="仿宋_GB2312" w:eastAsia="仿宋_GB2312" w:cs="仿宋_GB2312"/>
          <w:color w:val="333333"/>
          <w:sz w:val="28"/>
          <w:szCs w:val="28"/>
          <w:shd w:val="clear" w:color="auto" w:fill="FFFFFF"/>
        </w:rPr>
        <w:t>0598-682</w:t>
      </w:r>
      <w:r>
        <w:rPr>
          <w:rFonts w:hint="eastAsia" w:ascii="仿宋_GB2312" w:hAnsi="仿宋_GB2312" w:eastAsia="仿宋_GB2312" w:cs="仿宋_GB2312"/>
          <w:color w:val="333333"/>
          <w:sz w:val="28"/>
          <w:szCs w:val="28"/>
          <w:shd w:val="clear" w:color="auto" w:fill="FFFFFF"/>
          <w:lang w:val="en-US" w:eastAsia="zh-CN"/>
        </w:rPr>
        <w:t>2335</w:t>
      </w:r>
    </w:p>
    <w:p>
      <w:pPr>
        <w:keepNext w:val="0"/>
        <w:keepLines w:val="0"/>
        <w:pageBreakBefore w:val="0"/>
        <w:widowControl w:val="0"/>
        <w:kinsoku/>
        <w:wordWrap/>
        <w:overflowPunct/>
        <w:topLinePunct w:val="0"/>
        <w:autoSpaceDE/>
        <w:autoSpaceDN/>
        <w:bidi w:val="0"/>
        <w:adjustRightInd/>
        <w:snapToGrid/>
        <w:spacing w:line="660" w:lineRule="exact"/>
        <w:ind w:left="2240" w:hanging="2240" w:hangingChars="8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、办公时间：上午8：00—12：00；下午3:00—6:00（夏令时）</w:t>
      </w:r>
    </w:p>
    <w:p>
      <w:pPr>
        <w:keepNext w:val="0"/>
        <w:keepLines w:val="0"/>
        <w:pageBreakBefore w:val="0"/>
        <w:widowControl w:val="0"/>
        <w:kinsoku/>
        <w:wordWrap/>
        <w:overflowPunct/>
        <w:topLinePunct w:val="0"/>
        <w:autoSpaceDE/>
        <w:autoSpaceDN/>
        <w:bidi w:val="0"/>
        <w:adjustRightInd/>
        <w:snapToGrid/>
        <w:spacing w:line="660" w:lineRule="exact"/>
        <w:ind w:firstLine="2240" w:firstLineChars="8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上午8：00—12：00；下午2:30—5:30（冬令时）</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default" w:ascii="仿宋_GB2312" w:hAnsi="仿宋_GB2312" w:eastAsia="仿宋_GB2312" w:cs="仿宋_GB2312"/>
          <w:color w:val="000000"/>
          <w:sz w:val="28"/>
          <w:szCs w:val="28"/>
          <w:shd w:val="clear" w:color="auto" w:fill="FFFFFF"/>
          <w:lang w:val="en-US" w:eastAsia="zh-CN"/>
        </w:rPr>
      </w:pPr>
      <w:r>
        <w:rPr>
          <w:rFonts w:hint="eastAsia" w:ascii="仿宋_GB2312" w:hAnsi="仿宋_GB2312" w:eastAsia="仿宋_GB2312" w:cs="仿宋_GB2312"/>
          <w:color w:val="000000"/>
          <w:sz w:val="28"/>
          <w:szCs w:val="28"/>
          <w:shd w:val="clear" w:color="auto" w:fill="FFFFFF"/>
          <w:lang w:val="en-US" w:eastAsia="zh-CN"/>
        </w:rPr>
        <w:t>十九</w:t>
      </w:r>
      <w:r>
        <w:rPr>
          <w:rFonts w:hint="eastAsia" w:ascii="仿宋_GB2312" w:hAnsi="仿宋_GB2312" w:eastAsia="仿宋_GB2312" w:cs="仿宋_GB2312"/>
          <w:color w:val="000000"/>
          <w:sz w:val="28"/>
          <w:szCs w:val="28"/>
          <w:shd w:val="clear" w:color="auto" w:fill="FFFFFF"/>
        </w:rPr>
        <w:t>、办公地址：宁化县万星广场1号楼三楼行政服务中心</w:t>
      </w:r>
      <w:r>
        <w:rPr>
          <w:rFonts w:hint="eastAsia" w:ascii="仿宋_GB2312" w:hAnsi="仿宋_GB2312" w:eastAsia="仿宋_GB2312" w:cs="仿宋_GB2312"/>
          <w:color w:val="000000"/>
          <w:sz w:val="28"/>
          <w:szCs w:val="28"/>
          <w:shd w:val="clear" w:color="auto" w:fill="FFFFFF"/>
          <w:lang w:val="en-US" w:eastAsia="zh-CN"/>
        </w:rPr>
        <w:t>3楼36号</w:t>
      </w:r>
      <w:r>
        <w:rPr>
          <w:rFonts w:hint="eastAsia" w:ascii="仿宋_GB2312" w:hAnsi="仿宋_GB2312" w:eastAsia="仿宋_GB2312" w:cs="仿宋_GB2312"/>
          <w:color w:val="000000"/>
          <w:sz w:val="28"/>
          <w:szCs w:val="28"/>
          <w:shd w:val="clear" w:color="auto" w:fill="FFFFFF"/>
        </w:rPr>
        <w:t>林业窗口</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rPr>
        <w:t>二十、乘车路线：乘1、2路公交车至宁化法院站下，往江滨北路方向步行500米；乘7、8路公交车至万星广场站下</w:t>
      </w:r>
    </w:p>
    <w:p>
      <w:pPr>
        <w:keepNext w:val="0"/>
        <w:keepLines w:val="0"/>
        <w:pageBreakBefore w:val="0"/>
        <w:widowControl w:val="0"/>
        <w:kinsoku/>
        <w:wordWrap/>
        <w:overflowPunct/>
        <w:topLinePunct w:val="0"/>
        <w:autoSpaceDE/>
        <w:autoSpaceDN/>
        <w:bidi w:val="0"/>
        <w:adjustRightInd/>
        <w:snapToGrid/>
        <w:spacing w:line="660" w:lineRule="exact"/>
        <w:textAlignment w:val="auto"/>
        <w:rPr>
          <w:rFonts w:hint="eastAsia" w:ascii="仿宋_GB2312" w:hAnsi="仿宋_GB2312" w:eastAsia="仿宋_GB2312" w:cs="仿宋_GB2312"/>
          <w:color w:val="333333"/>
          <w:sz w:val="28"/>
          <w:szCs w:val="28"/>
          <w:shd w:val="clear" w:color="auto" w:fill="FFFFFF"/>
          <w:lang w:val="en-US" w:eastAsia="zh-CN"/>
        </w:rPr>
      </w:pPr>
      <w:r>
        <w:rPr>
          <w:rFonts w:hint="eastAsia" w:ascii="仿宋_GB2312" w:hAnsi="仿宋_GB2312" w:eastAsia="仿宋_GB2312" w:cs="仿宋_GB2312"/>
          <w:sz w:val="28"/>
          <w:szCs w:val="28"/>
        </w:rPr>
        <w:t>二十</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、状态查询：</w:t>
      </w:r>
      <w:r>
        <w:rPr>
          <w:rFonts w:hint="eastAsia" w:ascii="仿宋_GB2312" w:hAnsi="仿宋_GB2312" w:eastAsia="仿宋_GB2312" w:cs="仿宋_GB2312"/>
          <w:color w:val="333333"/>
          <w:sz w:val="28"/>
          <w:szCs w:val="28"/>
          <w:shd w:val="clear" w:color="auto" w:fill="FFFFFF"/>
        </w:rPr>
        <w:t>0598-68</w:t>
      </w:r>
      <w:r>
        <w:rPr>
          <w:rFonts w:hint="eastAsia" w:ascii="仿宋_GB2312" w:hAnsi="仿宋_GB2312" w:eastAsia="仿宋_GB2312" w:cs="仿宋_GB2312"/>
          <w:color w:val="333333"/>
          <w:sz w:val="28"/>
          <w:szCs w:val="28"/>
          <w:shd w:val="clear" w:color="auto" w:fill="FFFFFF"/>
          <w:lang w:val="en-US" w:eastAsia="zh-CN"/>
        </w:rPr>
        <w:t>22335</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color w:val="333333"/>
          <w:sz w:val="28"/>
          <w:szCs w:val="28"/>
          <w:shd w:val="clear" w:color="auto" w:fill="FFFFFF"/>
          <w:lang w:val="en-US" w:eastAsia="zh-CN"/>
        </w:rPr>
      </w:pPr>
    </w:p>
    <w:p>
      <w:pPr>
        <w:jc w:val="center"/>
        <w:rPr>
          <w:rFonts w:hint="eastAsia" w:ascii="方正小标宋简体" w:hAnsi="方正小标宋简体" w:eastAsia="方正小标宋简体" w:cs="方正小标宋简体"/>
          <w:bCs/>
          <w:color w:val="000000"/>
          <w:sz w:val="36"/>
          <w:szCs w:val="36"/>
        </w:rPr>
      </w:pPr>
      <w:r>
        <w:rPr>
          <w:rFonts w:hint="eastAsia" w:ascii="方正小标宋简体" w:hAnsi="方正小标宋简体" w:eastAsia="方正小标宋简体" w:cs="方正小标宋简体"/>
          <w:bCs/>
          <w:color w:val="000000"/>
          <w:sz w:val="36"/>
          <w:szCs w:val="36"/>
        </w:rPr>
        <w:drawing>
          <wp:inline distT="0" distB="0" distL="114300" distR="114300">
            <wp:extent cx="1323975" cy="1323975"/>
            <wp:effectExtent l="0" t="0" r="9525" b="9525"/>
            <wp:docPr id="1" name="图片 1" descr="item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temImage (1)"/>
                    <pic:cNvPicPr>
                      <a:picLocks noChangeAspect="1"/>
                    </pic:cNvPicPr>
                  </pic:nvPicPr>
                  <pic:blipFill>
                    <a:blip r:embed="rId4"/>
                    <a:stretch>
                      <a:fillRect/>
                    </a:stretch>
                  </pic:blipFill>
                  <pic:spPr>
                    <a:xfrm>
                      <a:off x="0" y="0"/>
                      <a:ext cx="1323975" cy="1323975"/>
                    </a:xfrm>
                    <a:prstGeom prst="rect">
                      <a:avLst/>
                    </a:prstGeom>
                  </pic:spPr>
                </pic:pic>
              </a:graphicData>
            </a:graphic>
          </wp:inline>
        </w:drawing>
      </w:r>
    </w:p>
    <w:p>
      <w:pPr>
        <w:spacing w:line="240" w:lineRule="auto"/>
        <w:jc w:val="center"/>
        <w:rPr>
          <w:rFonts w:hint="eastAsia" w:ascii="宋体" w:hAnsi="宋体" w:eastAsia="宋体"/>
          <w:b/>
          <w:bCs/>
          <w:color w:val="000000"/>
          <w:sz w:val="30"/>
          <w:szCs w:val="30"/>
          <w:shd w:val="clear" w:color="auto" w:fill="FFFFFF"/>
          <w:lang w:val="en-US" w:eastAsia="zh-CN"/>
        </w:rPr>
      </w:pPr>
      <w:r>
        <w:rPr>
          <w:rFonts w:hint="eastAsia" w:ascii="宋体" w:hAnsi="宋体" w:eastAsia="宋体"/>
          <w:b/>
          <w:bCs/>
          <w:color w:val="000000"/>
          <w:sz w:val="30"/>
          <w:szCs w:val="30"/>
          <w:shd w:val="clear" w:color="auto" w:fill="FFFFFF"/>
          <w:lang w:val="en-US" w:eastAsia="zh-CN"/>
        </w:rPr>
        <w:t>二维码扫一扫</w:t>
      </w:r>
    </w:p>
    <w:p>
      <w:pPr>
        <w:jc w:val="center"/>
        <w:rPr>
          <w:rFonts w:hint="eastAsia" w:ascii="宋体" w:hAnsi="宋体" w:eastAsia="宋体" w:cs="宋体"/>
          <w:b/>
          <w:bCs/>
          <w:color w:val="000000"/>
          <w:sz w:val="28"/>
          <w:szCs w:val="28"/>
          <w:lang w:val="en-US" w:eastAsia="zh-CN"/>
        </w:rPr>
      </w:pPr>
      <w:r>
        <w:rPr>
          <w:rFonts w:hint="eastAsia" w:ascii="宋体" w:hAnsi="宋体" w:eastAsia="宋体" w:cs="宋体"/>
          <w:b/>
          <w:bCs/>
          <w:i w:val="0"/>
          <w:caps w:val="0"/>
          <w:color w:val="333333"/>
          <w:spacing w:val="0"/>
          <w:sz w:val="28"/>
          <w:szCs w:val="28"/>
          <w:shd w:val="clear" w:fill="FFFFFF"/>
        </w:rPr>
        <w:t>勘查、开采矿藏和各项</w:t>
      </w:r>
      <w:bookmarkStart w:id="0" w:name="_GoBack"/>
      <w:bookmarkEnd w:id="0"/>
      <w:r>
        <w:rPr>
          <w:rFonts w:hint="eastAsia" w:ascii="宋体" w:hAnsi="宋体" w:eastAsia="宋体" w:cs="宋体"/>
          <w:b/>
          <w:bCs/>
          <w:i w:val="0"/>
          <w:caps w:val="0"/>
          <w:color w:val="333333"/>
          <w:spacing w:val="0"/>
          <w:sz w:val="28"/>
          <w:szCs w:val="28"/>
          <w:shd w:val="clear" w:fill="FFFFFF"/>
        </w:rPr>
        <w:t>建设工程占用或者征收、征用林地县级初审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67A93"/>
    <w:multiLevelType w:val="multilevel"/>
    <w:tmpl w:val="8FF67A93"/>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D802CB"/>
    <w:rsid w:val="00222484"/>
    <w:rsid w:val="00644384"/>
    <w:rsid w:val="00A4592B"/>
    <w:rsid w:val="0ED802CB"/>
    <w:rsid w:val="10E06EA4"/>
    <w:rsid w:val="27701D6B"/>
    <w:rsid w:val="2DD32083"/>
    <w:rsid w:val="33061E1C"/>
    <w:rsid w:val="3CDB0F97"/>
    <w:rsid w:val="3EC10ADA"/>
    <w:rsid w:val="437F0D8B"/>
    <w:rsid w:val="4E961370"/>
    <w:rsid w:val="529369E8"/>
    <w:rsid w:val="554E34A1"/>
    <w:rsid w:val="5FCE5D34"/>
    <w:rsid w:val="66060F7F"/>
    <w:rsid w:val="7A3748BB"/>
    <w:rsid w:val="7BD80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FollowedHyperlink"/>
    <w:basedOn w:val="5"/>
    <w:qFormat/>
    <w:uiPriority w:val="0"/>
    <w:rPr>
      <w:color w:val="954F72"/>
      <w:u w:val="single"/>
    </w:rPr>
  </w:style>
  <w:style w:type="character" w:styleId="7">
    <w:name w:val="Hyperlink"/>
    <w:basedOn w:val="5"/>
    <w:qFormat/>
    <w:uiPriority w:val="0"/>
    <w:rPr>
      <w:color w:val="0000FF"/>
      <w:u w:val="singl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151</Words>
  <Characters>863</Characters>
  <Lines>7</Lines>
  <Paragraphs>2</Paragraphs>
  <TotalTime>1</TotalTime>
  <ScaleCrop>false</ScaleCrop>
  <LinksUpToDate>false</LinksUpToDate>
  <CharactersWithSpaces>1012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2020-12-31T07:15:00Z</dcterms:created>
  <dc:creator>卖小红帽的灰太狼</dc:creator>
  <cp:lastModifiedBy>S m o k e</cp:lastModifiedBy>
  <dcterms:modified xsi:type="dcterms:W3CDTF">2021-05-11T06:35:27Z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26660274EBB14C5BAE3DE47AA5127AC0</vt:lpwstr>
  </property>
</Properties>
</file>