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县（市、区）级文物保护单位建设控制地带内建设工程设计方案审批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县（市、区）级文物保护单位建设控制地带内建设工程设计方案审批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[法律]《中华人民共和国文物保护法》（中华人民共和国主席令第81号） 第十八条第二款 在文物保护单位的建设控制地带内进行建设工程，不得破坏文物保护单位的历史风貌；工程设计方案应当根据文物保护单位的级别，经相应的文物行政部门同意后，报城乡建设规划部门批准。 第十九条 在文物保护单位的保护范围和建设控制地带内，不得建设污染文物保护单位及其环境的设施，不得进行可能影响文物保护单位安全及其环境的活动。对已有的污染文物保护单位及其环境的设施，应当限期治理。</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文体和旅游局文保中心</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文物保护单位建设控制地带内的建设工程不得破坏和影响文物保护单位的本体及其环境风貌的项目。</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所在地文物主管部门意见;文物保护单位本体和历史、自然环境的具体保护措施;考古勘探发掘资料;建设单位申请书（包括：建设单位名称及法人登记证明，文物保护单位名称和工程名称、地点、规模）;工程对文物可能产生破坏或影响的评估报告;建设工程的规划、设计方案（内容包括现状地形图中应标出涉及的文物保护单位及其保护范围和建设控制地带），建设工程设计方案应体现建筑物密度、高度、体量、风格的相关图纸及说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C57F1"/>
    <w:rsid w:val="11F560EB"/>
    <w:rsid w:val="2CCE1CEB"/>
    <w:rsid w:val="3378433E"/>
    <w:rsid w:val="429C6755"/>
    <w:rsid w:val="4C800E01"/>
    <w:rsid w:val="519F4F67"/>
    <w:rsid w:val="62062C78"/>
    <w:rsid w:val="68C45229"/>
    <w:rsid w:val="6C282133"/>
    <w:rsid w:val="71985DD5"/>
    <w:rsid w:val="77876593"/>
    <w:rsid w:val="78D26EAC"/>
    <w:rsid w:val="7A9425DE"/>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