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县（市、区）级文物保护单位和尚未公布为文物保护单位的不可移动文物修缮审批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县（市、区）级文物保护单位和尚未公布为文物保护单位的不可移动文物修缮审批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eastAsia="zh-CN"/>
        </w:rPr>
        <w:t>[法律]《中华人民共和国文物保护法》（中华人民共和国主席令第81号） 第二十一条 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 第二十一条第四款 对不可移动文物进行修缮、保养、迁移，必须遵守不改变文物原状的原则。 [规范性文件]《文物保护工程设计文件编制深度要求（试行）》</w:t>
      </w: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文体和旅游局文保中心</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sz w:val="28"/>
          <w:szCs w:val="28"/>
          <w:lang w:val="en-US" w:eastAsia="zh-CN"/>
        </w:rPr>
        <w:t>1、申请人为该文物保护单位的管理单位、使用单位或是所有权人； 2、保护工程方案符合《文物保护法》规定的文物修缮原则和国家文物局《文物保护工程设计文件编制深度要求（试行）》。</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申请文件，内容包括：申请单位或个人名称、文物保护单位名称，现状情况，所有权情况，修缮工程的情况说明;保护工程设计方案，内容包括：现状勘察报告、现状照片和实测图，设计说明、设计图和必要的检测资料等，工程概（预）算;文物保护单位所在地文物主管部门意见</w:t>
      </w:r>
    </w:p>
    <w:p>
      <w:pPr>
        <w:keepNext w:val="0"/>
        <w:keepLines w:val="0"/>
        <w:pageBreakBefore w:val="0"/>
        <w:numPr>
          <w:ilvl w:val="0"/>
          <w:numId w:val="2"/>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r>
        <w:rPr>
          <w:rFonts w:hint="eastAsia" w:ascii="仿宋_GB2312"/>
          <w:sz w:val="28"/>
          <w:szCs w:val="28"/>
          <w:lang w:eastAsia="zh-CN"/>
        </w:rPr>
        <w:t>（专家审查</w:t>
      </w:r>
      <w:r>
        <w:rPr>
          <w:rFonts w:hint="eastAsia" w:ascii="仿宋_GB2312"/>
          <w:sz w:val="28"/>
          <w:szCs w:val="28"/>
          <w:lang w:val="en-US" w:eastAsia="zh-CN"/>
        </w:rPr>
        <w:t>45日</w:t>
      </w:r>
      <w:r>
        <w:rPr>
          <w:rFonts w:hint="eastAsia" w:ascii="仿宋_GB2312"/>
          <w:sz w:val="28"/>
          <w:szCs w:val="28"/>
          <w:lang w:eastAsia="zh-CN"/>
        </w:rPr>
        <w:t>）</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878D30"/>
    <w:multiLevelType w:val="singleLevel"/>
    <w:tmpl w:val="DA878D30"/>
    <w:lvl w:ilvl="0" w:tentative="0">
      <w:start w:val="8"/>
      <w:numFmt w:val="chineseCounting"/>
      <w:suff w:val="nothing"/>
      <w:lvlText w:val="%1、"/>
      <w:lvlJc w:val="left"/>
      <w:rPr>
        <w:rFonts w:hint="eastAsia"/>
      </w:rPr>
    </w:lvl>
  </w:abstractNum>
  <w:abstractNum w:abstractNumId="1">
    <w:nsid w:val="24A8D5FB"/>
    <w:multiLevelType w:val="singleLevel"/>
    <w:tmpl w:val="24A8D5F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55E1F0C"/>
    <w:rsid w:val="06AC57F1"/>
    <w:rsid w:val="11F560EB"/>
    <w:rsid w:val="12330561"/>
    <w:rsid w:val="1D5C6B4D"/>
    <w:rsid w:val="21D22A9A"/>
    <w:rsid w:val="233B23EA"/>
    <w:rsid w:val="25131A9E"/>
    <w:rsid w:val="2626459D"/>
    <w:rsid w:val="2CCE1CEB"/>
    <w:rsid w:val="300C1EA4"/>
    <w:rsid w:val="3378433E"/>
    <w:rsid w:val="3FA144FB"/>
    <w:rsid w:val="429C6755"/>
    <w:rsid w:val="46B86F0E"/>
    <w:rsid w:val="4AD2236C"/>
    <w:rsid w:val="4C800E01"/>
    <w:rsid w:val="4CB2777A"/>
    <w:rsid w:val="519F4F67"/>
    <w:rsid w:val="54585D98"/>
    <w:rsid w:val="604F3C6E"/>
    <w:rsid w:val="62062C78"/>
    <w:rsid w:val="668168CF"/>
    <w:rsid w:val="668B2879"/>
    <w:rsid w:val="68C45229"/>
    <w:rsid w:val="6C282133"/>
    <w:rsid w:val="6C365993"/>
    <w:rsid w:val="70B22269"/>
    <w:rsid w:val="71985DD5"/>
    <w:rsid w:val="750C0E90"/>
    <w:rsid w:val="77876593"/>
    <w:rsid w:val="78D26EAC"/>
    <w:rsid w:val="7A9425DE"/>
    <w:rsid w:val="7BE00EEE"/>
    <w:rsid w:val="7D4F2041"/>
    <w:rsid w:val="7E25217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2021-01-06T00:55:59Z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