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outlineLvl w:val="9"/>
        <w:rPr>
          <w:rFonts w:hint="eastAsia" w:ascii="宋体" w:hAnsi="宋体" w:eastAsia="宋体"/>
          <w:b/>
          <w:color w:val="000000"/>
          <w:szCs w:val="32"/>
        </w:rPr>
      </w:pPr>
      <w:r>
        <w:rPr>
          <w:rFonts w:hint="eastAsia" w:ascii="宋体" w:hAnsi="宋体" w:eastAsia="宋体"/>
          <w:b/>
          <w:color w:val="000000"/>
          <w:szCs w:val="32"/>
        </w:rPr>
        <w:t>宁化县</w:t>
      </w:r>
      <w:r>
        <w:rPr>
          <w:rFonts w:hint="eastAsia" w:ascii="宋体" w:hAnsi="宋体" w:eastAsia="宋体"/>
          <w:b/>
          <w:color w:val="000000"/>
          <w:szCs w:val="32"/>
          <w:lang w:val="en-US" w:eastAsia="zh-CN"/>
        </w:rPr>
        <w:t>文体和旅游</w:t>
      </w:r>
      <w:r>
        <w:rPr>
          <w:rFonts w:hint="eastAsia" w:ascii="宋体" w:hAnsi="宋体" w:eastAsia="宋体"/>
          <w:b/>
          <w:color w:val="000000"/>
          <w:szCs w:val="32"/>
          <w:lang w:eastAsia="zh-CN"/>
        </w:rPr>
        <w:t>局</w:t>
      </w:r>
      <w:r>
        <w:rPr>
          <w:rFonts w:hint="eastAsia" w:asciiTheme="majorEastAsia" w:hAnsiTheme="majorEastAsia" w:eastAsiaTheme="majorEastAsia" w:cstheme="majorEastAsia"/>
          <w:b/>
          <w:bCs w:val="0"/>
          <w:color w:val="000000"/>
          <w:sz w:val="32"/>
          <w:szCs w:val="32"/>
        </w:rPr>
        <w:t>办理</w:t>
      </w:r>
      <w:bookmarkStart w:id="0" w:name="_GoBack"/>
      <w:r>
        <w:rPr>
          <w:rFonts w:hint="eastAsia" w:asciiTheme="minorEastAsia" w:hAnsiTheme="minorEastAsia" w:eastAsiaTheme="minorEastAsia" w:cstheme="minorEastAsia"/>
          <w:b/>
          <w:bCs/>
          <w:sz w:val="32"/>
          <w:szCs w:val="32"/>
          <w:u w:val="single"/>
        </w:rPr>
        <w:t>县（市、区）级文物保护单位原址保护审批</w:t>
      </w:r>
      <w:bookmarkEnd w:id="0"/>
      <w:r>
        <w:rPr>
          <w:rFonts w:hint="eastAsia" w:asciiTheme="majorEastAsia" w:hAnsiTheme="majorEastAsia" w:eastAsiaTheme="majorEastAsia" w:cstheme="majorEastAsia"/>
          <w:b/>
          <w:bCs w:val="0"/>
          <w:color w:val="000000"/>
          <w:sz w:val="32"/>
          <w:szCs w:val="32"/>
        </w:rPr>
        <w:t>服务指南</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p>
    <w:p>
      <w:pPr>
        <w:keepNext w:val="0"/>
        <w:keepLines w:val="0"/>
        <w:pageBreakBefore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b/>
          <w:sz w:val="28"/>
          <w:szCs w:val="28"/>
        </w:rPr>
        <w:t>事项名称：</w:t>
      </w:r>
      <w:r>
        <w:rPr>
          <w:rFonts w:hint="eastAsia" w:ascii="仿宋_GB2312"/>
          <w:sz w:val="28"/>
          <w:szCs w:val="28"/>
          <w:lang w:eastAsia="zh-CN"/>
        </w:rPr>
        <w:t>县（市、区）级文物保护单位原址保护审批</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二、</w:t>
      </w:r>
      <w:r>
        <w:rPr>
          <w:rFonts w:hint="eastAsia" w:ascii="仿宋_GB2312"/>
          <w:b/>
          <w:sz w:val="28"/>
          <w:szCs w:val="28"/>
        </w:rPr>
        <w:t>事项类别：</w:t>
      </w:r>
      <w:r>
        <w:rPr>
          <w:rFonts w:hint="eastAsia" w:ascii="宋体" w:hAnsi="宋体" w:eastAsia="宋体" w:cs="宋体"/>
          <w:sz w:val="24"/>
        </w:rPr>
        <w:t>行政许可</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三、</w:t>
      </w:r>
      <w:r>
        <w:rPr>
          <w:rFonts w:hint="eastAsia" w:ascii="仿宋_GB2312"/>
          <w:b/>
          <w:sz w:val="28"/>
          <w:szCs w:val="28"/>
        </w:rPr>
        <w:t>办理依据：</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eastAsia="zh-CN"/>
        </w:rPr>
        <w:t>[法律]《中华人民共和国文物保护法》（中华人民共和国主席令第81号） 第二十条第二款 建设工程选址，应当尽可能避开不可移动文物；因特殊情况不能避开的，对文物保护单位应当尽可能实施原址保护。 第二十条第三款 实施原址保护的，建设单位应当事先确定保护措施，根据文物保护单位的级别报相应的文物行政部门批准；未经批准的，不得开工建设。</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sz w:val="28"/>
          <w:szCs w:val="28"/>
          <w:lang w:val="en-US" w:eastAsia="zh-CN"/>
        </w:rPr>
      </w:pPr>
      <w:r>
        <w:rPr>
          <w:rFonts w:hint="eastAsia" w:ascii="仿宋_GB2312"/>
          <w:sz w:val="28"/>
          <w:szCs w:val="28"/>
          <w:lang w:val="en-US" w:eastAsia="zh-CN"/>
        </w:rPr>
        <w:t>四、</w:t>
      </w:r>
      <w:r>
        <w:rPr>
          <w:rFonts w:hint="eastAsia" w:ascii="仿宋_GB2312"/>
          <w:b/>
          <w:sz w:val="28"/>
          <w:szCs w:val="28"/>
        </w:rPr>
        <w:t>受理机构：</w:t>
      </w:r>
      <w:r>
        <w:rPr>
          <w:rFonts w:hint="eastAsia" w:ascii="仿宋_GB2312"/>
          <w:sz w:val="28"/>
          <w:szCs w:val="28"/>
          <w:lang w:eastAsia="zh-CN"/>
        </w:rPr>
        <w:t>宁化县</w:t>
      </w:r>
      <w:r>
        <w:rPr>
          <w:rFonts w:hint="eastAsia" w:ascii="仿宋_GB2312"/>
          <w:sz w:val="28"/>
          <w:szCs w:val="28"/>
          <w:lang w:val="en-US" w:eastAsia="zh-CN"/>
        </w:rPr>
        <w:t>文体和旅游局文保中心</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b/>
          <w:sz w:val="28"/>
          <w:szCs w:val="28"/>
          <w:lang w:val="en-US" w:eastAsia="zh-CN"/>
        </w:rPr>
      </w:pPr>
      <w:r>
        <w:rPr>
          <w:rFonts w:hint="eastAsia" w:ascii="仿宋_GB2312"/>
          <w:b/>
          <w:sz w:val="28"/>
          <w:szCs w:val="28"/>
          <w:lang w:eastAsia="zh-CN"/>
        </w:rPr>
        <w:t>五、</w:t>
      </w:r>
      <w:r>
        <w:rPr>
          <w:rFonts w:hint="eastAsia" w:ascii="仿宋_GB2312"/>
          <w:b/>
          <w:sz w:val="28"/>
          <w:szCs w:val="28"/>
        </w:rPr>
        <w:t>审批机构：</w:t>
      </w:r>
      <w:r>
        <w:rPr>
          <w:rFonts w:hint="eastAsia" w:ascii="仿宋_GB2312"/>
          <w:sz w:val="28"/>
          <w:szCs w:val="28"/>
          <w:lang w:eastAsia="zh-CN"/>
        </w:rPr>
        <w:t>宁化县</w:t>
      </w:r>
      <w:r>
        <w:rPr>
          <w:rFonts w:hint="eastAsia" w:ascii="仿宋_GB2312"/>
          <w:sz w:val="28"/>
          <w:szCs w:val="28"/>
          <w:lang w:val="en-US" w:eastAsia="zh-CN"/>
        </w:rPr>
        <w:t>文体和旅游局</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六、</w:t>
      </w:r>
      <w:r>
        <w:rPr>
          <w:rFonts w:hint="eastAsia" w:ascii="仿宋_GB2312"/>
          <w:b/>
          <w:sz w:val="28"/>
          <w:szCs w:val="28"/>
        </w:rPr>
        <w:t>申请条件：</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1、属于因特殊情况不能避开文物保护单位，实施原址保护的； 2、建设单位会同文物部门事先确定的保护措施，纳入可行性研究报告或者设计任务书。存。</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七、</w:t>
      </w:r>
      <w:r>
        <w:rPr>
          <w:rFonts w:hint="eastAsia" w:ascii="仿宋_GB2312"/>
          <w:b/>
          <w:sz w:val="28"/>
          <w:szCs w:val="28"/>
        </w:rPr>
        <w:t>申请材料：</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rPr>
        <w:t>申请文件，内容包括：申请单位和个人名称，省级文物保护单位名称、现状情况，建设项目性质，无法避开不可移动文物而确需实施原址保护的特殊情况说明及证明材料;实施原址保护的技术措施;文物保护单位保护范围与建设控制地带图和建设项目规划图，及两者之间的关系;文物保护单位所在地文物主管部门的意见</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宋体" w:hAnsi="宋体"/>
          <w:sz w:val="24"/>
        </w:rPr>
      </w:pPr>
      <w:r>
        <w:rPr>
          <w:rFonts w:hint="eastAsia" w:ascii="仿宋_GB2312"/>
          <w:b/>
          <w:sz w:val="28"/>
          <w:szCs w:val="28"/>
          <w:lang w:val="en-US" w:eastAsia="zh-CN"/>
        </w:rPr>
        <w:t>八、</w:t>
      </w:r>
      <w:r>
        <w:rPr>
          <w:rFonts w:hint="eastAsia" w:ascii="仿宋_GB2312"/>
          <w:b/>
          <w:sz w:val="28"/>
          <w:szCs w:val="28"/>
        </w:rPr>
        <w:t>办理流程：</w:t>
      </w:r>
      <w:r>
        <w:rPr>
          <w:rFonts w:hint="eastAsia" w:ascii="宋体" w:hAnsi="宋体"/>
          <w:sz w:val="24"/>
        </w:rPr>
        <w:t>受理</w:t>
      </w:r>
      <w:r>
        <w:rPr>
          <w:rFonts w:ascii="宋体" w:hAnsi="宋体"/>
          <w:sz w:val="24"/>
        </w:rPr>
        <w:t>--</w:t>
      </w:r>
      <w:r>
        <w:rPr>
          <w:rFonts w:hint="eastAsia" w:ascii="宋体" w:hAnsi="宋体"/>
          <w:sz w:val="24"/>
        </w:rPr>
        <w:t>审查</w:t>
      </w:r>
      <w:r>
        <w:rPr>
          <w:rFonts w:ascii="宋体" w:hAnsi="宋体"/>
          <w:sz w:val="24"/>
        </w:rPr>
        <w:t>—</w:t>
      </w:r>
      <w:r>
        <w:rPr>
          <w:rFonts w:hint="eastAsia" w:ascii="宋体" w:hAnsi="宋体"/>
          <w:sz w:val="24"/>
        </w:rPr>
        <w:t>决定</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九、</w:t>
      </w:r>
      <w:r>
        <w:rPr>
          <w:rFonts w:hint="eastAsia" w:ascii="仿宋_GB2312"/>
          <w:b/>
          <w:sz w:val="28"/>
          <w:szCs w:val="28"/>
        </w:rPr>
        <w:t>法定办理时限：</w:t>
      </w:r>
      <w:r>
        <w:rPr>
          <w:rFonts w:hint="eastAsia" w:ascii="仿宋_GB2312"/>
          <w:sz w:val="28"/>
          <w:szCs w:val="28"/>
          <w:lang w:val="en-US" w:eastAsia="zh-CN"/>
        </w:rPr>
        <w:t>20</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w:t>
      </w:r>
      <w:r>
        <w:rPr>
          <w:rFonts w:hint="eastAsia" w:ascii="仿宋_GB2312"/>
          <w:b/>
          <w:sz w:val="28"/>
          <w:szCs w:val="28"/>
        </w:rPr>
        <w:t>承诺办理时限：</w:t>
      </w:r>
      <w:r>
        <w:rPr>
          <w:rFonts w:hint="eastAsia" w:ascii="仿宋_GB2312"/>
          <w:sz w:val="28"/>
          <w:szCs w:val="28"/>
          <w:lang w:val="en-US" w:eastAsia="zh-CN"/>
        </w:rPr>
        <w:t>1</w:t>
      </w:r>
      <w:r>
        <w:rPr>
          <w:rFonts w:hint="eastAsia" w:ascii="仿宋_GB2312"/>
          <w:sz w:val="28"/>
          <w:szCs w:val="28"/>
        </w:rPr>
        <w:t>个工作日</w:t>
      </w:r>
      <w:r>
        <w:rPr>
          <w:rFonts w:hint="eastAsia" w:ascii="仿宋_GB2312"/>
          <w:sz w:val="28"/>
          <w:szCs w:val="28"/>
          <w:lang w:eastAsia="zh-CN"/>
        </w:rPr>
        <w:t>（专家审查</w:t>
      </w:r>
      <w:r>
        <w:rPr>
          <w:rFonts w:hint="eastAsia" w:ascii="仿宋_GB2312"/>
          <w:sz w:val="28"/>
          <w:szCs w:val="28"/>
          <w:lang w:val="en-US" w:eastAsia="zh-CN"/>
        </w:rPr>
        <w:t>15日</w:t>
      </w:r>
      <w:r>
        <w:rPr>
          <w:rFonts w:hint="eastAsia" w:ascii="仿宋_GB2312"/>
          <w:sz w:val="28"/>
          <w:szCs w:val="28"/>
          <w:lang w:eastAsia="zh-CN"/>
        </w:rPr>
        <w:t>）</w:t>
      </w:r>
    </w:p>
    <w:p>
      <w:pPr>
        <w:keepNext w:val="0"/>
        <w:keepLines w:val="0"/>
        <w:pageBreakBefore w:val="0"/>
        <w:kinsoku/>
        <w:wordWrap/>
        <w:overflowPunct/>
        <w:topLinePunct w:val="0"/>
        <w:autoSpaceDE/>
        <w:autoSpaceDN/>
        <w:bidi w:val="0"/>
        <w:adjustRightInd/>
        <w:snapToGrid/>
        <w:spacing w:line="520" w:lineRule="exact"/>
        <w:ind w:left="964" w:hanging="1124" w:hangingChars="400"/>
        <w:textAlignment w:val="auto"/>
        <w:outlineLvl w:val="9"/>
        <w:rPr>
          <w:rFonts w:hint="default" w:ascii="宋体" w:hAnsi="宋体" w:eastAsia="仿宋_GB2312"/>
          <w:sz w:val="24"/>
          <w:lang w:val="en-US" w:eastAsia="zh-CN"/>
        </w:rPr>
      </w:pPr>
      <w:r>
        <w:rPr>
          <w:rFonts w:hint="eastAsia" w:ascii="仿宋_GB2312"/>
          <w:b/>
          <w:sz w:val="28"/>
          <w:szCs w:val="28"/>
          <w:lang w:eastAsia="zh-CN"/>
        </w:rPr>
        <w:t>十一、</w:t>
      </w:r>
      <w:r>
        <w:rPr>
          <w:rFonts w:hint="eastAsia" w:ascii="仿宋_GB2312"/>
          <w:b/>
          <w:sz w:val="28"/>
          <w:szCs w:val="28"/>
        </w:rPr>
        <w:t>发放证照情况：</w:t>
      </w:r>
      <w:r>
        <w:rPr>
          <w:rFonts w:hint="eastAsia" w:ascii="仿宋_GB2312"/>
          <w:b/>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十二、收费标准</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十三、收费依据</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十四、</w:t>
      </w:r>
      <w:r>
        <w:rPr>
          <w:rFonts w:hint="eastAsia" w:ascii="仿宋_GB2312"/>
          <w:b/>
          <w:sz w:val="28"/>
          <w:szCs w:val="28"/>
        </w:rPr>
        <w:t>表格下载：</w:t>
      </w:r>
      <w:r>
        <w:rPr>
          <w:rFonts w:hint="eastAsia" w:ascii="仿宋_GB2312"/>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b/>
          <w:sz w:val="28"/>
          <w:szCs w:val="28"/>
          <w:lang w:eastAsia="zh-CN"/>
        </w:rPr>
      </w:pPr>
      <w:r>
        <w:rPr>
          <w:rFonts w:hint="eastAsia" w:ascii="仿宋_GB2312"/>
          <w:b/>
          <w:sz w:val="28"/>
          <w:szCs w:val="28"/>
          <w:lang w:eastAsia="zh-CN"/>
        </w:rPr>
        <w:t>十五、</w:t>
      </w:r>
      <w:r>
        <w:rPr>
          <w:rFonts w:hint="eastAsia" w:ascii="仿宋_GB2312"/>
          <w:b/>
          <w:sz w:val="28"/>
          <w:szCs w:val="28"/>
        </w:rPr>
        <w:t>填表示例：</w:t>
      </w:r>
      <w:r>
        <w:rPr>
          <w:rFonts w:hint="eastAsia" w:ascii="仿宋_GB2312"/>
          <w:b/>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十六、</w:t>
      </w:r>
      <w:r>
        <w:rPr>
          <w:rFonts w:hint="eastAsia" w:ascii="仿宋_GB2312"/>
          <w:b/>
          <w:sz w:val="28"/>
          <w:szCs w:val="28"/>
        </w:rPr>
        <w:t>投诉电话：</w:t>
      </w:r>
      <w:r>
        <w:rPr>
          <w:rFonts w:hint="eastAsia" w:ascii="仿宋_GB2312"/>
          <w:sz w:val="28"/>
          <w:szCs w:val="28"/>
          <w:lang w:val="en-US" w:eastAsia="zh-CN"/>
        </w:rPr>
        <w:t>12345</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十七、</w:t>
      </w:r>
      <w:r>
        <w:rPr>
          <w:rFonts w:hint="eastAsia" w:ascii="仿宋_GB2312"/>
          <w:b/>
          <w:sz w:val="28"/>
          <w:szCs w:val="28"/>
        </w:rPr>
        <w:t>咨询电话：</w:t>
      </w:r>
      <w:r>
        <w:rPr>
          <w:rFonts w:hint="eastAsia" w:ascii="仿宋_GB2312"/>
          <w:sz w:val="28"/>
          <w:szCs w:val="28"/>
          <w:lang w:val="en-US" w:eastAsia="zh-CN"/>
        </w:rPr>
        <w:t>0598-6821230</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十八、</w:t>
      </w:r>
      <w:r>
        <w:rPr>
          <w:rFonts w:hint="eastAsia" w:ascii="仿宋_GB2312"/>
          <w:b/>
          <w:sz w:val="28"/>
          <w:szCs w:val="28"/>
        </w:rPr>
        <w:t>办公时间</w:t>
      </w:r>
      <w:r>
        <w:rPr>
          <w:rFonts w:hint="eastAsia" w:ascii="仿宋_GB2312"/>
          <w:b/>
          <w:sz w:val="28"/>
          <w:szCs w:val="28"/>
          <w:lang w:eastAsia="zh-CN"/>
        </w:rPr>
        <w:t>：</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3</w:t>
      </w:r>
      <w:r>
        <w:rPr>
          <w:rFonts w:hint="eastAsia" w:ascii="仿宋_GB2312"/>
          <w:sz w:val="28"/>
          <w:szCs w:val="28"/>
        </w:rPr>
        <w:t>：</w:t>
      </w:r>
      <w:r>
        <w:rPr>
          <w:rFonts w:ascii="仿宋_GB2312"/>
          <w:sz w:val="28"/>
          <w:szCs w:val="28"/>
        </w:rPr>
        <w:t>00—6</w:t>
      </w:r>
      <w:r>
        <w:rPr>
          <w:rFonts w:hint="eastAsia" w:ascii="仿宋_GB2312"/>
          <w:sz w:val="28"/>
          <w:szCs w:val="28"/>
        </w:rPr>
        <w:t>：</w:t>
      </w:r>
      <w:r>
        <w:rPr>
          <w:rFonts w:ascii="仿宋_GB2312"/>
          <w:sz w:val="28"/>
          <w:szCs w:val="28"/>
        </w:rPr>
        <w:t>00</w:t>
      </w:r>
      <w:r>
        <w:rPr>
          <w:rFonts w:hint="eastAsia" w:ascii="仿宋_GB2312"/>
          <w:sz w:val="28"/>
          <w:szCs w:val="28"/>
        </w:rPr>
        <w:t>（夏令时）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ascii="仿宋_GB2312"/>
          <w:sz w:val="28"/>
          <w:szCs w:val="28"/>
        </w:rPr>
        <w:t xml:space="preserve">          </w:t>
      </w:r>
      <w:r>
        <w:rPr>
          <w:rFonts w:hint="eastAsia" w:ascii="仿宋_GB2312"/>
          <w:sz w:val="28"/>
          <w:szCs w:val="28"/>
          <w:lang w:val="en-US" w:eastAsia="zh-CN"/>
        </w:rPr>
        <w:t xml:space="preserve">     </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2</w:t>
      </w:r>
      <w:r>
        <w:rPr>
          <w:rFonts w:hint="eastAsia" w:ascii="仿宋_GB2312"/>
          <w:sz w:val="28"/>
          <w:szCs w:val="28"/>
        </w:rPr>
        <w:t>：</w:t>
      </w:r>
      <w:r>
        <w:rPr>
          <w:rFonts w:ascii="仿宋_GB2312"/>
          <w:sz w:val="28"/>
          <w:szCs w:val="28"/>
        </w:rPr>
        <w:t>30—5</w:t>
      </w:r>
      <w:r>
        <w:rPr>
          <w:rFonts w:hint="eastAsia" w:ascii="仿宋_GB2312"/>
          <w:sz w:val="28"/>
          <w:szCs w:val="28"/>
        </w:rPr>
        <w:t>：</w:t>
      </w:r>
      <w:r>
        <w:rPr>
          <w:rFonts w:ascii="仿宋_GB2312"/>
          <w:sz w:val="28"/>
          <w:szCs w:val="28"/>
        </w:rPr>
        <w:t>30</w:t>
      </w:r>
      <w:r>
        <w:rPr>
          <w:rFonts w:hint="eastAsia" w:ascii="仿宋_GB2312"/>
          <w:sz w:val="28"/>
          <w:szCs w:val="28"/>
        </w:rPr>
        <w:t>（冬令时）</w:t>
      </w:r>
    </w:p>
    <w:p>
      <w:pPr>
        <w:keepNext w:val="0"/>
        <w:keepLines w:val="0"/>
        <w:pageBreakBefore w:val="0"/>
        <w:kinsoku/>
        <w:wordWrap/>
        <w:overflowPunct/>
        <w:topLinePunct w:val="0"/>
        <w:autoSpaceDE/>
        <w:autoSpaceDN/>
        <w:bidi w:val="0"/>
        <w:adjustRightInd/>
        <w:snapToGrid/>
        <w:spacing w:line="520" w:lineRule="exact"/>
        <w:ind w:left="2530" w:hanging="2530" w:hangingChars="900"/>
        <w:textAlignment w:val="auto"/>
        <w:outlineLvl w:val="9"/>
        <w:rPr>
          <w:rFonts w:ascii="仿宋_GB2312"/>
          <w:sz w:val="28"/>
          <w:szCs w:val="28"/>
        </w:rPr>
      </w:pPr>
      <w:r>
        <w:rPr>
          <w:rFonts w:hint="eastAsia" w:ascii="仿宋_GB2312"/>
          <w:b/>
          <w:bCs/>
          <w:sz w:val="28"/>
          <w:szCs w:val="28"/>
          <w:lang w:eastAsia="zh-CN"/>
        </w:rPr>
        <w:t>十九、办公地址</w:t>
      </w:r>
      <w:r>
        <w:rPr>
          <w:rFonts w:hint="eastAsia" w:ascii="仿宋_GB2312"/>
          <w:sz w:val="28"/>
          <w:szCs w:val="28"/>
          <w:lang w:eastAsia="zh-CN"/>
        </w:rPr>
        <w:t>：</w:t>
      </w:r>
      <w:r>
        <w:rPr>
          <w:rFonts w:hint="eastAsia" w:ascii="仿宋_GB2312"/>
          <w:sz w:val="28"/>
          <w:szCs w:val="28"/>
        </w:rPr>
        <w:t>宁化县</w:t>
      </w:r>
      <w:r>
        <w:rPr>
          <w:rFonts w:hint="eastAsia" w:ascii="仿宋_GB2312"/>
          <w:sz w:val="28"/>
          <w:szCs w:val="28"/>
          <w:lang w:eastAsia="zh-CN"/>
        </w:rPr>
        <w:t>万星</w:t>
      </w:r>
      <w:r>
        <w:rPr>
          <w:rFonts w:hint="eastAsia" w:ascii="仿宋_GB2312"/>
          <w:sz w:val="28"/>
          <w:szCs w:val="28"/>
        </w:rPr>
        <w:t>广场</w:t>
      </w:r>
      <w:r>
        <w:rPr>
          <w:rFonts w:hint="eastAsia" w:ascii="仿宋_GB2312"/>
          <w:sz w:val="28"/>
          <w:szCs w:val="28"/>
          <w:lang w:val="en-US" w:eastAsia="zh-CN"/>
        </w:rPr>
        <w:t>1号楼三楼行政服务中心70号综合窗口</w:t>
      </w:r>
    </w:p>
    <w:p>
      <w:pPr>
        <w:keepNext w:val="0"/>
        <w:keepLines w:val="0"/>
        <w:pageBreakBefore w:val="0"/>
        <w:kinsoku/>
        <w:wordWrap/>
        <w:overflowPunct/>
        <w:topLinePunct w:val="0"/>
        <w:autoSpaceDE/>
        <w:autoSpaceDN/>
        <w:bidi w:val="0"/>
        <w:adjustRightInd/>
        <w:snapToGrid/>
        <w:spacing w:line="520" w:lineRule="exact"/>
        <w:ind w:left="2249" w:hanging="2249" w:hangingChars="800"/>
        <w:textAlignment w:val="auto"/>
        <w:outlineLvl w:val="9"/>
        <w:rPr>
          <w:rFonts w:ascii="仿宋_GB2312"/>
          <w:sz w:val="28"/>
          <w:szCs w:val="28"/>
        </w:rPr>
      </w:pPr>
      <w:r>
        <w:rPr>
          <w:rFonts w:hint="eastAsia" w:ascii="仿宋_GB2312"/>
          <w:b/>
          <w:sz w:val="28"/>
          <w:szCs w:val="28"/>
          <w:lang w:eastAsia="zh-CN"/>
        </w:rPr>
        <w:t>二十、</w:t>
      </w:r>
      <w:r>
        <w:rPr>
          <w:rFonts w:hint="eastAsia" w:ascii="仿宋_GB2312"/>
          <w:b/>
          <w:sz w:val="28"/>
          <w:szCs w:val="28"/>
        </w:rPr>
        <w:t>乘车路线：</w:t>
      </w:r>
      <w:r>
        <w:rPr>
          <w:rFonts w:hint="eastAsia" w:ascii="仿宋_GB2312"/>
          <w:sz w:val="28"/>
          <w:szCs w:val="28"/>
        </w:rPr>
        <w:t>乘</w:t>
      </w:r>
      <w:r>
        <w:rPr>
          <w:rFonts w:ascii="仿宋_GB2312"/>
          <w:sz w:val="28"/>
          <w:szCs w:val="28"/>
        </w:rPr>
        <w:t>1</w:t>
      </w:r>
      <w:r>
        <w:rPr>
          <w:rFonts w:hint="eastAsia" w:ascii="仿宋_GB2312"/>
          <w:sz w:val="28"/>
          <w:szCs w:val="28"/>
        </w:rPr>
        <w:t>、</w:t>
      </w:r>
      <w:r>
        <w:rPr>
          <w:rFonts w:ascii="仿宋_GB2312"/>
          <w:sz w:val="28"/>
          <w:szCs w:val="28"/>
        </w:rPr>
        <w:t>2</w:t>
      </w:r>
      <w:r>
        <w:rPr>
          <w:rFonts w:hint="eastAsia" w:ascii="仿宋_GB2312"/>
          <w:sz w:val="28"/>
          <w:szCs w:val="28"/>
        </w:rPr>
        <w:t>路公交车至宁化法院站下，往江滨北路方向步行</w:t>
      </w:r>
      <w:r>
        <w:rPr>
          <w:rFonts w:ascii="仿宋_GB2312"/>
          <w:sz w:val="28"/>
          <w:szCs w:val="28"/>
        </w:rPr>
        <w:t>500</w:t>
      </w:r>
      <w:r>
        <w:rPr>
          <w:rFonts w:hint="eastAsia" w:ascii="仿宋_GB2312"/>
          <w:sz w:val="28"/>
          <w:szCs w:val="28"/>
        </w:rPr>
        <w:t>米；乘</w:t>
      </w:r>
      <w:r>
        <w:rPr>
          <w:rFonts w:ascii="仿宋_GB2312"/>
          <w:sz w:val="28"/>
          <w:szCs w:val="28"/>
        </w:rPr>
        <w:t>7</w:t>
      </w:r>
      <w:r>
        <w:rPr>
          <w:rFonts w:hint="eastAsia" w:ascii="仿宋_GB2312"/>
          <w:sz w:val="28"/>
          <w:szCs w:val="28"/>
        </w:rPr>
        <w:t>、</w:t>
      </w:r>
      <w:r>
        <w:rPr>
          <w:rFonts w:ascii="仿宋_GB2312"/>
          <w:sz w:val="28"/>
          <w:szCs w:val="28"/>
        </w:rPr>
        <w:t>8</w:t>
      </w:r>
      <w:r>
        <w:rPr>
          <w:rFonts w:hint="eastAsia" w:ascii="仿宋_GB2312"/>
          <w:sz w:val="28"/>
          <w:szCs w:val="28"/>
        </w:rPr>
        <w:t>路公交车至万星广场站下</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r>
        <w:rPr>
          <w:rFonts w:hint="eastAsia" w:ascii="仿宋_GB2312"/>
          <w:b/>
          <w:sz w:val="28"/>
          <w:szCs w:val="28"/>
          <w:lang w:eastAsia="zh-CN"/>
        </w:rPr>
        <w:t>二十一、</w:t>
      </w:r>
      <w:r>
        <w:rPr>
          <w:rFonts w:hint="eastAsia" w:ascii="仿宋_GB2312"/>
          <w:b/>
          <w:sz w:val="28"/>
          <w:szCs w:val="28"/>
        </w:rPr>
        <w:t>状态查询：</w:t>
      </w:r>
      <w:r>
        <w:rPr>
          <w:rFonts w:hint="eastAsia" w:ascii="仿宋_GB2312"/>
          <w:sz w:val="28"/>
          <w:szCs w:val="28"/>
          <w:lang w:val="en-US" w:eastAsia="zh-CN"/>
        </w:rPr>
        <w:t>福建省网上办事大厅http://www.fjbs.gov.cn</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ind w:left="6080" w:hanging="6080" w:hangingChars="1900"/>
        <w:textAlignment w:val="auto"/>
        <w:outlineLvl w:val="9"/>
        <w:rPr>
          <w:rFonts w:ascii="仿宋_GB2312" w:hAnsi="宋体"/>
          <w:bCs/>
          <w:szCs w:val="32"/>
        </w:rPr>
      </w:pPr>
      <w:r>
        <w:rPr>
          <w:rFonts w:ascii="仿宋_GB2312" w:hAnsi="宋体"/>
          <w:bCs/>
          <w:szCs w:val="32"/>
        </w:rPr>
        <w:t xml:space="preserve">                                 </w:t>
      </w:r>
      <w:r>
        <w:rPr>
          <w:rFonts w:hint="eastAsia" w:ascii="仿宋_GB2312" w:hAnsi="宋体"/>
          <w:bCs/>
          <w:szCs w:val="32"/>
        </w:rPr>
        <w:t>宁化县</w:t>
      </w:r>
      <w:r>
        <w:rPr>
          <w:rFonts w:hint="eastAsia" w:ascii="仿宋_GB2312" w:hAnsi="宋体"/>
          <w:bCs/>
          <w:szCs w:val="32"/>
          <w:lang w:val="en-US" w:eastAsia="zh-CN"/>
        </w:rPr>
        <w:t>文体和旅游局</w:t>
      </w:r>
      <w:r>
        <w:rPr>
          <w:rFonts w:ascii="仿宋_GB2312" w:hAnsi="宋体"/>
          <w:bCs/>
          <w:szCs w:val="32"/>
        </w:rPr>
        <w:t xml:space="preserve">                                   </w:t>
      </w:r>
      <w:r>
        <w:rPr>
          <w:rFonts w:hint="eastAsia" w:ascii="仿宋_GB2312" w:hAnsi="宋体"/>
          <w:bCs/>
          <w:szCs w:val="32"/>
        </w:rPr>
        <w:t>（单位公章）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hAnsi="宋体"/>
          <w:bCs/>
          <w:szCs w:val="32"/>
        </w:rPr>
      </w:pPr>
    </w:p>
    <w:p>
      <w:pPr>
        <w:keepNext w:val="0"/>
        <w:keepLines w:val="0"/>
        <w:pageBreakBefore w:val="0"/>
        <w:kinsoku/>
        <w:wordWrap/>
        <w:overflowPunct/>
        <w:topLinePunct w:val="0"/>
        <w:autoSpaceDE/>
        <w:autoSpaceDN/>
        <w:bidi w:val="0"/>
        <w:adjustRightInd/>
        <w:snapToGrid/>
        <w:spacing w:line="5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D5FB"/>
    <w:multiLevelType w:val="singleLevel"/>
    <w:tmpl w:val="24A8D5F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828DE"/>
    <w:rsid w:val="04392471"/>
    <w:rsid w:val="04AA1F6A"/>
    <w:rsid w:val="055E1F0C"/>
    <w:rsid w:val="063B2FCD"/>
    <w:rsid w:val="06AC57F1"/>
    <w:rsid w:val="0AC455B6"/>
    <w:rsid w:val="0E24457A"/>
    <w:rsid w:val="0EBD035B"/>
    <w:rsid w:val="0FC6349E"/>
    <w:rsid w:val="11F560EB"/>
    <w:rsid w:val="12330561"/>
    <w:rsid w:val="14ED29C5"/>
    <w:rsid w:val="1C493039"/>
    <w:rsid w:val="1CCB2919"/>
    <w:rsid w:val="1D5C6B4D"/>
    <w:rsid w:val="21D22A9A"/>
    <w:rsid w:val="22B43F11"/>
    <w:rsid w:val="233B23EA"/>
    <w:rsid w:val="25131A9E"/>
    <w:rsid w:val="2626459D"/>
    <w:rsid w:val="264E7ADF"/>
    <w:rsid w:val="2CCE1CEB"/>
    <w:rsid w:val="300C1EA4"/>
    <w:rsid w:val="31370F2D"/>
    <w:rsid w:val="32802473"/>
    <w:rsid w:val="32AE3D14"/>
    <w:rsid w:val="3378433E"/>
    <w:rsid w:val="33844565"/>
    <w:rsid w:val="38330F1F"/>
    <w:rsid w:val="3C746F49"/>
    <w:rsid w:val="3D192B31"/>
    <w:rsid w:val="3FA144FB"/>
    <w:rsid w:val="429C6755"/>
    <w:rsid w:val="46B86F0E"/>
    <w:rsid w:val="49E1176C"/>
    <w:rsid w:val="4A6F1DCE"/>
    <w:rsid w:val="4AD2236C"/>
    <w:rsid w:val="4C800E01"/>
    <w:rsid w:val="4CB2777A"/>
    <w:rsid w:val="4E5C3552"/>
    <w:rsid w:val="4EDD73E2"/>
    <w:rsid w:val="4EFD7E69"/>
    <w:rsid w:val="519F4F67"/>
    <w:rsid w:val="53464638"/>
    <w:rsid w:val="54585D98"/>
    <w:rsid w:val="54FC02D3"/>
    <w:rsid w:val="565E1D1C"/>
    <w:rsid w:val="57E77BAA"/>
    <w:rsid w:val="58C714D1"/>
    <w:rsid w:val="590978D1"/>
    <w:rsid w:val="5A4008FA"/>
    <w:rsid w:val="5B7919A9"/>
    <w:rsid w:val="5D265C7E"/>
    <w:rsid w:val="5F6373C9"/>
    <w:rsid w:val="604F3C6E"/>
    <w:rsid w:val="613623C9"/>
    <w:rsid w:val="62062C78"/>
    <w:rsid w:val="63350F1C"/>
    <w:rsid w:val="649374C2"/>
    <w:rsid w:val="65A045C7"/>
    <w:rsid w:val="65E35E8B"/>
    <w:rsid w:val="66281AEA"/>
    <w:rsid w:val="668168CF"/>
    <w:rsid w:val="668B2879"/>
    <w:rsid w:val="6866297E"/>
    <w:rsid w:val="68986406"/>
    <w:rsid w:val="68C45229"/>
    <w:rsid w:val="6C282133"/>
    <w:rsid w:val="6C365993"/>
    <w:rsid w:val="6E927BAE"/>
    <w:rsid w:val="6EEE5B6C"/>
    <w:rsid w:val="70B22269"/>
    <w:rsid w:val="71985DD5"/>
    <w:rsid w:val="73590598"/>
    <w:rsid w:val="750C0E90"/>
    <w:rsid w:val="77876593"/>
    <w:rsid w:val="78D26EAC"/>
    <w:rsid w:val="7A9425DE"/>
    <w:rsid w:val="7BE00EEE"/>
    <w:rsid w:val="7D4F2041"/>
    <w:rsid w:val="7D7E0D14"/>
    <w:rsid w:val="7E252171"/>
    <w:rsid w:val="7E5C774D"/>
    <w:rsid w:val="7E89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35</TotalTime>
  <ScaleCrop>false</ScaleCrop>
  <LinksUpToDate>false</LinksUpToDate>
  <CharactersWithSpaces>0</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未定义</cp:lastModifiedBy>
  <dcterms:modified xsi:type="dcterms:W3CDTF">2021-01-06T01:45:14Z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ies>
</file>