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内地文艺表演团体变更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内地文艺表演团体变更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eastAsia="zh-CN"/>
        </w:rPr>
        <w:t>[法规]《营业性演出管理条例》（中华人民共和国国务院令第666号）第八条　文艺表演团体变更名称、住所、法定代表人或者主要负责人、营业性演出经营项目，应当向原发证机关申请换发营业性演出许可证，并依法到工商行政管理部门办理变更登记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已审批发证的内地文艺表演团体变更名称、住所、法定代表人或者主要负责人、营业性演出经营项目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文艺表演团体《营业性演出许可证》正副本;变更后的工商营业执照副本;文艺表演团体申请登记表（通用表格）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营业性演出许可证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4E08A1"/>
    <w:multiLevelType w:val="singleLevel"/>
    <w:tmpl w:val="254E08A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560EB"/>
    <w:rsid w:val="2CCE1CEB"/>
    <w:rsid w:val="3378433E"/>
    <w:rsid w:val="429C6755"/>
    <w:rsid w:val="4C800E01"/>
    <w:rsid w:val="4D944DED"/>
    <w:rsid w:val="62062C78"/>
    <w:rsid w:val="68C45229"/>
    <w:rsid w:val="6E0D2907"/>
    <w:rsid w:val="71985DD5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2021-01-05T00:46:28Z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