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  <w:lang w:val="en-US" w:eastAsia="zh-CN"/>
        </w:rPr>
        <w:t>内地文艺表演团体设立审批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内地文艺表演团体设立审批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仿宋_GB2312"/>
          <w:sz w:val="28"/>
          <w:szCs w:val="28"/>
          <w:lang w:eastAsia="zh-CN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[法规]《营业性演出管理条例》（中华人民共和国国务院令第666号） 第六条 文艺表演团体申请从事营业性演出活动，应当有与其业务相适应的专职演员和器材设备，并向县级人民政府文化主管部门提出申请； [规章]《营业性演出管理条例实施</w:t>
      </w:r>
      <w:bookmarkStart w:id="0" w:name="_GoBack"/>
      <w:bookmarkEnd w:id="0"/>
      <w:r>
        <w:rPr>
          <w:rFonts w:hint="eastAsia" w:ascii="仿宋_GB2312"/>
          <w:sz w:val="28"/>
          <w:szCs w:val="28"/>
          <w:lang w:eastAsia="zh-CN"/>
        </w:rPr>
        <w:t>细则》（中华人民共和国文化部令第57号） 第四条 文艺表演团体是指具备《条例》第六条规定条件，从事文艺表演活动的经营单位。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/>
        </w:rPr>
      </w:pPr>
      <w:r>
        <w:rPr>
          <w:rFonts w:hint="eastAsia" w:ascii="仿宋_GB2312"/>
          <w:b/>
          <w:sz w:val="28"/>
          <w:szCs w:val="28"/>
          <w:lang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 w:eastAsia="宋体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1.应当有与其演出业务相适应的专职演员和器材设备； 2.从事文艺表演活动的经营单位。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1、文艺表演团体申请登记表;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2、营业执照副本（事业单位法人证书或民办非企业单位登记证书）;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3、法定代表人或者主要负责人身份证明;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4、演员的艺术表演能力证明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5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sz w:val="28"/>
          <w:szCs w:val="28"/>
          <w:lang w:val="en-US" w:eastAsia="zh-CN"/>
        </w:rPr>
        <w:t>营业性演出许可证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A3723"/>
    <w:rsid w:val="11F560EB"/>
    <w:rsid w:val="220110FB"/>
    <w:rsid w:val="3378433E"/>
    <w:rsid w:val="35AC0E8F"/>
    <w:rsid w:val="429C6755"/>
    <w:rsid w:val="4C800E01"/>
    <w:rsid w:val="5BDB0F98"/>
    <w:rsid w:val="5D826291"/>
    <w:rsid w:val="62062C78"/>
    <w:rsid w:val="74176BD6"/>
    <w:rsid w:val="77876593"/>
    <w:rsid w:val="78D26EAC"/>
    <w:rsid w:val="7B75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2020-12-30T09:03:54Z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