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20" w:lineRule="exact"/>
        <w:jc w:val="center"/>
        <w:textAlignment w:val="auto"/>
        <w:outlineLvl w:val="9"/>
        <w:rPr>
          <w:rFonts w:hint="eastAsia" w:ascii="宋体" w:hAnsi="宋体" w:eastAsia="宋体"/>
          <w:b/>
          <w:color w:val="000000"/>
          <w:szCs w:val="32"/>
        </w:rPr>
      </w:pPr>
      <w:r>
        <w:rPr>
          <w:rFonts w:hint="eastAsia" w:ascii="宋体" w:hAnsi="宋体" w:eastAsia="宋体"/>
          <w:b/>
          <w:color w:val="000000"/>
          <w:szCs w:val="32"/>
        </w:rPr>
        <w:t>宁化县</w:t>
      </w:r>
      <w:r>
        <w:rPr>
          <w:rFonts w:hint="eastAsia" w:ascii="宋体" w:hAnsi="宋体" w:eastAsia="宋体"/>
          <w:b/>
          <w:color w:val="000000"/>
          <w:szCs w:val="32"/>
          <w:lang w:val="en-US" w:eastAsia="zh-CN"/>
        </w:rPr>
        <w:t>文体和旅游</w:t>
      </w:r>
      <w:r>
        <w:rPr>
          <w:rFonts w:hint="eastAsia" w:ascii="宋体" w:hAnsi="宋体" w:eastAsia="宋体"/>
          <w:b/>
          <w:color w:val="000000"/>
          <w:szCs w:val="32"/>
          <w:lang w:eastAsia="zh-CN"/>
        </w:rPr>
        <w:t>局</w:t>
      </w:r>
      <w:r>
        <w:rPr>
          <w:rFonts w:hint="eastAsia" w:asciiTheme="majorEastAsia" w:hAnsiTheme="majorEastAsia" w:eastAsiaTheme="majorEastAsia" w:cstheme="majorEastAsia"/>
          <w:b/>
          <w:bCs w:val="0"/>
          <w:color w:val="000000"/>
          <w:sz w:val="32"/>
          <w:szCs w:val="32"/>
        </w:rPr>
        <w:t>办理</w:t>
      </w:r>
      <w:r>
        <w:rPr>
          <w:rFonts w:hint="eastAsia" w:asciiTheme="minorEastAsia" w:hAnsiTheme="minorEastAsia" w:eastAsiaTheme="minorEastAsia" w:cstheme="minorEastAsia"/>
          <w:b/>
          <w:bCs/>
          <w:sz w:val="32"/>
          <w:szCs w:val="32"/>
          <w:u w:val="single"/>
        </w:rPr>
        <w:t>歌舞娱乐场所设立审批</w:t>
      </w:r>
      <w:r>
        <w:rPr>
          <w:rFonts w:hint="eastAsia" w:asciiTheme="majorEastAsia" w:hAnsiTheme="majorEastAsia" w:eastAsiaTheme="majorEastAsia" w:cstheme="majorEastAsia"/>
          <w:b/>
          <w:bCs w:val="0"/>
          <w:color w:val="000000"/>
          <w:sz w:val="32"/>
          <w:szCs w:val="32"/>
        </w:rPr>
        <w:t>服务指南</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p>
    <w:p>
      <w:pPr>
        <w:keepNext w:val="0"/>
        <w:keepLines w:val="0"/>
        <w:pageBreakBefore w:val="0"/>
        <w:numPr>
          <w:ilvl w:val="0"/>
          <w:numId w:val="1"/>
        </w:numPr>
        <w:kinsoku/>
        <w:wordWrap/>
        <w:overflowPunct/>
        <w:topLinePunct w:val="0"/>
        <w:autoSpaceDE/>
        <w:autoSpaceDN/>
        <w:bidi w:val="0"/>
        <w:adjustRightInd/>
        <w:snapToGrid/>
        <w:spacing w:line="520" w:lineRule="exact"/>
        <w:textAlignment w:val="auto"/>
        <w:outlineLvl w:val="9"/>
        <w:rPr>
          <w:rFonts w:hint="eastAsia" w:ascii="仿宋_GB2312"/>
          <w:sz w:val="28"/>
          <w:szCs w:val="28"/>
        </w:rPr>
      </w:pPr>
      <w:r>
        <w:rPr>
          <w:rFonts w:hint="eastAsia" w:ascii="仿宋_GB2312"/>
          <w:b/>
          <w:sz w:val="28"/>
          <w:szCs w:val="28"/>
        </w:rPr>
        <w:t>事项名称：</w:t>
      </w:r>
      <w:r>
        <w:rPr>
          <w:rFonts w:hint="eastAsia" w:ascii="仿宋_GB2312"/>
          <w:sz w:val="28"/>
          <w:szCs w:val="28"/>
          <w:lang w:eastAsia="zh-CN"/>
        </w:rPr>
        <w:t>歌舞娱乐场所设立审批</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二、</w:t>
      </w:r>
      <w:r>
        <w:rPr>
          <w:rFonts w:hint="eastAsia" w:ascii="仿宋_GB2312"/>
          <w:b/>
          <w:sz w:val="28"/>
          <w:szCs w:val="28"/>
        </w:rPr>
        <w:t>事项类别：</w:t>
      </w:r>
      <w:r>
        <w:rPr>
          <w:rFonts w:hint="eastAsia" w:ascii="宋体" w:hAnsi="宋体" w:eastAsia="宋体" w:cs="宋体"/>
          <w:sz w:val="24"/>
        </w:rPr>
        <w:t>行政许可</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三、</w:t>
      </w:r>
      <w:r>
        <w:rPr>
          <w:rFonts w:hint="eastAsia" w:ascii="仿宋_GB2312"/>
          <w:b/>
          <w:sz w:val="28"/>
          <w:szCs w:val="28"/>
        </w:rPr>
        <w:t>办理依据：</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eastAsia="zh-CN"/>
        </w:rPr>
        <w:t>[</w:t>
      </w:r>
      <w:r>
        <w:rPr>
          <w:rFonts w:hint="eastAsia" w:ascii="仿宋_GB2312"/>
          <w:sz w:val="28"/>
          <w:szCs w:val="28"/>
          <w:lang w:val="en-US" w:eastAsia="zh-CN"/>
        </w:rPr>
        <w:t>法规]《娱乐场所管理条例》（中华人民共和国国务院令第666号） 第五条 有下列情形之一的人员，不得开办娱乐场所或者在娱乐场所内从业： （一）曾犯有组织、强迫、引诱、容留、介绍卖淫罪，制作、贩卖、传播淫秽物品罪，走私、贩卖、运输、制造毒品罪，强奸罪，强制猥亵、侮辱妇女罪，赌博罪，洗钱罪，组织、领导、参加黑社会性质组织罪的； （二）因犯罪曾被剥夺政治权利的； （三）因吸食、注射毒品曾被强制戒毒的； （四）因卖淫、嫖娼曾被处以行政拘留的。 第七条 娱乐场所不得设在下列地点： （一）居民楼、博物馆、图书馆和被核定为文物保护单位的建筑物内； （二）居民住宅区和学校、医院、机关周围； （三）车站、机场等人群密集的场所； （四）建筑物地下一层以下； （五）与危险化学品仓库毗连的区域。 娱乐场所的边界噪声，应当符合国家规定的环境噪声标准。 第八条 娱乐场所的使用面积，不得低于国务院文化主管部门规定的最低标准；设立含有电子游戏机的游艺娱乐场所，应当符合国务院文化主管部门关于总量和布局的要求。</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default" w:ascii="仿宋_GB2312"/>
          <w:sz w:val="28"/>
          <w:szCs w:val="28"/>
          <w:lang w:val="en-US"/>
        </w:rPr>
      </w:pPr>
      <w:r>
        <w:rPr>
          <w:rFonts w:hint="eastAsia" w:ascii="仿宋_GB2312"/>
          <w:b/>
          <w:sz w:val="28"/>
          <w:szCs w:val="28"/>
          <w:lang w:eastAsia="zh-CN"/>
        </w:rPr>
        <w:t>四、</w:t>
      </w:r>
      <w:r>
        <w:rPr>
          <w:rFonts w:hint="eastAsia" w:ascii="仿宋_GB2312"/>
          <w:b/>
          <w:sz w:val="28"/>
          <w:szCs w:val="28"/>
        </w:rPr>
        <w:t>受理机构：</w:t>
      </w:r>
      <w:r>
        <w:rPr>
          <w:rFonts w:hint="eastAsia" w:ascii="仿宋_GB2312"/>
          <w:sz w:val="28"/>
          <w:szCs w:val="28"/>
          <w:lang w:eastAsia="zh-CN"/>
        </w:rPr>
        <w:t>宁化县</w:t>
      </w:r>
      <w:r>
        <w:rPr>
          <w:rFonts w:hint="eastAsia" w:ascii="仿宋_GB2312"/>
          <w:sz w:val="28"/>
          <w:szCs w:val="28"/>
          <w:lang w:val="en-US" w:eastAsia="zh-CN"/>
        </w:rPr>
        <w:t>文体和旅游局市场管理股</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default" w:ascii="仿宋_GB2312"/>
          <w:b/>
          <w:sz w:val="28"/>
          <w:szCs w:val="28"/>
          <w:lang w:val="en-US" w:eastAsia="zh-CN"/>
        </w:rPr>
      </w:pPr>
      <w:r>
        <w:rPr>
          <w:rFonts w:hint="eastAsia" w:ascii="仿宋_GB2312"/>
          <w:b/>
          <w:sz w:val="28"/>
          <w:szCs w:val="28"/>
          <w:lang w:eastAsia="zh-CN"/>
        </w:rPr>
        <w:t>五、</w:t>
      </w:r>
      <w:r>
        <w:rPr>
          <w:rFonts w:hint="eastAsia" w:ascii="仿宋_GB2312"/>
          <w:b/>
          <w:sz w:val="28"/>
          <w:szCs w:val="28"/>
        </w:rPr>
        <w:t>审批机构：</w:t>
      </w:r>
      <w:r>
        <w:rPr>
          <w:rFonts w:hint="eastAsia" w:ascii="仿宋_GB2312"/>
          <w:sz w:val="28"/>
          <w:szCs w:val="28"/>
          <w:lang w:eastAsia="zh-CN"/>
        </w:rPr>
        <w:t>宁化县</w:t>
      </w:r>
      <w:r>
        <w:rPr>
          <w:rFonts w:hint="eastAsia" w:ascii="仿宋_GB2312"/>
          <w:sz w:val="28"/>
          <w:szCs w:val="28"/>
          <w:lang w:val="en-US" w:eastAsia="zh-CN"/>
        </w:rPr>
        <w:t>文体和旅游局</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六、</w:t>
      </w:r>
      <w:r>
        <w:rPr>
          <w:rFonts w:hint="eastAsia" w:ascii="仿宋_GB2312"/>
          <w:b/>
          <w:sz w:val="28"/>
          <w:szCs w:val="28"/>
        </w:rPr>
        <w:t>申请条件：</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（一）申请人 1、有下列情形之一的人员，不得申请设立娱乐场所： （1）曾犯有组织、强迫、引诱、容留、介绍卖淫罪，制作、贩卖、传播淫秽物品罪，走私、贩卖、运输、制造毒品罪，强奸罪，强制猥亵、侮辱妇女罪，赌博罪，洗钱罪，组织、领导、参加黑社会性质组织罪的； （2）因犯罪曾被剥夺政治权利的； （3）因吸食、注射毒品曾被强制戒毒的； （4）因卖淫、嫖娼曾被处以行政拘留的； 2、因擅自从事娱乐场所经营活动被依法取缔的，其投资人员和负责人终身不得投资开办娱乐场所或者担任娱乐场所的法定代表人、负责人；娱乐场所被吊销或者撤销娱乐经营许可证的，自被吊销或者撤销之日起，其法定代表人、负责人5年内不得担任娱乐场所的法定代表人、负责人； 3、国家机关及其工作人员不得开办娱乐场所，不得参与或者变相参与娱乐场所的经营活动；与文化行政部门、公安部门的工作人员有夫妻关系、直系血亲关系、三代以内旁系血亲关系以及近姻亲关系的亲属，不得开办娱乐场所，不得参与或者变相参与娱乐场所的经营活动； （二）设立地点 娱乐场所不得设立在下列地点： 1、房屋规划、设计、使用用途中含有住宅； 2、博物馆、图书馆和被核定为文物保护单位的建筑物内； 3、居民住宅区； 4、教育法规定的中小学校周围（城市区域距离学校不得低于200米，农村区域不得低于150米。测量方法为设立的娱乐场所（含游艺娱乐场所）与中小学校两者间距离以单位正大门为测准点，按照道路交通规划的走向）； 5、依照《医疗机构管理条例》及实施细则规定取得《医疗机构执业许可证》的医院周围； 6、各级中国共产党委员会及其所属各工作部门、各级人民代表大会机关、各级人民政府及其所属各工作部门、各级政治协商会议机关、各级人民法院、检察院机关、各级民主党派机关周围； 7、车站、机场等人群密集的场所； 8、建筑物地下一层以下（不含地下一层）； 9、与危险化学品仓库毗连的区域，与危险化学品仓库的距离必须符合《危险化学品安全管理条例》的规定； （三）设立场所 1、城区歌舞娱乐场所的最低使用面积标准为200平方米，KTV包厢最低使用面积标准为8平方米，按人均2平方米核定消费者人数（不包括办公、仓储等非营业性区域）；农村地区歌舞娱乐场所的最低使用面积标准为150平方米，KTV包厢最低使用面积标准为8平方米，按人均2平方米核定容纳消费者人数（不包括办公、仓储等非营业性区域）； 2、符合国家治安管理、消防安全、环境噪声等规定。</w:t>
      </w:r>
    </w:p>
    <w:p>
      <w:pPr>
        <w:keepNext w:val="0"/>
        <w:keepLines w:val="0"/>
        <w:pageBreakBefore w:val="0"/>
        <w:widowControl/>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七、</w:t>
      </w:r>
      <w:r>
        <w:rPr>
          <w:rFonts w:hint="eastAsia" w:ascii="仿宋_GB2312"/>
          <w:b/>
          <w:sz w:val="28"/>
          <w:szCs w:val="28"/>
        </w:rPr>
        <w:t>申请材料：</w:t>
      </w:r>
    </w:p>
    <w:p>
      <w:pPr>
        <w:keepNext w:val="0"/>
        <w:keepLines w:val="0"/>
        <w:pageBreakBefore w:val="0"/>
        <w:kinsoku/>
        <w:wordWrap/>
        <w:overflowPunct/>
        <w:topLinePunct w:val="0"/>
        <w:autoSpaceDE/>
        <w:autoSpaceDN/>
        <w:bidi w:val="0"/>
        <w:adjustRightInd/>
        <w:snapToGrid/>
        <w:spacing w:line="520" w:lineRule="exact"/>
        <w:ind w:left="2249" w:hanging="2240" w:hangingChars="800"/>
        <w:textAlignment w:val="auto"/>
        <w:outlineLvl w:val="9"/>
        <w:rPr>
          <w:rFonts w:hint="eastAsia" w:ascii="仿宋_GB2312"/>
          <w:sz w:val="28"/>
          <w:szCs w:val="28"/>
          <w:lang w:eastAsia="zh-CN"/>
        </w:rPr>
      </w:pPr>
      <w:r>
        <w:rPr>
          <w:rFonts w:hint="eastAsia" w:ascii="仿宋_GB2312"/>
          <w:sz w:val="28"/>
          <w:szCs w:val="28"/>
          <w:lang w:val="en-US" w:eastAsia="zh-CN"/>
        </w:rPr>
        <w:t>1、</w:t>
      </w:r>
      <w:r>
        <w:rPr>
          <w:rFonts w:hint="eastAsia" w:ascii="仿宋_GB2312"/>
          <w:sz w:val="28"/>
          <w:szCs w:val="28"/>
          <w:lang w:eastAsia="zh-CN"/>
        </w:rPr>
        <w:t>娱乐场所设立审批申请表;</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2、投资人、法定代表人、主要负责人的身份证明;</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3、环境保护部门的批准文件或者备案证明;</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4、投资人、法定代表人、主要负责人无《条例》第四条、第五条、第五十三条规定情况的书面声明;</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5、房产权属证书，租赁场地经营的，还应当提交租赁合同或者租赁意向书;</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6、经营场所地理位置图和场所内部结构平面图;</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7、消防部门的批准文件或者备案证明;</w:t>
      </w:r>
    </w:p>
    <w:p>
      <w:pPr>
        <w:keepNext w:val="0"/>
        <w:keepLines w:val="0"/>
        <w:pageBreakBefore w:val="0"/>
        <w:kinsoku/>
        <w:wordWrap/>
        <w:overflowPunct/>
        <w:topLinePunct w:val="0"/>
        <w:autoSpaceDE/>
        <w:autoSpaceDN/>
        <w:bidi w:val="0"/>
        <w:adjustRightInd/>
        <w:snapToGrid/>
        <w:spacing w:line="520" w:lineRule="exact"/>
        <w:ind w:left="2249" w:hanging="2240" w:hangingChars="800"/>
        <w:textAlignment w:val="auto"/>
        <w:outlineLvl w:val="9"/>
        <w:rPr>
          <w:rFonts w:hint="eastAsia" w:ascii="仿宋_GB2312"/>
          <w:sz w:val="28"/>
          <w:szCs w:val="28"/>
          <w:lang w:eastAsia="zh-CN"/>
        </w:rPr>
      </w:pPr>
      <w:r>
        <w:rPr>
          <w:rFonts w:hint="eastAsia" w:ascii="仿宋_GB2312"/>
          <w:sz w:val="28"/>
          <w:szCs w:val="28"/>
          <w:lang w:val="en-US" w:eastAsia="zh-CN"/>
        </w:rPr>
        <w:t>8、</w:t>
      </w:r>
      <w:r>
        <w:rPr>
          <w:rFonts w:hint="eastAsia" w:ascii="仿宋_GB2312"/>
          <w:sz w:val="28"/>
          <w:szCs w:val="28"/>
          <w:lang w:eastAsia="zh-CN"/>
        </w:rPr>
        <w:t>营业执照</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宋体" w:hAnsi="宋体"/>
          <w:sz w:val="24"/>
        </w:rPr>
      </w:pPr>
      <w:r>
        <w:rPr>
          <w:rFonts w:hint="eastAsia" w:ascii="仿宋_GB2312"/>
          <w:b/>
          <w:sz w:val="28"/>
          <w:szCs w:val="28"/>
          <w:lang w:eastAsia="zh-CN"/>
        </w:rPr>
        <w:t>八、</w:t>
      </w:r>
      <w:r>
        <w:rPr>
          <w:rFonts w:hint="eastAsia" w:ascii="仿宋_GB2312"/>
          <w:b/>
          <w:sz w:val="28"/>
          <w:szCs w:val="28"/>
        </w:rPr>
        <w:t>办理流程：</w:t>
      </w:r>
      <w:r>
        <w:rPr>
          <w:rFonts w:hint="eastAsia" w:ascii="宋体" w:hAnsi="宋体"/>
          <w:sz w:val="24"/>
        </w:rPr>
        <w:t>受理</w:t>
      </w:r>
      <w:r>
        <w:rPr>
          <w:rFonts w:ascii="宋体" w:hAnsi="宋体"/>
          <w:sz w:val="24"/>
        </w:rPr>
        <w:t>--</w:t>
      </w:r>
      <w:r>
        <w:rPr>
          <w:rFonts w:hint="eastAsia" w:ascii="宋体" w:hAnsi="宋体"/>
          <w:sz w:val="24"/>
        </w:rPr>
        <w:t>现场勘察</w:t>
      </w:r>
      <w:r>
        <w:rPr>
          <w:rFonts w:ascii="宋体" w:hAnsi="宋体"/>
          <w:sz w:val="24"/>
        </w:rPr>
        <w:t>--</w:t>
      </w:r>
      <w:r>
        <w:rPr>
          <w:rFonts w:hint="eastAsia" w:ascii="宋体" w:hAnsi="宋体"/>
          <w:sz w:val="24"/>
        </w:rPr>
        <w:t>审查</w:t>
      </w:r>
      <w:r>
        <w:rPr>
          <w:rFonts w:ascii="宋体" w:hAnsi="宋体"/>
          <w:sz w:val="24"/>
        </w:rPr>
        <w:t>—</w:t>
      </w:r>
      <w:r>
        <w:rPr>
          <w:rFonts w:hint="eastAsia" w:ascii="宋体" w:hAnsi="宋体"/>
          <w:sz w:val="24"/>
        </w:rPr>
        <w:t>决定</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九、</w:t>
      </w:r>
      <w:r>
        <w:rPr>
          <w:rFonts w:hint="eastAsia" w:ascii="仿宋_GB2312"/>
          <w:b/>
          <w:sz w:val="28"/>
          <w:szCs w:val="28"/>
        </w:rPr>
        <w:t>法定办理时限：</w:t>
      </w:r>
      <w:r>
        <w:rPr>
          <w:rFonts w:hint="eastAsia" w:ascii="仿宋_GB2312"/>
          <w:sz w:val="28"/>
          <w:szCs w:val="28"/>
          <w:lang w:val="en-US" w:eastAsia="zh-CN"/>
        </w:rPr>
        <w:t>20</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十、</w:t>
      </w:r>
      <w:r>
        <w:rPr>
          <w:rFonts w:hint="eastAsia" w:ascii="仿宋_GB2312"/>
          <w:b/>
          <w:sz w:val="28"/>
          <w:szCs w:val="28"/>
        </w:rPr>
        <w:t>承诺办理时限：</w:t>
      </w:r>
      <w:r>
        <w:rPr>
          <w:rFonts w:hint="eastAsia" w:ascii="仿宋_GB2312"/>
          <w:sz w:val="28"/>
          <w:szCs w:val="28"/>
          <w:lang w:val="en-US" w:eastAsia="zh-CN"/>
        </w:rPr>
        <w:t>5</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ind w:left="964" w:hanging="1124" w:hangingChars="400"/>
        <w:textAlignment w:val="auto"/>
        <w:outlineLvl w:val="9"/>
        <w:rPr>
          <w:rFonts w:hint="default" w:ascii="宋体" w:hAnsi="宋体" w:eastAsia="仿宋_GB2312"/>
          <w:sz w:val="24"/>
          <w:lang w:val="en-US" w:eastAsia="zh-CN"/>
        </w:rPr>
      </w:pPr>
      <w:r>
        <w:rPr>
          <w:rFonts w:hint="eastAsia" w:ascii="仿宋_GB2312"/>
          <w:b/>
          <w:sz w:val="28"/>
          <w:szCs w:val="28"/>
          <w:lang w:eastAsia="zh-CN"/>
        </w:rPr>
        <w:t>十一、</w:t>
      </w:r>
      <w:r>
        <w:rPr>
          <w:rFonts w:hint="eastAsia" w:ascii="仿宋_GB2312"/>
          <w:b/>
          <w:sz w:val="28"/>
          <w:szCs w:val="28"/>
        </w:rPr>
        <w:t>发放证照情况：</w:t>
      </w:r>
      <w:r>
        <w:rPr>
          <w:rFonts w:hint="eastAsia" w:ascii="仿宋_GB2312"/>
          <w:sz w:val="28"/>
          <w:szCs w:val="28"/>
          <w:lang w:val="en-US" w:eastAsia="zh-CN"/>
        </w:rPr>
        <w:t>娱乐经营许可证</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十二、收费标准</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十三、收费依据</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sz w:val="28"/>
          <w:szCs w:val="28"/>
          <w:lang w:eastAsia="zh-CN"/>
        </w:rPr>
      </w:pPr>
      <w:r>
        <w:rPr>
          <w:rFonts w:hint="eastAsia" w:ascii="仿宋_GB2312"/>
          <w:b/>
          <w:sz w:val="28"/>
          <w:szCs w:val="28"/>
          <w:lang w:eastAsia="zh-CN"/>
        </w:rPr>
        <w:t>十四、</w:t>
      </w:r>
      <w:r>
        <w:rPr>
          <w:rFonts w:hint="eastAsia" w:ascii="仿宋_GB2312"/>
          <w:b/>
          <w:sz w:val="28"/>
          <w:szCs w:val="28"/>
        </w:rPr>
        <w:t>表格下载：</w:t>
      </w:r>
      <w:r>
        <w:rPr>
          <w:rFonts w:hint="eastAsia" w:ascii="仿宋_GB2312"/>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b/>
          <w:sz w:val="28"/>
          <w:szCs w:val="28"/>
          <w:lang w:eastAsia="zh-CN"/>
        </w:rPr>
      </w:pPr>
      <w:r>
        <w:rPr>
          <w:rFonts w:hint="eastAsia" w:ascii="仿宋_GB2312"/>
          <w:b/>
          <w:sz w:val="28"/>
          <w:szCs w:val="28"/>
          <w:lang w:eastAsia="zh-CN"/>
        </w:rPr>
        <w:t>十五、</w:t>
      </w:r>
      <w:r>
        <w:rPr>
          <w:rFonts w:hint="eastAsia" w:ascii="仿宋_GB2312"/>
          <w:b/>
          <w:sz w:val="28"/>
          <w:szCs w:val="28"/>
        </w:rPr>
        <w:t>填表示例：</w:t>
      </w:r>
      <w:r>
        <w:rPr>
          <w:rFonts w:hint="eastAsia" w:ascii="仿宋_GB2312"/>
          <w:b/>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十六、</w:t>
      </w:r>
      <w:r>
        <w:rPr>
          <w:rFonts w:hint="eastAsia" w:ascii="仿宋_GB2312"/>
          <w:b/>
          <w:sz w:val="28"/>
          <w:szCs w:val="28"/>
        </w:rPr>
        <w:t>投诉电话：</w:t>
      </w:r>
      <w:r>
        <w:rPr>
          <w:rFonts w:hint="eastAsia" w:ascii="仿宋_GB2312"/>
          <w:sz w:val="28"/>
          <w:szCs w:val="28"/>
          <w:lang w:val="en-US" w:eastAsia="zh-CN"/>
        </w:rPr>
        <w:t>12345</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十七、</w:t>
      </w:r>
      <w:r>
        <w:rPr>
          <w:rFonts w:hint="eastAsia" w:ascii="仿宋_GB2312"/>
          <w:b/>
          <w:sz w:val="28"/>
          <w:szCs w:val="28"/>
        </w:rPr>
        <w:t>咨询电话：</w:t>
      </w:r>
      <w:r>
        <w:rPr>
          <w:rFonts w:hint="eastAsia" w:ascii="仿宋_GB2312"/>
          <w:sz w:val="28"/>
          <w:szCs w:val="28"/>
          <w:lang w:val="en-US" w:eastAsia="zh-CN"/>
        </w:rPr>
        <w:t>0598-6821230</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十八、</w:t>
      </w:r>
      <w:r>
        <w:rPr>
          <w:rFonts w:hint="eastAsia" w:ascii="仿宋_GB2312"/>
          <w:b/>
          <w:sz w:val="28"/>
          <w:szCs w:val="28"/>
        </w:rPr>
        <w:t>办公时间</w:t>
      </w:r>
      <w:r>
        <w:rPr>
          <w:rFonts w:hint="eastAsia" w:ascii="仿宋_GB2312"/>
          <w:b/>
          <w:sz w:val="28"/>
          <w:szCs w:val="28"/>
          <w:lang w:eastAsia="zh-CN"/>
        </w:rPr>
        <w:t>：</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3</w:t>
      </w:r>
      <w:r>
        <w:rPr>
          <w:rFonts w:hint="eastAsia" w:ascii="仿宋_GB2312"/>
          <w:sz w:val="28"/>
          <w:szCs w:val="28"/>
        </w:rPr>
        <w:t>：</w:t>
      </w:r>
      <w:r>
        <w:rPr>
          <w:rFonts w:ascii="仿宋_GB2312"/>
          <w:sz w:val="28"/>
          <w:szCs w:val="28"/>
        </w:rPr>
        <w:t>00—6</w:t>
      </w:r>
      <w:r>
        <w:rPr>
          <w:rFonts w:hint="eastAsia" w:ascii="仿宋_GB2312"/>
          <w:sz w:val="28"/>
          <w:szCs w:val="28"/>
        </w:rPr>
        <w:t>：</w:t>
      </w:r>
      <w:r>
        <w:rPr>
          <w:rFonts w:ascii="仿宋_GB2312"/>
          <w:sz w:val="28"/>
          <w:szCs w:val="28"/>
        </w:rPr>
        <w:t>00</w:t>
      </w:r>
      <w:r>
        <w:rPr>
          <w:rFonts w:hint="eastAsia" w:ascii="仿宋_GB2312"/>
          <w:sz w:val="28"/>
          <w:szCs w:val="28"/>
        </w:rPr>
        <w:t>（夏令时）</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ascii="仿宋_GB2312"/>
          <w:sz w:val="28"/>
          <w:szCs w:val="28"/>
        </w:rPr>
        <w:t xml:space="preserve">          </w:t>
      </w:r>
      <w:r>
        <w:rPr>
          <w:rFonts w:hint="eastAsia" w:ascii="仿宋_GB2312"/>
          <w:sz w:val="28"/>
          <w:szCs w:val="28"/>
          <w:lang w:val="en-US" w:eastAsia="zh-CN"/>
        </w:rPr>
        <w:t xml:space="preserve">     </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2</w:t>
      </w:r>
      <w:r>
        <w:rPr>
          <w:rFonts w:hint="eastAsia" w:ascii="仿宋_GB2312"/>
          <w:sz w:val="28"/>
          <w:szCs w:val="28"/>
        </w:rPr>
        <w:t>：</w:t>
      </w:r>
      <w:r>
        <w:rPr>
          <w:rFonts w:ascii="仿宋_GB2312"/>
          <w:sz w:val="28"/>
          <w:szCs w:val="28"/>
        </w:rPr>
        <w:t>30—5</w:t>
      </w:r>
      <w:r>
        <w:rPr>
          <w:rFonts w:hint="eastAsia" w:ascii="仿宋_GB2312"/>
          <w:sz w:val="28"/>
          <w:szCs w:val="28"/>
        </w:rPr>
        <w:t>：</w:t>
      </w:r>
      <w:r>
        <w:rPr>
          <w:rFonts w:ascii="仿宋_GB2312"/>
          <w:sz w:val="28"/>
          <w:szCs w:val="28"/>
        </w:rPr>
        <w:t>30</w:t>
      </w:r>
      <w:r>
        <w:rPr>
          <w:rFonts w:hint="eastAsia" w:ascii="仿宋_GB2312"/>
          <w:sz w:val="28"/>
          <w:szCs w:val="28"/>
        </w:rPr>
        <w:t>（冬令时）</w:t>
      </w:r>
    </w:p>
    <w:p>
      <w:pPr>
        <w:keepNext w:val="0"/>
        <w:keepLines w:val="0"/>
        <w:pageBreakBefore w:val="0"/>
        <w:kinsoku/>
        <w:wordWrap/>
        <w:overflowPunct/>
        <w:topLinePunct w:val="0"/>
        <w:autoSpaceDE/>
        <w:autoSpaceDN/>
        <w:bidi w:val="0"/>
        <w:adjustRightInd/>
        <w:snapToGrid/>
        <w:spacing w:line="520" w:lineRule="exact"/>
        <w:ind w:left="2530" w:hanging="2530" w:hangingChars="900"/>
        <w:textAlignment w:val="auto"/>
        <w:outlineLvl w:val="9"/>
        <w:rPr>
          <w:rFonts w:ascii="仿宋_GB2312"/>
          <w:sz w:val="28"/>
          <w:szCs w:val="28"/>
        </w:rPr>
      </w:pPr>
      <w:r>
        <w:rPr>
          <w:rFonts w:hint="eastAsia" w:ascii="仿宋_GB2312"/>
          <w:b/>
          <w:bCs/>
          <w:sz w:val="28"/>
          <w:szCs w:val="28"/>
          <w:lang w:eastAsia="zh-CN"/>
        </w:rPr>
        <w:t>十九、办公地址</w:t>
      </w:r>
      <w:r>
        <w:rPr>
          <w:rFonts w:hint="eastAsia" w:ascii="仿宋_GB2312"/>
          <w:sz w:val="28"/>
          <w:szCs w:val="28"/>
          <w:lang w:eastAsia="zh-CN"/>
        </w:rPr>
        <w:t>：</w:t>
      </w:r>
      <w:r>
        <w:rPr>
          <w:rFonts w:hint="eastAsia" w:ascii="仿宋_GB2312"/>
          <w:sz w:val="28"/>
          <w:szCs w:val="28"/>
        </w:rPr>
        <w:t>宁化县</w:t>
      </w:r>
      <w:r>
        <w:rPr>
          <w:rFonts w:hint="eastAsia" w:ascii="仿宋_GB2312"/>
          <w:sz w:val="28"/>
          <w:szCs w:val="28"/>
          <w:lang w:eastAsia="zh-CN"/>
        </w:rPr>
        <w:t>万星</w:t>
      </w:r>
      <w:r>
        <w:rPr>
          <w:rFonts w:hint="eastAsia" w:ascii="仿宋_GB2312"/>
          <w:sz w:val="28"/>
          <w:szCs w:val="28"/>
        </w:rPr>
        <w:t>广场</w:t>
      </w:r>
      <w:r>
        <w:rPr>
          <w:rFonts w:hint="eastAsia" w:ascii="仿宋_GB2312"/>
          <w:sz w:val="28"/>
          <w:szCs w:val="28"/>
          <w:lang w:val="en-US" w:eastAsia="zh-CN"/>
        </w:rPr>
        <w:t>1号楼三楼行政服务中心70号综合窗口</w:t>
      </w:r>
    </w:p>
    <w:p>
      <w:pPr>
        <w:keepNext w:val="0"/>
        <w:keepLines w:val="0"/>
        <w:pageBreakBefore w:val="0"/>
        <w:kinsoku/>
        <w:wordWrap/>
        <w:overflowPunct/>
        <w:topLinePunct w:val="0"/>
        <w:autoSpaceDE/>
        <w:autoSpaceDN/>
        <w:bidi w:val="0"/>
        <w:adjustRightInd/>
        <w:snapToGrid/>
        <w:spacing w:line="520" w:lineRule="exact"/>
        <w:ind w:left="2249" w:hanging="2249" w:hangingChars="800"/>
        <w:textAlignment w:val="auto"/>
        <w:outlineLvl w:val="9"/>
        <w:rPr>
          <w:rFonts w:ascii="仿宋_GB2312"/>
          <w:sz w:val="28"/>
          <w:szCs w:val="28"/>
        </w:rPr>
      </w:pPr>
      <w:r>
        <w:rPr>
          <w:rFonts w:hint="eastAsia" w:ascii="仿宋_GB2312"/>
          <w:b/>
          <w:sz w:val="28"/>
          <w:szCs w:val="28"/>
          <w:lang w:eastAsia="zh-CN"/>
        </w:rPr>
        <w:t>二十、</w:t>
      </w:r>
      <w:r>
        <w:rPr>
          <w:rFonts w:hint="eastAsia" w:ascii="仿宋_GB2312"/>
          <w:b/>
          <w:sz w:val="28"/>
          <w:szCs w:val="28"/>
        </w:rPr>
        <w:t>乘车路线：</w:t>
      </w:r>
      <w:r>
        <w:rPr>
          <w:rFonts w:hint="eastAsia" w:ascii="仿宋_GB2312"/>
          <w:sz w:val="28"/>
          <w:szCs w:val="28"/>
        </w:rPr>
        <w:t>乘</w:t>
      </w:r>
      <w:r>
        <w:rPr>
          <w:rFonts w:ascii="仿宋_GB2312"/>
          <w:sz w:val="28"/>
          <w:szCs w:val="28"/>
        </w:rPr>
        <w:t>1</w:t>
      </w:r>
      <w:r>
        <w:rPr>
          <w:rFonts w:hint="eastAsia" w:ascii="仿宋_GB2312"/>
          <w:sz w:val="28"/>
          <w:szCs w:val="28"/>
        </w:rPr>
        <w:t>、</w:t>
      </w:r>
      <w:r>
        <w:rPr>
          <w:rFonts w:ascii="仿宋_GB2312"/>
          <w:sz w:val="28"/>
          <w:szCs w:val="28"/>
        </w:rPr>
        <w:t>2</w:t>
      </w:r>
      <w:r>
        <w:rPr>
          <w:rFonts w:hint="eastAsia" w:ascii="仿宋_GB2312"/>
          <w:sz w:val="28"/>
          <w:szCs w:val="28"/>
        </w:rPr>
        <w:t>路公交车至宁化法院站下，往江滨北路方向步行</w:t>
      </w:r>
      <w:r>
        <w:rPr>
          <w:rFonts w:ascii="仿宋_GB2312"/>
          <w:sz w:val="28"/>
          <w:szCs w:val="28"/>
        </w:rPr>
        <w:t>500</w:t>
      </w:r>
      <w:r>
        <w:rPr>
          <w:rFonts w:hint="eastAsia" w:ascii="仿宋_GB2312"/>
          <w:sz w:val="28"/>
          <w:szCs w:val="28"/>
        </w:rPr>
        <w:t>米；乘</w:t>
      </w:r>
      <w:r>
        <w:rPr>
          <w:rFonts w:ascii="仿宋_GB2312"/>
          <w:sz w:val="28"/>
          <w:szCs w:val="28"/>
        </w:rPr>
        <w:t>7</w:t>
      </w:r>
      <w:r>
        <w:rPr>
          <w:rFonts w:hint="eastAsia" w:ascii="仿宋_GB2312"/>
          <w:sz w:val="28"/>
          <w:szCs w:val="28"/>
        </w:rPr>
        <w:t>、</w:t>
      </w:r>
      <w:r>
        <w:rPr>
          <w:rFonts w:ascii="仿宋_GB2312"/>
          <w:sz w:val="28"/>
          <w:szCs w:val="28"/>
        </w:rPr>
        <w:t>8</w:t>
      </w:r>
      <w:r>
        <w:rPr>
          <w:rFonts w:hint="eastAsia" w:ascii="仿宋_GB2312"/>
          <w:sz w:val="28"/>
          <w:szCs w:val="28"/>
        </w:rPr>
        <w:t>路公交车至万星广场站下</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r>
        <w:rPr>
          <w:rFonts w:hint="eastAsia" w:ascii="仿宋_GB2312"/>
          <w:b/>
          <w:sz w:val="28"/>
          <w:szCs w:val="28"/>
          <w:lang w:eastAsia="zh-CN"/>
        </w:rPr>
        <w:t>二十一、</w:t>
      </w:r>
      <w:r>
        <w:rPr>
          <w:rFonts w:hint="eastAsia" w:ascii="仿宋_GB2312"/>
          <w:b/>
          <w:sz w:val="28"/>
          <w:szCs w:val="28"/>
        </w:rPr>
        <w:t>状态查询：</w:t>
      </w:r>
      <w:bookmarkStart w:id="0" w:name="_GoBack"/>
      <w:r>
        <w:rPr>
          <w:rFonts w:hint="eastAsia" w:ascii="仿宋_GB2312"/>
          <w:sz w:val="28"/>
          <w:szCs w:val="28"/>
          <w:lang w:val="en-US" w:eastAsia="zh-CN"/>
        </w:rPr>
        <w:t>福建省网上办事大厅http://www.fjbs.gov.cn</w:t>
      </w:r>
      <w:bookmarkEnd w:id="0"/>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ind w:left="6080" w:hanging="6080" w:hangingChars="1900"/>
        <w:textAlignment w:val="auto"/>
        <w:outlineLvl w:val="9"/>
        <w:rPr>
          <w:rFonts w:ascii="仿宋_GB2312" w:hAnsi="宋体"/>
          <w:bCs/>
          <w:szCs w:val="32"/>
        </w:rPr>
      </w:pPr>
      <w:r>
        <w:rPr>
          <w:rFonts w:ascii="仿宋_GB2312" w:hAnsi="宋体"/>
          <w:bCs/>
          <w:szCs w:val="32"/>
        </w:rPr>
        <w:t xml:space="preserve">                                 </w:t>
      </w:r>
      <w:r>
        <w:rPr>
          <w:rFonts w:hint="eastAsia" w:ascii="仿宋_GB2312" w:hAnsi="宋体"/>
          <w:bCs/>
          <w:szCs w:val="32"/>
        </w:rPr>
        <w:t>宁化县</w:t>
      </w:r>
      <w:r>
        <w:rPr>
          <w:rFonts w:hint="eastAsia" w:ascii="仿宋_GB2312" w:hAnsi="宋体"/>
          <w:bCs/>
          <w:szCs w:val="32"/>
          <w:lang w:val="en-US" w:eastAsia="zh-CN"/>
        </w:rPr>
        <w:t>文体和旅游局</w:t>
      </w:r>
      <w:r>
        <w:rPr>
          <w:rFonts w:ascii="仿宋_GB2312" w:hAnsi="宋体"/>
          <w:bCs/>
          <w:szCs w:val="32"/>
        </w:rPr>
        <w:t xml:space="preserve">                                   </w:t>
      </w:r>
      <w:r>
        <w:rPr>
          <w:rFonts w:hint="eastAsia" w:ascii="仿宋_GB2312" w:hAnsi="宋体"/>
          <w:bCs/>
          <w:szCs w:val="32"/>
        </w:rPr>
        <w:t>（单位公章）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hAnsi="宋体"/>
          <w:bCs/>
          <w:szCs w:val="32"/>
        </w:rPr>
      </w:pPr>
    </w:p>
    <w:p>
      <w:pPr>
        <w:keepNext w:val="0"/>
        <w:keepLines w:val="0"/>
        <w:pageBreakBefore w:val="0"/>
        <w:kinsoku/>
        <w:wordWrap/>
        <w:overflowPunct/>
        <w:topLinePunct w:val="0"/>
        <w:autoSpaceDE/>
        <w:autoSpaceDN/>
        <w:bidi w:val="0"/>
        <w:adjustRightInd/>
        <w:snapToGrid/>
        <w:spacing w:line="520" w:lineRule="exact"/>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A8D5FB"/>
    <w:multiLevelType w:val="singleLevel"/>
    <w:tmpl w:val="24A8D5F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F560EB"/>
    <w:rsid w:val="2CCE1CEB"/>
    <w:rsid w:val="3378433E"/>
    <w:rsid w:val="429C6755"/>
    <w:rsid w:val="4C800E01"/>
    <w:rsid w:val="62062C78"/>
    <w:rsid w:val="77876593"/>
    <w:rsid w:val="78D26EAC"/>
    <w:rsid w:val="7A942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2"/>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Office_10.8.2.6949_F1E327BC-269C-435d-A152-05C5408002CA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未定义</cp:lastModifiedBy>
  <dcterms:modified xsi:type="dcterms:W3CDTF">2020-12-30T09:01:17Z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2052-10.8.2.6949</vt:lpwstr>
  </property>
</Properties>
</file>