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spacing w:line="600" w:lineRule="exact"/>
        <w:jc w:val="left"/>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snapToGrid w:val="0"/>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宁化县住建局《服务指南》</w:t>
      </w:r>
    </w:p>
    <w:p>
      <w:pPr>
        <w:keepNext w:val="0"/>
        <w:keepLines w:val="0"/>
        <w:pageBreakBefore w:val="0"/>
        <w:widowControl w:val="0"/>
        <w:kinsoku/>
        <w:wordWrap w:val="0"/>
        <w:overflowPunct/>
        <w:topLinePunct w:val="0"/>
        <w:autoSpaceDE/>
        <w:autoSpaceDN/>
        <w:bidi w:val="0"/>
        <w:adjustRightInd/>
        <w:snapToGrid w:val="0"/>
        <w:spacing w:line="60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事项名称</w:t>
      </w:r>
      <w:r>
        <w:rPr>
          <w:rFonts w:hint="eastAsia" w:ascii="仿宋_GB2312" w:hAnsi="仿宋_GB2312" w:eastAsia="仿宋_GB2312" w:cs="仿宋_GB2312"/>
          <w:sz w:val="32"/>
          <w:szCs w:val="32"/>
          <w:lang w:val="en-US" w:eastAsia="zh-CN"/>
        </w:rPr>
        <w:t>：商品房预售许可</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事项类别</w:t>
      </w:r>
      <w:r>
        <w:rPr>
          <w:rFonts w:hint="eastAsia" w:ascii="仿宋_GB2312" w:hAnsi="仿宋_GB2312" w:eastAsia="仿宋_GB2312" w:cs="仿宋_GB2312"/>
          <w:sz w:val="32"/>
          <w:szCs w:val="32"/>
          <w:lang w:val="en-US" w:eastAsia="zh-CN"/>
        </w:rPr>
        <w:t>：行政许可</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办理依据</w:t>
      </w:r>
      <w:r>
        <w:rPr>
          <w:rFonts w:hint="eastAsia" w:ascii="仿宋_GB2312" w:hAnsi="仿宋_GB2312" w:eastAsia="仿宋_GB2312" w:cs="仿宋_GB2312"/>
          <w:sz w:val="32"/>
          <w:szCs w:val="32"/>
          <w:lang w:val="en-US" w:eastAsia="zh-CN"/>
        </w:rPr>
        <w:t>：《中华人民共和国城市房地产管理法》（中华人民共和国主席令第二十九号）《</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"http://www.fujian.gov.cn/zcwjk/szjt/202110/t20211027_5750760.htm" \t "https://zwfw.fujian.gov.cn/person-todo/_blank"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城市房地产开发经营管理条例</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 （中华人民共和国国务院令第588号）《城市商品房预售管理办法》 （中华人民共和国建设部令第131号） 《福建省商品房预售管理暂行办法》（闽建房函〔2005〕88号）。</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受理机构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审批机构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申请条件</w:t>
      </w:r>
      <w:r>
        <w:rPr>
          <w:rFonts w:hint="eastAsia" w:ascii="仿宋_GB2312" w:hAnsi="仿宋_GB2312" w:eastAsia="仿宋_GB2312" w:cs="仿宋_GB2312"/>
          <w:sz w:val="32"/>
          <w:szCs w:val="32"/>
          <w:lang w:val="en-US" w:eastAsia="zh-CN"/>
        </w:rPr>
        <w:t>：</w:t>
      </w:r>
    </w:p>
    <w:p>
      <w:pPr>
        <w:keepNext w:val="0"/>
        <w:keepLines w:val="0"/>
        <w:widowControl/>
        <w:suppressLineNumbers w:val="0"/>
        <w:pBdr>
          <w:left w:val="none" w:color="auto" w:sz="0" w:space="0"/>
          <w:right w:val="none" w:color="auto" w:sz="0" w:space="0"/>
        </w:pBdr>
        <w:spacing w:before="240" w:beforeAutospacing="0"/>
        <w:ind w:left="519" w:leftChars="247" w:right="-326" w:firstLine="0" w:firstLineChars="0"/>
        <w:jc w:val="left"/>
      </w:pPr>
      <w:r>
        <w:rPr>
          <w:rFonts w:hint="eastAsia" w:ascii="仿宋_GB2312" w:hAnsi="仿宋_GB2312" w:eastAsia="仿宋_GB2312" w:cs="仿宋_GB2312"/>
          <w:sz w:val="32"/>
          <w:szCs w:val="32"/>
          <w:lang w:val="en-US" w:eastAsia="zh-CN"/>
        </w:rPr>
        <w:t xml:space="preserve">1、已交付全部土地使用权出让金，取得土地使用权证书； </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2、持有建设工程规划许可证、施工许可证； </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3、按提供预售商品房计算，投入开发建设的资金达到工程建设总投资的25%以上，并已经确定施工商品房项目进度和竣工交付日期。 </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4、已在项目所在地的银行设立商品房预售款监管专用帐户。 </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5、白蚂蚁防治合同、备案表已取得。 </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6、已办理了楼盘表备案。</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申请材料</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1、商品房预售申请表;</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2、投入开发建设的资金占工程建设总投资比例的25%以上的材料及施工现场照片，或提供达到省住建厅规定的工程形象进度要求的材料及施工现场照片；</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3、工程建设情况说明；</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4、预售方案；　　 </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5、营业执照；</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6、房地产开发企业资质证书；　　　　　　　   </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7、国有土地使用权证；</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8、根据施工图设计文件绘制并经规划部门核准的商品房预售总平面图、分层平面图、分户面积图 ；           </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9、拟预售商品房的房屋面积预测算成果材料； </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10、预售商品房楼盘表； </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11、商品房预售资金监管协议；</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12、申请单位委托书（经办人需提供身份证原件核验）；</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13、建设用地规划许可证；</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14、建设工程规划许可证 ；</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15、建筑工程施工许可证；</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16、现场勘察报告（附项目进度相片）；</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32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17、银行同意办理商品房出售意见函（有土地抵押或在建工程抵押的）；</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办理流程</w:t>
      </w:r>
      <w:r>
        <w:rPr>
          <w:rFonts w:hint="eastAsia" w:ascii="仿宋_GB2312" w:hAnsi="仿宋_GB2312" w:eastAsia="仿宋_GB2312" w:cs="仿宋_GB2312"/>
          <w:sz w:val="32"/>
          <w:szCs w:val="32"/>
          <w:lang w:val="en-US" w:eastAsia="zh-CN"/>
        </w:rPr>
        <w:t>：受理——审查——决定</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法定办理时限</w:t>
      </w:r>
      <w:r>
        <w:rPr>
          <w:rFonts w:hint="eastAsia" w:ascii="仿宋_GB2312" w:hAnsi="仿宋_GB2312" w:eastAsia="仿宋_GB2312" w:cs="仿宋_GB2312"/>
          <w:sz w:val="32"/>
          <w:szCs w:val="32"/>
          <w:lang w:val="en-US" w:eastAsia="zh-CN"/>
        </w:rPr>
        <w:t>：20个工作日</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承诺办理时限</w:t>
      </w:r>
      <w:r>
        <w:rPr>
          <w:rFonts w:hint="eastAsia" w:ascii="仿宋_GB2312" w:hAnsi="仿宋_GB2312" w:eastAsia="仿宋_GB2312" w:cs="仿宋_GB2312"/>
          <w:sz w:val="32"/>
          <w:szCs w:val="32"/>
          <w:lang w:val="en-US" w:eastAsia="zh-CN"/>
        </w:rPr>
        <w:t>：3个工作日</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发放证照情况：</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收费标准</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收费依据</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表格下载</w:t>
      </w:r>
      <w:r>
        <w:rPr>
          <w:rFonts w:hint="eastAsia" w:ascii="仿宋_GB2312" w:hAnsi="仿宋_GB2312" w:eastAsia="仿宋_GB2312" w:cs="仿宋_GB2312"/>
          <w:sz w:val="32"/>
          <w:szCs w:val="32"/>
          <w:lang w:val="en-US" w:eastAsia="zh-CN"/>
        </w:rPr>
        <w:t>：登录福建省网上办事大厅（http://zwfw.fujian.gov.cn/）——选择办理地区（宁化县）——选择“我要办”模块——部门服务——选择宁化县住建局——选择办理事项——申报材料</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填表示例</w:t>
      </w:r>
      <w:r>
        <w:rPr>
          <w:rFonts w:hint="eastAsia" w:ascii="仿宋_GB2312" w:hAnsi="仿宋_GB2312" w:eastAsia="仿宋_GB2312" w:cs="仿宋_GB2312"/>
          <w:sz w:val="32"/>
          <w:szCs w:val="32"/>
          <w:lang w:val="en-US" w:eastAsia="zh-CN"/>
        </w:rPr>
        <w:t>：福建省网上办事大厅</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投诉电话</w:t>
      </w:r>
      <w:r>
        <w:rPr>
          <w:rFonts w:hint="eastAsia" w:ascii="仿宋_GB2312" w:hAnsi="仿宋_GB2312" w:eastAsia="仿宋_GB2312" w:cs="仿宋_GB2312"/>
          <w:sz w:val="32"/>
          <w:szCs w:val="32"/>
          <w:lang w:val="en-US" w:eastAsia="zh-CN"/>
        </w:rPr>
        <w:t xml:space="preserve">：12345 </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咨询电话</w:t>
      </w:r>
      <w:r>
        <w:rPr>
          <w:rFonts w:hint="eastAsia" w:ascii="仿宋_GB2312" w:hAnsi="仿宋_GB2312" w:eastAsia="仿宋_GB2312" w:cs="仿宋_GB2312"/>
          <w:sz w:val="32"/>
          <w:szCs w:val="32"/>
          <w:lang w:val="en-US" w:eastAsia="zh-CN"/>
        </w:rPr>
        <w:t>：0598-6822883</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办公时间：</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上午：8:00-12:00，下午：14:30-17:30（法定节假日除外，夏令时调整为下午：15:00-18:00）</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default" w:ascii="仿宋" w:hAnsi="仿宋" w:eastAsia="仿宋" w:cs="仿宋"/>
          <w:sz w:val="28"/>
          <w:szCs w:val="28"/>
          <w:lang w:val="en-US"/>
        </w:rPr>
      </w:pPr>
      <w:bookmarkStart w:id="0" w:name="_GoBack"/>
      <w:bookmarkEnd w:id="0"/>
      <w:r>
        <w:rPr>
          <w:rFonts w:hint="eastAsia" w:ascii="黑体" w:hAnsi="黑体" w:eastAsia="黑体" w:cs="黑体"/>
          <w:sz w:val="32"/>
          <w:szCs w:val="32"/>
          <w:lang w:val="en-US" w:eastAsia="zh-CN"/>
        </w:rPr>
        <w:t>办公地址</w:t>
      </w:r>
      <w:r>
        <w:rPr>
          <w:rFonts w:hint="eastAsia" w:ascii="仿宋_GB2312" w:hAnsi="仿宋_GB2312" w:eastAsia="仿宋_GB2312" w:cs="仿宋_GB2312"/>
          <w:sz w:val="32"/>
          <w:szCs w:val="32"/>
          <w:lang w:val="en-US" w:eastAsia="zh-CN"/>
        </w:rPr>
        <w:t>：宁化县城市规划建设展览馆18楼房地产业股</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default" w:ascii="仿宋_GB2312" w:hAnsi="仿宋_GB2312" w:eastAsia="仿宋_GB2312" w:cs="仿宋_GB2312"/>
          <w:sz w:val="28"/>
          <w:szCs w:val="28"/>
          <w:lang w:val="en-US"/>
        </w:rPr>
      </w:pPr>
      <w:r>
        <w:rPr>
          <w:rFonts w:hint="eastAsia" w:ascii="黑体" w:hAnsi="黑体" w:eastAsia="黑体" w:cs="黑体"/>
          <w:sz w:val="32"/>
          <w:szCs w:val="32"/>
          <w:lang w:val="en-US" w:eastAsia="zh-CN"/>
        </w:rPr>
        <w:t>乘车路线</w:t>
      </w:r>
      <w:r>
        <w:rPr>
          <w:rFonts w:hint="eastAsia" w:ascii="仿宋_GB2312" w:hAnsi="仿宋_GB2312" w:eastAsia="仿宋_GB2312" w:cs="仿宋_GB2312"/>
          <w:sz w:val="32"/>
          <w:szCs w:val="32"/>
          <w:lang w:val="en-US" w:eastAsia="zh-CN"/>
        </w:rPr>
        <w:t>：乘坐6路公交车到城市规划建设展览馆</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1.咨询电话：0598-6822883</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p>
    <w:p>
      <w:pPr>
        <w:keepNext w:val="0"/>
        <w:keepLines w:val="0"/>
        <w:widowControl/>
        <w:suppressLineNumbers w:val="0"/>
        <w:pBdr>
          <w:right w:val="none" w:color="auto" w:sz="0" w:space="0"/>
        </w:pBdr>
        <w:spacing w:before="0" w:beforeAutospacing="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1323975" cy="1323975"/>
            <wp:effectExtent l="0" t="0" r="1905"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323975" cy="1323975"/>
                    </a:xfrm>
                    <a:prstGeom prst="rect">
                      <a:avLst/>
                    </a:prstGeom>
                    <a:noFill/>
                    <a:ln w="9525">
                      <a:noFill/>
                    </a:ln>
                  </pic:spPr>
                </pic:pic>
              </a:graphicData>
            </a:graphic>
          </wp:inline>
        </w:drawing>
      </w:r>
    </w:p>
    <w:p>
      <w:pPr>
        <w:keepNext w:val="0"/>
        <w:keepLines w:val="0"/>
        <w:widowControl/>
        <w:suppressLineNumbers w:val="0"/>
        <w:pBdr>
          <w:right w:val="none" w:color="auto" w:sz="0" w:space="0"/>
        </w:pBdr>
        <w:spacing w:before="0" w:beforeAutospacing="0"/>
        <w:jc w:val="left"/>
      </w:pPr>
    </w:p>
    <w:p>
      <w:pPr>
        <w:rPr>
          <w:rFonts w:hint="eastAsia" w:ascii="仿宋_GB2312" w:hAnsi="仿宋_GB2312" w:eastAsia="仿宋_GB2312" w:cs="仿宋_GB2312"/>
          <w:sz w:val="32"/>
          <w:szCs w:val="32"/>
          <w:lang w:val="en-US" w:eastAsia="zh-CN"/>
        </w:rPr>
      </w:pPr>
      <w:r>
        <w:rPr>
          <w:rFonts w:hint="eastAsia"/>
          <w:sz w:val="28"/>
          <w:szCs w:val="28"/>
          <w:lang w:val="en-US" w:eastAsia="zh-CN"/>
        </w:rPr>
        <w:t xml:space="preserve">                    </w:t>
      </w:r>
      <w:r>
        <w:rPr>
          <w:rFonts w:hint="eastAsia" w:ascii="仿宋_GB2312" w:hAnsi="仿宋_GB2312" w:eastAsia="仿宋_GB2312" w:cs="仿宋_GB2312"/>
          <w:sz w:val="32"/>
          <w:szCs w:val="32"/>
          <w:lang w:val="en-US" w:eastAsia="zh-CN"/>
        </w:rPr>
        <w:t>二维码扫一扫</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jc w:val="both"/>
        <w:textAlignment w:val="auto"/>
        <w:rPr>
          <w:rFonts w:hint="default" w:ascii="仿宋_GB2312" w:hAnsi="仿宋_GB2312" w:eastAsia="仿宋_GB2312" w:cs="仿宋_GB2312"/>
          <w:sz w:val="32"/>
          <w:szCs w:val="32"/>
          <w:lang w:val="en-US" w:eastAsia="zh-CN"/>
        </w:rPr>
      </w:pPr>
    </w:p>
    <w:p>
      <w:pPr>
        <w:rPr>
          <w:rFonts w:hint="eastAsia" w:eastAsia="宋体"/>
          <w:lang w:eastAsia="zh-CN"/>
        </w:rPr>
      </w:pPr>
    </w:p>
    <w:p/>
    <w:p/>
    <w:p/>
    <w:p/>
    <w:p/>
    <w:p>
      <w:pPr>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sz w:val="28"/>
          <w:szCs w:val="28"/>
          <w:lang w:val="en-US" w:eastAsia="zh-CN"/>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E17F68"/>
    <w:rsid w:val="08F47AF1"/>
    <w:rsid w:val="19EC54C6"/>
    <w:rsid w:val="1D9B230B"/>
    <w:rsid w:val="24154D47"/>
    <w:rsid w:val="2C1604ED"/>
    <w:rsid w:val="2CB63A2E"/>
    <w:rsid w:val="3DB24D75"/>
    <w:rsid w:val="3EC228DF"/>
    <w:rsid w:val="47DB1727"/>
    <w:rsid w:val="53C22030"/>
    <w:rsid w:val="61E17F68"/>
    <w:rsid w:val="67AA5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qFormat/>
    <w:uiPriority w:val="0"/>
    <w:rPr>
      <w:color w:val="800080"/>
      <w:u w:val="single"/>
    </w:rPr>
  </w:style>
  <w:style w:type="character" w:styleId="6">
    <w:name w:val="Hyperlink"/>
    <w:basedOn w:val="4"/>
    <w:qFormat/>
    <w:uiPriority w:val="0"/>
    <w:rPr>
      <w:color w:val="0000FF"/>
      <w:u w:val="single"/>
    </w:rPr>
  </w:style>
  <w:style w:type="character" w:customStyle="1" w:styleId="7">
    <w:name w:val="first-child"/>
    <w:basedOn w:val="4"/>
    <w:qFormat/>
    <w:uiPriority w:val="0"/>
  </w:style>
  <w:style w:type="character" w:customStyle="1" w:styleId="8">
    <w:name w:val="layui-layer-tabnow"/>
    <w:basedOn w:val="4"/>
    <w:qFormat/>
    <w:uiPriority w:val="0"/>
    <w:rPr>
      <w:bdr w:val="single" w:color="CCCCCC" w:sz="6" w:space="0"/>
      <w:shd w:val="clear" w:fill="FFFFFF"/>
    </w:rPr>
  </w:style>
  <w:style w:type="character" w:customStyle="1" w:styleId="9">
    <w:name w:val="dis[data-v-f30dc9ca]"/>
    <w:basedOn w:val="4"/>
    <w:qFormat/>
    <w:uiPriority w:val="0"/>
    <w:rPr>
      <w:color w:val="E3E3E3"/>
    </w:rPr>
  </w:style>
  <w:style w:type="character" w:customStyle="1" w:styleId="10">
    <w:name w:val="tabactive[data-v-f30dc9ca]"/>
    <w:basedOn w:val="4"/>
    <w:qFormat/>
    <w:uiPriority w:val="0"/>
    <w:rPr>
      <w:color w:val="FFFFFF"/>
      <w:bdr w:val="single" w:color="17579F" w:sz="4" w:space="0"/>
      <w:shd w:val="clear" w:fill="17579F"/>
    </w:rPr>
  </w:style>
  <w:style w:type="character" w:customStyle="1" w:styleId="11">
    <w:name w:val="active[data-v-f30dc9ca]"/>
    <w:basedOn w:val="4"/>
    <w:uiPriority w:val="0"/>
    <w:rPr>
      <w:color w:val="FFFFFF"/>
      <w:shd w:val="clear" w:fill="17579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2021-04-01T09:05:00Z</dcterms:created>
  <dc:creator>Administrator</dc:creator>
  <cp:lastModifiedBy>Administrator</cp:lastModifiedBy>
  <dcterms:modified xsi:type="dcterms:W3CDTF">2021-12-16T05:21:54Z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38BF2056F7D9413A9A5D3C2EE8CE1F9E</vt:lpwstr>
  </property>
</Properties>
</file>