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Cs w:val="32"/>
        </w:rPr>
      </w:pPr>
      <w:r>
        <w:rPr>
          <w:rFonts w:hint="eastAsia" w:asciiTheme="majorEastAsia" w:hAnsiTheme="majorEastAsia" w:eastAsiaTheme="majorEastAsia"/>
          <w:b/>
          <w:szCs w:val="32"/>
        </w:rPr>
        <w:t>宁化县人民政府行政服务中心管委会</w:t>
      </w:r>
    </w:p>
    <w:p>
      <w:pPr>
        <w:jc w:val="center"/>
        <w:rPr>
          <w:rFonts w:asciiTheme="majorEastAsia" w:hAnsiTheme="majorEastAsia" w:eastAsiaTheme="majorEastAsia"/>
          <w:b/>
          <w:szCs w:val="32"/>
        </w:rPr>
      </w:pPr>
      <w:r>
        <w:rPr>
          <w:rFonts w:hint="eastAsia" w:cs="宋体" w:asciiTheme="majorEastAsia" w:hAnsiTheme="majorEastAsia" w:eastAsiaTheme="majorEastAsia"/>
          <w:b/>
          <w:szCs w:val="32"/>
        </w:rPr>
        <w:t>宁化县</w:t>
      </w:r>
      <w:r>
        <w:rPr>
          <w:rFonts w:hint="eastAsia" w:asciiTheme="majorEastAsia" w:hAnsiTheme="majorEastAsia" w:eastAsiaTheme="majorEastAsia"/>
          <w:b/>
          <w:szCs w:val="32"/>
        </w:rPr>
        <w:t>不动产登记中心</w:t>
      </w:r>
    </w:p>
    <w:p>
      <w:pPr>
        <w:jc w:val="center"/>
        <w:rPr>
          <w:rFonts w:cs="宋体" w:asciiTheme="majorEastAsia" w:hAnsiTheme="majorEastAsia" w:eastAsiaTheme="majorEastAsia"/>
          <w:b/>
          <w:szCs w:val="32"/>
        </w:rPr>
      </w:pPr>
      <w:r>
        <w:rPr>
          <w:rFonts w:hint="eastAsia" w:asciiTheme="majorEastAsia" w:hAnsiTheme="majorEastAsia" w:eastAsiaTheme="majorEastAsia"/>
          <w:b/>
          <w:szCs w:val="32"/>
        </w:rPr>
        <w:t>办理</w:t>
      </w:r>
      <w:r>
        <w:rPr>
          <w:rFonts w:hint="eastAsia" w:cs="宋体" w:asciiTheme="majorEastAsia" w:hAnsiTheme="majorEastAsia" w:eastAsiaTheme="majorEastAsia"/>
          <w:b/>
          <w:szCs w:val="32"/>
        </w:rPr>
        <w:t>抵押权登记变更登记服务指南</w:t>
      </w:r>
    </w:p>
    <w:p>
      <w:pPr>
        <w:jc w:val="center"/>
        <w:rPr>
          <w:rFonts w:asciiTheme="majorEastAsia" w:hAnsiTheme="majorEastAsia" w:eastAsiaTheme="majorEastAsia"/>
          <w:b/>
          <w:szCs w:val="32"/>
        </w:rPr>
      </w:pP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一、事项名称：</w:t>
      </w:r>
      <w:r>
        <w:rPr>
          <w:rFonts w:hint="eastAsia" w:ascii="仿宋" w:hAnsi="仿宋" w:eastAsia="仿宋" w:cs="宋体"/>
          <w:sz w:val="28"/>
          <w:szCs w:val="28"/>
        </w:rPr>
        <w:t>抵押权登记变更登记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二、事项类别：</w:t>
      </w:r>
      <w:r>
        <w:rPr>
          <w:rFonts w:hint="eastAsia" w:ascii="仿宋" w:hAnsi="仿宋" w:eastAsia="仿宋"/>
          <w:sz w:val="28"/>
          <w:szCs w:val="28"/>
        </w:rPr>
        <w:t>行政确认</w:t>
      </w:r>
    </w:p>
    <w:p>
      <w:pPr>
        <w:spacing w:line="560" w:lineRule="exac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三、办理依据：</w:t>
      </w:r>
      <w:r>
        <w:rPr>
          <w:rFonts w:hint="eastAsia" w:ascii="仿宋" w:hAnsi="仿宋" w:eastAsia="仿宋" w:cs="宋体"/>
          <w:sz w:val="28"/>
          <w:szCs w:val="28"/>
        </w:rPr>
        <w:t>《民法典》、《不动产登记暂行条例》、《不动产登记暂行条例实施细则》《不动产登记操作规范（试行）》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四、受理机构：</w:t>
      </w:r>
      <w:r>
        <w:rPr>
          <w:rFonts w:hint="eastAsia" w:ascii="仿宋" w:hAnsi="仿宋" w:eastAsia="仿宋"/>
          <w:sz w:val="28"/>
          <w:szCs w:val="28"/>
        </w:rPr>
        <w:t>宁化县不动产登记中心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五、审批机构：</w:t>
      </w:r>
      <w:r>
        <w:rPr>
          <w:rFonts w:hint="eastAsia" w:ascii="仿宋_GB2312"/>
          <w:sz w:val="28"/>
          <w:szCs w:val="28"/>
        </w:rPr>
        <w:t>宁化县自然资源局</w:t>
      </w:r>
    </w:p>
    <w:p>
      <w:pPr>
        <w:pStyle w:val="10"/>
        <w:ind w:firstLine="0"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六、申请条件：</w:t>
      </w:r>
    </w:p>
    <w:p>
      <w:pPr>
        <w:snapToGrid w:val="0"/>
        <w:spacing w:line="300" w:lineRule="auto"/>
        <w:ind w:firstLine="560" w:firstLineChars="200"/>
        <w:rPr>
          <w:rFonts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已经登记的抵押权，有下列情形之一的，可申请抵押权变更登记：</w:t>
      </w:r>
    </w:p>
    <w:p>
      <w:pPr>
        <w:snapToGrid w:val="0"/>
        <w:spacing w:line="300" w:lineRule="auto"/>
        <w:ind w:firstLine="560" w:firstLineChars="200"/>
        <w:rPr>
          <w:rFonts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1、权利人姓名或者名称、身份证明类型或者身份证明号码发生变化的；</w:t>
      </w:r>
    </w:p>
    <w:p>
      <w:pPr>
        <w:snapToGrid w:val="0"/>
        <w:spacing w:line="300" w:lineRule="auto"/>
        <w:ind w:firstLine="560" w:firstLineChars="200"/>
        <w:rPr>
          <w:rFonts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2、不动产坐落发生变化的；</w:t>
      </w:r>
    </w:p>
    <w:p>
      <w:pPr>
        <w:snapToGrid w:val="0"/>
        <w:spacing w:line="300" w:lineRule="auto"/>
        <w:ind w:firstLine="560" w:firstLineChars="200"/>
        <w:rPr>
          <w:rFonts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3、担保范围发生变化的；</w:t>
      </w:r>
    </w:p>
    <w:p>
      <w:pPr>
        <w:snapToGrid w:val="0"/>
        <w:spacing w:line="300" w:lineRule="auto"/>
        <w:ind w:firstLine="560" w:firstLineChars="200"/>
        <w:rPr>
          <w:rFonts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4、抵押权顺位发生变化的；</w:t>
      </w:r>
    </w:p>
    <w:p>
      <w:pPr>
        <w:snapToGrid w:val="0"/>
        <w:spacing w:line="300" w:lineRule="auto"/>
        <w:ind w:firstLine="560" w:firstLineChars="20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5、在建建筑物抵押后因预售引起抵押标的物发生变化的；</w:t>
      </w:r>
    </w:p>
    <w:p>
      <w:pPr>
        <w:snapToGrid w:val="0"/>
        <w:spacing w:line="300" w:lineRule="auto"/>
        <w:ind w:firstLine="560" w:firstLineChars="200"/>
        <w:rPr>
          <w:rFonts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6、被担保的主债权种类或者数额发生变化的；</w:t>
      </w:r>
    </w:p>
    <w:p>
      <w:pPr>
        <w:snapToGrid w:val="0"/>
        <w:spacing w:line="300" w:lineRule="auto"/>
        <w:ind w:firstLine="560" w:firstLineChars="200"/>
        <w:rPr>
          <w:rFonts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7、债务履行期限发生变化的；</w:t>
      </w:r>
    </w:p>
    <w:p>
      <w:pPr>
        <w:snapToGrid w:val="0"/>
        <w:spacing w:line="300" w:lineRule="auto"/>
        <w:ind w:firstLine="560" w:firstLineChars="200"/>
        <w:rPr>
          <w:rFonts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8、最高债权额发生变化的；</w:t>
      </w:r>
    </w:p>
    <w:p>
      <w:pPr>
        <w:snapToGrid w:val="0"/>
        <w:spacing w:line="300" w:lineRule="auto"/>
        <w:ind w:firstLine="560" w:firstLineChars="200"/>
        <w:rPr>
          <w:rFonts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9、最高额抵押债权确定的期间发生变化的；</w:t>
      </w:r>
    </w:p>
    <w:p>
      <w:pPr>
        <w:snapToGrid w:val="0"/>
        <w:spacing w:line="300" w:lineRule="auto"/>
        <w:ind w:firstLine="560" w:firstLineChars="200"/>
        <w:rPr>
          <w:rFonts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10、最高额抵押担保的债权确定的；</w:t>
      </w:r>
    </w:p>
    <w:p>
      <w:pPr>
        <w:snapToGrid w:val="0"/>
        <w:spacing w:line="300" w:lineRule="auto"/>
        <w:ind w:firstLine="560" w:firstLineChars="200"/>
        <w:rPr>
          <w:rFonts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11、房屋所有权首次登记后，在建建筑物抵押登记转建筑物抵押登记的。</w:t>
      </w:r>
    </w:p>
    <w:p>
      <w:pPr>
        <w:spacing w:line="56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七、申请材料：</w:t>
      </w:r>
    </w:p>
    <w:p>
      <w:pPr>
        <w:pStyle w:val="10"/>
        <w:ind w:firstLineChars="15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1、不动产登记申请表；</w:t>
      </w:r>
    </w:p>
    <w:p>
      <w:pPr>
        <w:pStyle w:val="10"/>
        <w:ind w:firstLineChars="15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2、身份证复印件（电子证照库获取或窗口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复印）；</w:t>
      </w:r>
    </w:p>
    <w:p>
      <w:pPr>
        <w:pStyle w:val="10"/>
        <w:ind w:firstLineChars="15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3、不动产登记证明；</w:t>
      </w:r>
    </w:p>
    <w:p>
      <w:pPr>
        <w:pStyle w:val="10"/>
        <w:ind w:firstLineChars="15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4、抵押权变更的材料（按实际类型选择提交）：</w:t>
      </w:r>
    </w:p>
    <w:p>
      <w:pPr>
        <w:pStyle w:val="10"/>
        <w:ind w:firstLine="56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微软雅黑"/>
          <w:sz w:val="28"/>
          <w:szCs w:val="28"/>
        </w:rPr>
        <w:t>①</w:t>
      </w:r>
      <w:r>
        <w:rPr>
          <w:rFonts w:hint="eastAsia" w:ascii="仿宋" w:hAnsi="仿宋" w:eastAsia="仿宋" w:cs="仿宋_GB2312"/>
          <w:spacing w:val="-8"/>
          <w:sz w:val="28"/>
          <w:szCs w:val="28"/>
        </w:rPr>
        <w:t>权利人名称（姓名）变更证明材料（包括工商部门或上级部门出具的名称变更文件、户籍证明）</w:t>
      </w:r>
      <w:r>
        <w:rPr>
          <w:rFonts w:hint="eastAsia" w:ascii="仿宋" w:hAnsi="仿宋" w:eastAsia="仿宋"/>
          <w:sz w:val="28"/>
          <w:szCs w:val="28"/>
        </w:rPr>
        <w:t>；</w:t>
      </w:r>
      <w:r>
        <w:rPr>
          <w:rFonts w:ascii="仿宋" w:hAnsi="仿宋" w:eastAsia="仿宋"/>
          <w:sz w:val="28"/>
          <w:szCs w:val="28"/>
        </w:rPr>
        <w:t xml:space="preserve"> </w:t>
      </w:r>
    </w:p>
    <w:p>
      <w:pPr>
        <w:pStyle w:val="10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微软雅黑"/>
          <w:sz w:val="28"/>
          <w:szCs w:val="28"/>
        </w:rPr>
        <w:t>②</w:t>
      </w:r>
      <w:r>
        <w:rPr>
          <w:rFonts w:hint="eastAsia" w:ascii="仿宋" w:hAnsi="仿宋" w:eastAsia="仿宋" w:cs="仿宋_GB2312"/>
          <w:spacing w:val="-8"/>
          <w:sz w:val="28"/>
          <w:szCs w:val="28"/>
        </w:rPr>
        <w:t>不动产地址变更证明材料</w:t>
      </w:r>
      <w:r>
        <w:rPr>
          <w:rFonts w:hint="eastAsia" w:ascii="仿宋" w:hAnsi="仿宋" w:eastAsia="仿宋"/>
          <w:sz w:val="28"/>
          <w:szCs w:val="28"/>
        </w:rPr>
        <w:t>；</w:t>
      </w:r>
    </w:p>
    <w:p>
      <w:pPr>
        <w:pStyle w:val="10"/>
        <w:ind w:firstLine="560"/>
        <w:rPr>
          <w:rFonts w:ascii="仿宋" w:hAnsi="仿宋" w:eastAsia="仿宋"/>
          <w:color w:val="000000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fldChar w:fldCharType="begin"/>
      </w:r>
      <w:r>
        <w:rPr>
          <w:rFonts w:ascii="仿宋" w:hAnsi="仿宋" w:eastAsia="仿宋"/>
          <w:sz w:val="28"/>
          <w:szCs w:val="28"/>
        </w:rPr>
        <w:instrText xml:space="preserve"> </w:instrText>
      </w:r>
      <w:r>
        <w:rPr>
          <w:rFonts w:hint="eastAsia" w:ascii="仿宋" w:hAnsi="仿宋" w:eastAsia="仿宋"/>
          <w:sz w:val="28"/>
          <w:szCs w:val="28"/>
        </w:rPr>
        <w:instrText xml:space="preserve">= 3 \* GB3</w:instrText>
      </w:r>
      <w:r>
        <w:rPr>
          <w:rFonts w:ascii="仿宋" w:hAnsi="仿宋" w:eastAsia="仿宋"/>
          <w:sz w:val="28"/>
          <w:szCs w:val="28"/>
        </w:rPr>
        <w:instrText xml:space="preserve"> </w:instrText>
      </w:r>
      <w:r>
        <w:rPr>
          <w:rFonts w:ascii="仿宋" w:hAnsi="仿宋" w:eastAsia="仿宋"/>
          <w:sz w:val="28"/>
          <w:szCs w:val="28"/>
        </w:rPr>
        <w:fldChar w:fldCharType="separate"/>
      </w:r>
      <w:r>
        <w:rPr>
          <w:rFonts w:hint="eastAsia" w:ascii="仿宋" w:hAnsi="仿宋" w:eastAsia="仿宋"/>
          <w:sz w:val="28"/>
          <w:szCs w:val="28"/>
        </w:rPr>
        <w:t>③</w:t>
      </w:r>
      <w:r>
        <w:rPr>
          <w:rFonts w:ascii="仿宋" w:hAnsi="仿宋" w:eastAsia="仿宋"/>
          <w:sz w:val="28"/>
          <w:szCs w:val="28"/>
        </w:rPr>
        <w:fldChar w:fldCharType="end"/>
      </w:r>
      <w:r>
        <w:rPr>
          <w:rFonts w:hint="eastAsia" w:ascii="仿宋" w:hAnsi="仿宋" w:eastAsia="仿宋"/>
          <w:color w:val="000000"/>
          <w:sz w:val="28"/>
          <w:szCs w:val="28"/>
        </w:rPr>
        <w:t>主债权补充合同、抵押权补充合同（</w:t>
      </w:r>
      <w:r>
        <w:rPr>
          <w:rFonts w:hint="eastAsia" w:ascii="仿宋" w:hAnsi="仿宋" w:eastAsia="仿宋" w:cs="仿宋_GB2312"/>
          <w:sz w:val="28"/>
          <w:szCs w:val="28"/>
        </w:rPr>
        <w:t>适用于担保范围、被担保的主债权种类或者数额、债务履行期限、最高债权额、最高额抵押权担保</w:t>
      </w:r>
      <w:r>
        <w:rPr>
          <w:rFonts w:ascii="仿宋" w:hAnsi="仿宋" w:eastAsia="仿宋" w:cs="仿宋_GB2312"/>
          <w:sz w:val="28"/>
          <w:szCs w:val="28"/>
        </w:rPr>
        <w:t>的</w:t>
      </w:r>
      <w:r>
        <w:rPr>
          <w:rFonts w:hint="eastAsia" w:ascii="仿宋" w:hAnsi="仿宋" w:eastAsia="仿宋" w:cs="仿宋_GB2312"/>
          <w:sz w:val="28"/>
          <w:szCs w:val="28"/>
        </w:rPr>
        <w:t>债权确定期间等抵押权登记内容发生变化的，在建建筑物</w:t>
      </w:r>
      <w:r>
        <w:rPr>
          <w:rFonts w:ascii="仿宋" w:hAnsi="仿宋" w:eastAsia="仿宋" w:cs="仿宋_GB2312"/>
          <w:sz w:val="28"/>
          <w:szCs w:val="28"/>
        </w:rPr>
        <w:t>抵押标的物发生变化的，</w:t>
      </w:r>
      <w:r>
        <w:rPr>
          <w:rFonts w:hint="eastAsia" w:ascii="仿宋" w:hAnsi="仿宋" w:eastAsia="仿宋" w:cs="仿宋_GB2312"/>
          <w:sz w:val="28"/>
          <w:szCs w:val="28"/>
        </w:rPr>
        <w:t>以及最高额抵押权</w:t>
      </w:r>
      <w:r>
        <w:rPr>
          <w:rFonts w:ascii="仿宋" w:hAnsi="仿宋" w:eastAsia="仿宋" w:cs="仿宋_GB2312"/>
          <w:sz w:val="28"/>
          <w:szCs w:val="28"/>
        </w:rPr>
        <w:t>担保的债权</w:t>
      </w:r>
      <w:r>
        <w:rPr>
          <w:rFonts w:hint="eastAsia" w:ascii="仿宋" w:hAnsi="仿宋" w:eastAsia="仿宋" w:cs="仿宋_GB2312"/>
          <w:sz w:val="28"/>
          <w:szCs w:val="28"/>
        </w:rPr>
        <w:t>确定情形，选择提交</w:t>
      </w:r>
      <w:r>
        <w:rPr>
          <w:rFonts w:hint="eastAsia" w:ascii="仿宋" w:hAnsi="仿宋" w:eastAsia="仿宋"/>
          <w:color w:val="000000"/>
          <w:sz w:val="28"/>
          <w:szCs w:val="28"/>
        </w:rPr>
        <w:t>）；</w:t>
      </w:r>
    </w:p>
    <w:p>
      <w:pPr>
        <w:pStyle w:val="10"/>
        <w:ind w:firstLine="560"/>
        <w:rPr>
          <w:rFonts w:ascii="仿宋" w:hAnsi="仿宋" w:eastAsia="仿宋"/>
          <w:color w:val="000000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fldChar w:fldCharType="begin"/>
      </w:r>
      <w:r>
        <w:rPr>
          <w:rFonts w:ascii="仿宋" w:hAnsi="仿宋" w:eastAsia="仿宋"/>
          <w:color w:val="000000"/>
          <w:sz w:val="28"/>
          <w:szCs w:val="28"/>
        </w:rPr>
        <w:instrText xml:space="preserve"> </w:instrText>
      </w:r>
      <w:r>
        <w:rPr>
          <w:rFonts w:hint="eastAsia" w:ascii="仿宋" w:hAnsi="仿宋" w:eastAsia="仿宋"/>
          <w:color w:val="000000"/>
          <w:sz w:val="28"/>
          <w:szCs w:val="28"/>
        </w:rPr>
        <w:instrText xml:space="preserve">= 4 \* GB3</w:instrText>
      </w:r>
      <w:r>
        <w:rPr>
          <w:rFonts w:ascii="仿宋" w:hAnsi="仿宋" w:eastAsia="仿宋"/>
          <w:color w:val="000000"/>
          <w:sz w:val="28"/>
          <w:szCs w:val="28"/>
        </w:rPr>
        <w:instrText xml:space="preserve"> </w:instrText>
      </w:r>
      <w:r>
        <w:rPr>
          <w:rFonts w:ascii="仿宋" w:hAnsi="仿宋" w:eastAsia="仿宋"/>
          <w:color w:val="000000"/>
          <w:sz w:val="28"/>
          <w:szCs w:val="28"/>
        </w:rPr>
        <w:fldChar w:fldCharType="separate"/>
      </w:r>
      <w:r>
        <w:rPr>
          <w:rFonts w:hint="eastAsia" w:ascii="仿宋" w:hAnsi="仿宋" w:eastAsia="仿宋"/>
          <w:color w:val="000000"/>
          <w:sz w:val="28"/>
          <w:szCs w:val="28"/>
        </w:rPr>
        <w:t>④</w:t>
      </w:r>
      <w:r>
        <w:rPr>
          <w:rFonts w:ascii="仿宋" w:hAnsi="仿宋" w:eastAsia="仿宋"/>
          <w:color w:val="000000"/>
          <w:sz w:val="28"/>
          <w:szCs w:val="28"/>
        </w:rPr>
        <w:fldChar w:fldCharType="end"/>
      </w:r>
      <w:r>
        <w:rPr>
          <w:rFonts w:hint="eastAsia" w:ascii="仿宋" w:hAnsi="仿宋" w:eastAsia="仿宋"/>
          <w:color w:val="000000"/>
          <w:sz w:val="28"/>
          <w:szCs w:val="28"/>
        </w:rPr>
        <w:t>抵押</w:t>
      </w:r>
      <w:r>
        <w:rPr>
          <w:rFonts w:ascii="仿宋" w:hAnsi="仿宋" w:eastAsia="仿宋"/>
          <w:color w:val="000000"/>
          <w:sz w:val="28"/>
          <w:szCs w:val="28"/>
        </w:rPr>
        <w:t>权顺位变更协议</w:t>
      </w:r>
      <w:r>
        <w:rPr>
          <w:rFonts w:hint="eastAsia" w:ascii="仿宋" w:hAnsi="仿宋" w:eastAsia="仿宋"/>
          <w:color w:val="000000"/>
          <w:sz w:val="28"/>
          <w:szCs w:val="28"/>
        </w:rPr>
        <w:t>（</w:t>
      </w:r>
      <w:r>
        <w:rPr>
          <w:rFonts w:hint="eastAsia" w:ascii="仿宋" w:hAnsi="仿宋" w:eastAsia="仿宋" w:cs="仿宋_GB2312"/>
          <w:sz w:val="28"/>
          <w:szCs w:val="28"/>
        </w:rPr>
        <w:t>属于抵押权顺位协议</w:t>
      </w:r>
      <w:r>
        <w:rPr>
          <w:rFonts w:ascii="仿宋" w:hAnsi="仿宋" w:eastAsia="仿宋" w:cs="仿宋_GB2312"/>
          <w:sz w:val="28"/>
          <w:szCs w:val="28"/>
        </w:rPr>
        <w:t>变更</w:t>
      </w:r>
      <w:r>
        <w:rPr>
          <w:rFonts w:hint="eastAsia" w:ascii="仿宋" w:hAnsi="仿宋" w:eastAsia="仿宋" w:cs="仿宋_GB2312"/>
          <w:sz w:val="28"/>
          <w:szCs w:val="28"/>
        </w:rPr>
        <w:t>情形的提交</w:t>
      </w:r>
      <w:r>
        <w:rPr>
          <w:rFonts w:hint="eastAsia" w:ascii="仿宋" w:hAnsi="仿宋" w:eastAsia="仿宋"/>
          <w:color w:val="000000"/>
          <w:sz w:val="28"/>
          <w:szCs w:val="28"/>
        </w:rPr>
        <w:t>）；</w:t>
      </w:r>
    </w:p>
    <w:p>
      <w:pPr>
        <w:pStyle w:val="10"/>
        <w:ind w:firstLine="56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5、</w:t>
      </w:r>
      <w:r>
        <w:rPr>
          <w:rFonts w:hint="eastAsia" w:ascii="仿宋" w:hAnsi="仿宋" w:eastAsia="仿宋"/>
          <w:color w:val="000000"/>
          <w:sz w:val="28"/>
          <w:szCs w:val="28"/>
        </w:rPr>
        <w:t>在建建筑物抵押权人同意预售的材料（属于商品房预售致使在建建筑物抵押标的物发生变化的提交）；</w:t>
      </w:r>
    </w:p>
    <w:p>
      <w:pPr>
        <w:pStyle w:val="10"/>
        <w:ind w:firstLine="0" w:firstLineChars="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6、</w:t>
      </w:r>
      <w:r>
        <w:rPr>
          <w:rFonts w:hint="eastAsia" w:ascii="仿宋" w:hAnsi="仿宋" w:eastAsia="仿宋"/>
          <w:color w:val="000000"/>
          <w:sz w:val="28"/>
          <w:szCs w:val="28"/>
        </w:rPr>
        <w:t>其他抵押权人的书面同意文件（属于抵押权顺位、被担保债权数额、最高债权额、担保范围、债务履行期限等发生变更，对其他抵押权人产生不利影响的提交）。</w:t>
      </w:r>
    </w:p>
    <w:p>
      <w:pPr>
        <w:ind w:firstLine="138" w:firstLineChars="49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八、办理流程：</w:t>
      </w:r>
      <w:r>
        <w:rPr>
          <w:rFonts w:hint="eastAsia" w:ascii="仿宋" w:hAnsi="仿宋" w:eastAsia="仿宋" w:cs="宋体"/>
          <w:sz w:val="28"/>
          <w:szCs w:val="28"/>
        </w:rPr>
        <w:t>受理—审核—登簿</w:t>
      </w:r>
    </w:p>
    <w:p>
      <w:pPr>
        <w:ind w:firstLine="138" w:firstLineChars="49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九、法定办理时限：</w:t>
      </w:r>
      <w:r>
        <w:rPr>
          <w:rFonts w:hint="eastAsia" w:ascii="仿宋" w:hAnsi="仿宋" w:eastAsia="仿宋"/>
          <w:sz w:val="28"/>
          <w:szCs w:val="28"/>
        </w:rPr>
        <w:t>30个工作日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十、承诺办理时限：</w:t>
      </w:r>
      <w:r>
        <w:rPr>
          <w:rFonts w:hint="eastAsia" w:ascii="仿宋" w:hAnsi="仿宋" w:eastAsia="仿宋"/>
          <w:sz w:val="28"/>
          <w:szCs w:val="28"/>
        </w:rPr>
        <w:t>3个工作日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十一、发放证照情况：</w:t>
      </w:r>
      <w:r>
        <w:rPr>
          <w:rFonts w:hint="eastAsia" w:ascii="仿宋" w:hAnsi="仿宋" w:eastAsia="仿宋"/>
          <w:sz w:val="28"/>
          <w:szCs w:val="28"/>
        </w:rPr>
        <w:t>不动产登记证明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十二、收费标准：</w:t>
      </w:r>
      <w:r>
        <w:rPr>
          <w:rFonts w:hint="eastAsia" w:ascii="仿宋" w:hAnsi="仿宋" w:eastAsia="仿宋"/>
          <w:bCs/>
          <w:sz w:val="28"/>
          <w:szCs w:val="28"/>
        </w:rPr>
        <w:t>零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十三、收费依据：</w:t>
      </w:r>
    </w:p>
    <w:p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700" w:firstLineChars="25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1、《财政部、国家发展改革委关于不动产登记收费有关政策问题的通知》（财税【2016】79号）</w:t>
      </w:r>
    </w:p>
    <w:p>
      <w:pPr>
        <w:pStyle w:val="5"/>
        <w:shd w:val="clear" w:color="auto" w:fill="FFFFFF"/>
        <w:spacing w:before="0" w:beforeAutospacing="0" w:after="225" w:afterAutospacing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2、《财政部、国家发展改革委关于减免部分行政事业性收费有关政策的通知》（财税【2019】45号）</w:t>
      </w:r>
    </w:p>
    <w:p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560" w:firstLineChars="200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3、《国家发展改革委、财政部关于不动产登记收费标准等有关问题的通知》（发改价格规【2016】2559号）</w:t>
      </w:r>
    </w:p>
    <w:p>
      <w:pPr>
        <w:ind w:firstLine="138" w:firstLineChars="49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十四、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表格下载：</w:t>
      </w:r>
      <w:r>
        <w:fldChar w:fldCharType="begin"/>
      </w:r>
      <w:r>
        <w:instrText xml:space="preserve"> HYPERLINK "https://zwfw.fujian.gov.cn/" </w:instrText>
      </w:r>
      <w:r>
        <w:fldChar w:fldCharType="separate"/>
      </w:r>
      <w:r>
        <w:rPr>
          <w:rStyle w:val="8"/>
          <w:rFonts w:eastAsia="仿宋" w:cs="宋体"/>
          <w:kern w:val="0"/>
          <w:sz w:val="28"/>
          <w:szCs w:val="28"/>
        </w:rPr>
        <w:t>https://zwfw.fujian.gov.cn/</w:t>
      </w:r>
      <w:r>
        <w:rPr>
          <w:rStyle w:val="8"/>
          <w:rFonts w:eastAsia="仿宋" w:cs="宋体"/>
          <w:kern w:val="0"/>
          <w:sz w:val="28"/>
          <w:szCs w:val="28"/>
        </w:rPr>
        <w:fldChar w:fldCharType="end"/>
      </w:r>
    </w:p>
    <w:p>
      <w:pPr>
        <w:spacing w:line="560" w:lineRule="exact"/>
        <w:ind w:firstLine="141" w:firstLineChars="5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十五、填写示例：</w:t>
      </w:r>
      <w:r>
        <w:fldChar w:fldCharType="begin"/>
      </w:r>
      <w:r>
        <w:instrText xml:space="preserve"> HYPERLINK "https://zwfw.fujian.gov.cn/" </w:instrText>
      </w:r>
      <w:r>
        <w:fldChar w:fldCharType="separate"/>
      </w:r>
      <w:r>
        <w:rPr>
          <w:rStyle w:val="8"/>
          <w:rFonts w:eastAsia="仿宋" w:cs="宋体"/>
          <w:kern w:val="0"/>
          <w:sz w:val="28"/>
          <w:szCs w:val="28"/>
        </w:rPr>
        <w:t>https://zwfw.fujian.gov.cn/</w:t>
      </w:r>
      <w:r>
        <w:rPr>
          <w:rStyle w:val="8"/>
          <w:rFonts w:eastAsia="仿宋" w:cs="宋体"/>
          <w:kern w:val="0"/>
          <w:sz w:val="28"/>
          <w:szCs w:val="28"/>
        </w:rPr>
        <w:fldChar w:fldCharType="end"/>
      </w:r>
    </w:p>
    <w:p>
      <w:pPr>
        <w:spacing w:line="560" w:lineRule="exact"/>
        <w:ind w:firstLine="141" w:firstLineChars="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十六、投诉电话：</w:t>
      </w:r>
      <w:r>
        <w:rPr>
          <w:rFonts w:hint="eastAsia" w:ascii="仿宋" w:hAnsi="仿宋" w:eastAsia="仿宋"/>
          <w:sz w:val="28"/>
          <w:szCs w:val="28"/>
        </w:rPr>
        <w:t>12345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十七、咨询电话：</w:t>
      </w:r>
      <w:r>
        <w:rPr>
          <w:rFonts w:hint="eastAsia" w:ascii="仿宋" w:hAnsi="仿宋" w:eastAsia="仿宋"/>
          <w:sz w:val="28"/>
          <w:szCs w:val="28"/>
        </w:rPr>
        <w:t>0598-8719035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十八、办公时间：</w:t>
      </w:r>
      <w:r>
        <w:rPr>
          <w:rFonts w:hint="eastAsia" w:ascii="仿宋" w:hAnsi="仿宋" w:eastAsia="仿宋"/>
          <w:sz w:val="28"/>
          <w:szCs w:val="28"/>
        </w:rPr>
        <w:t>上午8：00—12：00；下午3：00—6：00（夏令时）</w:t>
      </w:r>
    </w:p>
    <w:p>
      <w:pPr>
        <w:spacing w:line="560" w:lineRule="exact"/>
        <w:ind w:firstLine="137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上午8：00—12：00；下午2：30—5：30（冬令时）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十九、办公地址：</w:t>
      </w:r>
      <w:r>
        <w:rPr>
          <w:rFonts w:hint="eastAsia" w:ascii="仿宋" w:hAnsi="仿宋" w:eastAsia="仿宋"/>
          <w:sz w:val="28"/>
          <w:szCs w:val="28"/>
        </w:rPr>
        <w:t>宁化县万星广场1幢3楼行政服务中心不动产登记中心窗口</w:t>
      </w:r>
    </w:p>
    <w:p>
      <w:pPr>
        <w:ind w:left="2827" w:leftChars="49" w:hanging="2670" w:hangingChars="9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二十、乘车路线：</w:t>
      </w:r>
      <w:r>
        <w:rPr>
          <w:rFonts w:hint="eastAsia" w:ascii="仿宋" w:hAnsi="仿宋" w:eastAsia="仿宋"/>
          <w:sz w:val="28"/>
          <w:szCs w:val="28"/>
        </w:rPr>
        <w:t>乘1、2路公交车至宁化法院站下，往江滨北路方向步行500米；乘7、8路公交车至万星广场站下。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二十一、状态查询：</w:t>
      </w:r>
      <w:r>
        <w:rPr>
          <w:rFonts w:hint="eastAsia" w:ascii="仿宋" w:hAnsi="仿宋" w:eastAsia="仿宋"/>
          <w:sz w:val="28"/>
          <w:szCs w:val="28"/>
        </w:rPr>
        <w:t>0598-8719035</w:t>
      </w:r>
    </w:p>
    <w:p>
      <w:pPr>
        <w:spacing w:line="560" w:lineRule="exact"/>
        <w:ind w:firstLine="137" w:firstLineChars="49"/>
        <w:rPr>
          <w:rFonts w:ascii="仿宋" w:hAnsi="仿宋" w:eastAsia="仿宋"/>
          <w:sz w:val="28"/>
          <w:szCs w:val="28"/>
        </w:rPr>
      </w:pPr>
    </w:p>
    <w:p>
      <w:pPr>
        <w:jc w:val="center"/>
      </w:pPr>
      <w:r>
        <w:drawing>
          <wp:inline distT="0" distB="0" distL="0" distR="0">
            <wp:extent cx="1323975" cy="1323975"/>
            <wp:effectExtent l="0" t="0" r="0" b="0"/>
            <wp:docPr id="1" name="图片 1" descr="C:\Users\dqb\Desktop\item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dqb\Desktop\itemIm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7" w:h="16839"/>
      <w:pgMar w:top="1440" w:right="1080" w:bottom="1440" w:left="108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632A"/>
    <w:rsid w:val="000276C8"/>
    <w:rsid w:val="00034877"/>
    <w:rsid w:val="000E0ED8"/>
    <w:rsid w:val="00122C21"/>
    <w:rsid w:val="00264779"/>
    <w:rsid w:val="00305005"/>
    <w:rsid w:val="003451FE"/>
    <w:rsid w:val="00376C32"/>
    <w:rsid w:val="00417B90"/>
    <w:rsid w:val="00452C59"/>
    <w:rsid w:val="005731C1"/>
    <w:rsid w:val="00587E86"/>
    <w:rsid w:val="005D2047"/>
    <w:rsid w:val="006A470E"/>
    <w:rsid w:val="006D632A"/>
    <w:rsid w:val="00751C61"/>
    <w:rsid w:val="007731F8"/>
    <w:rsid w:val="00824EE0"/>
    <w:rsid w:val="008963F5"/>
    <w:rsid w:val="008A1473"/>
    <w:rsid w:val="008C436D"/>
    <w:rsid w:val="00AA2160"/>
    <w:rsid w:val="00AE5FEF"/>
    <w:rsid w:val="00C11046"/>
    <w:rsid w:val="00C4399B"/>
    <w:rsid w:val="00C73431"/>
    <w:rsid w:val="00CE7081"/>
    <w:rsid w:val="00D35FBE"/>
    <w:rsid w:val="00D54703"/>
    <w:rsid w:val="00EE202A"/>
    <w:rsid w:val="00F329FF"/>
    <w:rsid w:val="00F40D9A"/>
    <w:rsid w:val="026100A3"/>
    <w:rsid w:val="083E177D"/>
    <w:rsid w:val="22677F67"/>
    <w:rsid w:val="32582CF8"/>
    <w:rsid w:val="5B8A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7">
    <w:name w:val="FollowedHyperlink"/>
    <w:basedOn w:val="6"/>
    <w:semiHidden/>
    <w:unhideWhenUsed/>
    <w:uiPriority w:val="99"/>
    <w:rPr>
      <w:color w:val="800080" w:themeColor="followedHyperlink"/>
      <w:u w:val="single"/>
    </w:rPr>
  </w:style>
  <w:style w:type="character" w:styleId="8">
    <w:name w:val="Hyperlink"/>
    <w:basedOn w:val="6"/>
    <w:uiPriority w:val="99"/>
    <w:rPr>
      <w:rFonts w:cs="Times New Roman"/>
      <w:color w:val="0000FF"/>
      <w:u w:val="single"/>
    </w:rPr>
  </w:style>
  <w:style w:type="paragraph" w:customStyle="1" w:styleId="10">
    <w:name w:val="段"/>
    <w:link w:val="11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宋体"/>
      <w:sz w:val="21"/>
      <w:szCs w:val="21"/>
      <w:lang w:val="en-US" w:eastAsia="zh-CN" w:bidi="ar-SA"/>
    </w:rPr>
  </w:style>
  <w:style w:type="character" w:customStyle="1" w:styleId="11">
    <w:name w:val="段 Char"/>
    <w:link w:val="10"/>
    <w:uiPriority w:val="0"/>
    <w:rPr>
      <w:rFonts w:ascii="宋体" w:hAnsi="Calibri" w:eastAsia="宋体" w:cs="宋体"/>
      <w:kern w:val="0"/>
      <w:szCs w:val="21"/>
    </w:rPr>
  </w:style>
  <w:style w:type="character" w:customStyle="1" w:styleId="12">
    <w:name w:val="页眉 Char"/>
    <w:basedOn w:val="6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3">
    <w:name w:val="页脚 Char"/>
    <w:basedOn w:val="6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4">
    <w:name w:val="批注框文本 Char"/>
    <w:basedOn w:val="6"/>
    <w:link w:val="2"/>
    <w:semiHidden/>
    <w:uiPriority w:val="99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224</Words>
  <Characters>1279</Characters>
  <Lines>10</Lines>
  <Paragraphs>2</Paragraphs>
  <TotalTime>0</TotalTime>
  <ScaleCrop>false</ScaleCrop>
  <LinksUpToDate>false</LinksUpToDate>
  <CharactersWithSpaces>1501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2017-12-12T06:45:00Z</dcterms:created>
  <dc:creator>lenovo</dc:creator>
  <cp:lastModifiedBy>Administrator</cp:lastModifiedBy>
  <dcterms:modified xsi:type="dcterms:W3CDTF">2021-12-15T01:48:37Z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