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淮土镇组织开展美德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信用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宣传活动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6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为进一步传播诚信理念，弘扬诚信精神，深化“诚信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  <w:u w:val="none"/>
          <w:shd w:val="clear" w:fill="FFFFFF"/>
          <w:lang w:eastAsia="zh-CN"/>
        </w:rPr>
        <w:t>淮土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”建设，近日，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  <w:u w:val="none"/>
          <w:shd w:val="clear" w:fill="FFFFFF"/>
          <w:lang w:eastAsia="zh-CN"/>
        </w:rPr>
        <w:t>淮土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镇新时代文明实践所联合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  <w:u w:val="none"/>
          <w:shd w:val="clear" w:fill="FFFFFF"/>
          <w:lang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办在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  <w:u w:val="none"/>
          <w:shd w:val="clear" w:fill="FFFFFF"/>
          <w:lang w:eastAsia="zh-CN"/>
        </w:rPr>
        <w:t>淮土信用社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网点开展美德信用宣传活动。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6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活动中，志愿者通过悬挂标语横幅、发放诚信倡议书、提供咨询服务等形式，用通俗易懂的语言向群众宣传诚信的含义与重要性，讲解信用法规、信用制度以及在日常生活中如何践行美德信用等内容，积极推广个人信用积分，普及社会信用体系建设；同时，向群众宣讲涉及非法集资的有关政策、法律法规，提醒广大群众加强自我防范意识，拒绝高利诱惑，自觉抵制非法集资活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drawing>
          <wp:inline distT="0" distB="0" distL="114300" distR="114300">
            <wp:extent cx="4608830" cy="3905250"/>
            <wp:effectExtent l="0" t="0" r="127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883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通过此次活动，进一步增强了辖区群众诚实守信意识，提高了群众对非法集资社会危害性的认知，激励群众积极争做美德信用的引领者、践行者和受益者，努力营造“人人讲美德、时时讲诚信”的良好社会风气。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0B3676CA"/>
    <w:rsid w:val="218C5023"/>
    <w:rsid w:val="2FEB2B50"/>
    <w:rsid w:val="344E0F4F"/>
    <w:rsid w:val="3FED6A68"/>
    <w:rsid w:val="43F5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343</Characters>
  <Lines>0</Lines>
  <Paragraphs>0</Paragraphs>
  <TotalTime>0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WPS_1550111345</cp:lastModifiedBy>
  <dcterms:modified xsi:type="dcterms:W3CDTF">2023-07-03T09:56:45Z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8A0765DCC1C844439D0E5DCB70D60398</vt:lpwstr>
  </property>
</Properties>
</file>