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8"/>
          <w:sz w:val="44"/>
          <w:szCs w:val="44"/>
          <w:shd w:val="clear" w:color="auto" w:fill="FFFFFF"/>
        </w:rPr>
        <w:t>开展社会信用体系建设宣传活动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0" w:right="0" w:firstLine="560"/>
        <w:jc w:val="left"/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t>为加快推进方田乡社会信用体系建设，全面营造诚实守信的社会环境，切实提高社会信用体系建设水平。近日，方田乡利用圩天的契机，同时开展了社会信用体系建设宣传活动。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0" w:right="0" w:firstLine="560"/>
        <w:jc w:val="left"/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t>活动现场，工作人员通过“摆摊设点”、悬挂横幅标语、发放宣传手册等方式，向现场群众宣传、讲解有关信用体系建设的政策法规、信用查询应用及信用修复的必要性等相关事项，用生动形象的失信典型案例向现场群众说明其中的利弊，切实提高辖区群众的诚信意识和信用水平，牢固树立诚信为本、操守为重的理念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0" w:right="0" w:firstLine="560"/>
        <w:jc w:val="left"/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t>本次活动共派发宣传单、宣传折页200余份，为营造诚实守信、自律互信的良好社会信用环境打下坚实基础，重点宣传社会信用体系建设内容、激励措施以及失信主体的惩戒措施等知识，为营造诚实守信、自律互信的良好社会信用环境打下基础。</w:t>
      </w:r>
    </w:p>
    <w:p>
      <w:pPr>
        <w:bidi w:val="0"/>
        <w:jc w:val="left"/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2405" cy="3954145"/>
            <wp:effectExtent l="0" t="0" r="635" b="8255"/>
            <wp:docPr id="1" name="图片 1" descr="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OGI1NTEwODJmOGE0YzBiZjE1NWFlMzg4MTVjNjEifQ=="/>
  </w:docVars>
  <w:rsids>
    <w:rsidRoot w:val="3BC027E3"/>
    <w:rsid w:val="3AFB2562"/>
    <w:rsid w:val="3BC027E3"/>
    <w:rsid w:val="4AE9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342</Characters>
  <Lines>0</Lines>
  <Paragraphs>0</Paragraphs>
  <TotalTime>0</TotalTime>
  <ScaleCrop>false</ScaleCrop>
  <LinksUpToDate>false</LinksUpToDate>
  <CharactersWithSpaces>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2023-02-21T08:54:00Z</dcterms:created>
  <dc:creator>WPS_1550111345</dc:creator>
  <cp:lastModifiedBy>WPS_1550111345</cp:lastModifiedBy>
  <dcterms:modified xsi:type="dcterms:W3CDTF">2023-02-25T09:18:54Z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FF2AE7DAC1BE4689BFB49F8DC286B49E</vt:lpwstr>
  </property>
</Properties>
</file>