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疫苗流通和预防接种管理条例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（2005年3月24日中华人民共和国国务院令第434号公布　根据2016年4月23日《国务院关于修改〈疫苗流通和预防接种管理条例〉的决定》修订）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加强对疫苗流通和预防接种的管理，预防、控制传染病的发生、流行，保障人体健康和公共卫生，根据《中华人民共和国药品管理法》（以下简称药品管理法）和《中华人民共和国传染病防治法》（以下简称传染病防治法），制定本条例。</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本条例所称疫苗，是指为了预防、控制传染病的发生、流行，用于人体预防接种的疫苗类预防性生物制品。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疫苗分为两类。第一类疫苗，是指政府免费向公民提供，公民应当依照政府的规定受种的疫苗，包括国家免疫规划确定的疫苗，省、自治区、直辖市人民政府在执行国家免疫规划时增加的疫苗，以及县级以上人民政府或者其卫生主管部门组织的应急接种或者群体性预防接种所使用的疫苗；第二类疫苗，是指由公民自费并且自愿受种的其他疫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接种第一类疫苗由政府承担费用。接种第二类疫苗由受种者或者其监护人承担费用。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疫苗的流通、预防接种及其监督管理适用本条例。</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国务院卫生主管部门根据全国范围内的传染病流行情况、人群免疫状况等因素，制定国家免疫规划；会同国务院财政部门拟订纳入国家免疫规划的疫苗种类，报国务院批准后公布。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省、自治区、直辖市人民政府在执行国家免疫规划时，根据本行政区域的传染病流行情况、人群免疫状况等因素，可以增加免费向公民提供的疫苗种类，并报国务院卫生主管部门备案。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国家实行有计划的预防接种制度，推行扩大免疫规划。</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需要接种第一类疫苗的受种者应当依照本条例规定受种；受种者为未成年人的，其监护人应当配合有关的疾病预防控制机构和医疗机构等医疗卫生机构，保证受种者及时受种。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国务院卫生主管部门负责全国预防接种的监督管理工作。县级以上地方人民政府卫生主管部门负责本行政区域内预防接种的监督管理工作。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国务院药品监督管理部门负责全国疫苗的质量和流通的监督管理工作。省、自治区、直辖市人民政府药品监督管理部门负责本行政区域内疫苗的质量和流通的监督管理工作。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经县级人民政府卫生主管部门依照本条例规定指定的医疗卫生机构（以下称接种单位），承担预防接种工作。县级人民政府卫生主管部门指定接种单位时，应当明确其责任区域。</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县级以上人民政府应当对承担预防接种工作并作出显著成绩和贡献的接种单位及其工作人员给予奖励。</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国家支持、鼓励单位和个人参与预防接种工作。各级人民政府应当完善有关制度，方便单位和个人参与预防接种工作的宣传、教育和捐赠等活动。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居民委员会、村民委员会应当配合有关部门开展与预防接种有关的宣传、教育工作，并协助组织居民、村民受种第一类疫苗。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疫苗流通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采购疫苗，应当通过省级公共资源交易平台进行。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省级疾病预防控制机构应当根据国家免疫规划和本地区预防、控制传染病的发生、流行的需要，制定本地区第一类疫苗的使用计划（以下称使用计划），并向依照国家有关规定负责采购第一类疫苗的部门报告，同时报同级人民政府卫生主管部门备案。使用计划应当包括疫苗的品种、数量、供应渠道与供应方式等内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依照国家有关规定负责采购第一类疫苗的部门应当依法与疫苗生产企业签订政府采购合同，约定疫苗的品种、数量、价格等内容。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疫苗生产企业应当按照政府采购合同的约定，向省级疾病预防控制机构或者其指定的其他疾病预防控制机构供应第一类疫苗，不得向其他单位或者个人供应。</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疫苗生产企业应当在其供应的纳入国家免疫规划疫苗的最小外包装的显著位置，标明“免费”字样以及国务院卫生主管部门规定的“免疫规划”专用标识。具体管理办法由国务院药品监督管理部门会同国务院卫生主管部门制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省级疾病预防控制机构应当做好分发第一类疫苗的组织工作，并按照使用计划将第一类疫苗组织分发到设区的市级疾病预防控制机构或者县级疾病预防控制机构。县级疾病预防控制机构应当按照使用计划将第一类疫苗分发到接种单位和乡级医疗卫生机构。乡级医疗卫生机构应当将第一类疫苗分发到承担预防接种工作的村医疗卫生机构。医疗卫生机构不得向其他单位或者个人分发第一类疫苗；分发第一类疫苗，不得收取任何费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传染病暴发、流行时，县级以上地方人民政府或者其卫生主管部门需要采取应急接种措施的，设区的市级以上疾病预防控制机构可以直接向接种单位分发第一类疫苗。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第二类疫苗由省级疾病预防控制机构组织在省级公共资源交易平台集中采购，由县级疾病预防控制机构向疫苗生产企业采购后供应给本行政区域的接种单位。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疫苗生产企业应当直接向县级疾病预防控制机构配送第二类疫苗，或者委托具备冷链储存、运输条件的企业配送。接受委托配送第二类疫苗的企业不得委托配送。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县级疾病预防控制机构向接种单位供应第二类疫苗可以收取疫苗费用以及储存、运输费用。疫苗费用按照采购价格收取，储存、运输费用按照省、自治区、直辖市的规定收取。收费情况应当向社会公开。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疾病预防控制机构、接种单位、疫苗生产企业、接受委托配送疫苗的企业应当遵守疫苗储存、运输管理规范，保证疫苗质量。疫苗储存、运输的全过程应当始终处于规定的温度环境，不得脱离冷链，并定时监测、记录温度。对于冷链运输时间长、需要配送至偏远地区的疫苗，省级疾病预防控制机构应当提出加贴温度控制标签的要求。</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疫苗储存、运输管理的相关规范由国务院卫生主管部门、药品监督管理部门制定。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疫苗生产企业在销售疫苗时，应当提供由药品检验机构依法签发的生物制品每批检验合格或者审核批准证明复印件，并加盖企业印章；销售进口疫苗的，还应当提供进口药品通关单复印件，并加盖企业印章。</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疾病预防控制机构、接种单位在接收或者购进疫苗时，应当向疫苗生产企业索取前款规定的证明文件，并保存至超过疫苗有效期2年备查。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疫苗生产企业应当依照药品管理法和国务院药品监督管理部门的规定，建立真实、完整的销售记录，并保存至超过疫苗有效期2年备查。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疾病预防控制机构应当依照国务院卫生主管部门的规定，建立真实、完整的购进、储存、分发、供应记录，做到票、账、货、款一致，并保存至超过疫苗有效期2年备查。疾病预防控制机构接收或者购进疫苗时应当索要疫苗储存、运输全过程的温度监测记录；对不能提供全过程温度监测记录或者温度控制不符合要求的，不得接收或者购进，并应当立即向药品监督管理部门、卫生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疫苗接种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国务院卫生主管部门应当制定、公布预防接种工作规范，并根据疫苗的国家标准，结合传染病流行病学调查信息，制定、公布纳入国家免疫规划疫苗的免疫程序和其他疫苗的免疫程序或者使用指导原则。</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省、自治区、直辖市人民政府卫生主管部门应当根据国务院卫生主管部门制定的免疫程序、疫苗使用指导原则，结合本行政区域的传染病流行情况，制定本行政区域的接种方案，并报国务院卫生主管部门备案。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各级疾病预防控制机构依照各自职责，根据国家免疫规划或者接种方案，开展与预防接种相关的宣传、培训、技术指导、监测、评价、流行病学调查、应急处置等工作，并依照国务院卫生主管部门的规定作好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接种单位应当具备下列条件：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（一）具有医疗机构执业许可证件；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（二）具有经过县级人民政府卫生主管部门组织的预防接种专业培训并考核合格的执业医师、执业助理医师、护士或者乡村医生；</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（三）具有符合疫苗储存、运输管理规范的冷藏设施、设备和冷藏保管制度。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承担预防接种工作的城镇医疗卫生机构，应当设立预防接种门诊。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接种单位应当承担责任区域内的预防接种工作，并接受所在地的县级疾病预防控制机构的技术指导。</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接种单位接收第一类疫苗或者购进第二类疫苗，应当索要疫苗储存、运输全过程的温度监测记录，建立并保存真实、完整的接收、购进记录，做到票、账、货、款一致。对不能提供全过程温度监测记录或者温度控制不符合要求的，接种单位不得接收或者购进，并应当立即向所在地县级人民政府药品监督管理部门、卫生主管部门报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接种单位应当根据预防接种工作的需要，制定第一类疫苗的需求计划和第二类疫苗的购买计划，并向县级人民政府卫生主管部门和县级疾病预防控制机构报告。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接种单位接种疫苗，应当遵守预防接种工作规范、免疫程序、疫苗使用指导原则和接种方案，并在其接种场所的显著位置公示第一类疫苗的品种和接种方法。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医疗卫生人员在实施接种前，应当告知受种者或者其监护人所接种疫苗的品种、作用、禁忌、不良反应以及注意事项，询问受种者的健康状况以及是否有接种禁忌等情况，并如实记录告知和询问情况。受种者或者其监护人应当了解预防接种的相关知识，并如实提供受种者的健康状况和接种禁忌等情况。</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医疗卫生人员应当对符合接种条件的受种者实施接种，并依照国务院卫生主管部门的规定，记录疫苗的品种、生产企业、最小包装单位的识别信息、有效期、接种时间、实施接种的医疗卫生人员、受种者等内容。接种记录保存时间不得少于5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对于因有接种禁忌而不能接种的受种者，医疗卫生人员应当对受种者或者其监护人提出医学建议。</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国家对儿童实行预防接种证制度。在儿童出生后1个月内，其监护人应当到儿童居住地承担预防接种工作的接种单位为其办理预防接种证。接种单位对儿童实施接种时，应当查验预防接种证，并作好记录。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儿童离开原居住地期间，由现居住地承担预防接种工作的接种单位负责对其实施接种。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预防接种证的格式由省、自治区、直辖市人民政府卫生主管部门制定。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儿童入托、入学时，托幼机构、学校应当查验预防接种证，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接种单位应当按照国家免疫规划对居住在其责任区域内需要接种第一类疫苗的受种者接种，并达到国家免疫规划所要求的接种率。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疾病预防控制机构应当及时向接种单位分发第一类疫苗。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受种者或者其监护人要求自费选择接种第一类疫苗的同品种疫苗的，提供服务的接种单位应当告知费用承担、异常反应补偿方式以及本条例第二十五条规定的有关内容。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接种单位应当依照国务院卫生主管部门的规定对接种情况进行登记，并向所在地的县级人民政府卫生主管部门和县级疾病预防控制机构报告。接种单位在完成国家免疫规划后剩余第一类疫苗的，应当向原疫苗分发单位报告，并说明理由。</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接种单位接种第一类疫苗不得收取任何费用。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接种单位接种第二类疫苗可以收取服务费、接种耗材费，具体收费标准由所在地的省、自治区、直辖市人民政府价格主管部门核定。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县级以上地方人民政府卫生主管部门根据传染病监测和预警信息，为了预防、控制传染病的暴发、流行，需要在本行政区域内部分地区进行群体性预防接种的，应当报经本级人民政府决定，并向省、自治区、直辖市人民政府卫生主管部门备案；需要在省、自治区、直辖市行政区域全部范围内进行群体性预防接种的，应当由省、自治区、直辖市人民政府卫生主管部门报经本级人民政府决定，并向国务院卫生主管部门备案。需要在全国范围或者跨省、自治区、直辖市范围内进行群体性预防接种的，应当由国务院卫生主管部门决定。作出批准决定的人民政府或者国务院卫生主管部门应当组织有关部门做好人员培训、宣传教育、物资调用等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任何单位或者个人不得擅自进行群体性预防接种。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传染病暴发、流行时，县级以上地方人民政府或者其卫生主管部门需要采取应急接种措施的，依照传染病防治法和《突发公共卫生事件应急条例》的规定执行。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国务院卫生主管部门或者省、自治区、直辖市人民政府卫生主管部门可以根据传染病监测和预警信息发布接种第二类疫苗的建议信息，其他任何单位和个人不得发布。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接种第二类疫苗的建议信息应当包含所针对传染病的防治知识、相关的接种方案等内容，但不得涉及具体的疫苗生产企业。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县级以上人民政府应当将与国家免疫规划有关的预防接种工作纳入本行政区域的国民经济和社会发展计划，对预防接种工作所需经费予以保障，保证达到国家免疫规划所要求的接种率，确保国家免疫规划的实施。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省、自治区、直辖市人民政府根据本行政区域传染病流行趋势，在国务院卫生主管部门确定的传染病预防、控制项目范围内，确定本行政区域与预防接种相关的项目，并保证项目的实施。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省、自治区、直辖市人民政府应当对购买、运输第一类疫苗所需经费予以保障，并保证本行政区域内疾病预防控制机构和接种单位冷链系统的建设、运转。</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国家根据需要对贫困地区的预防接种工作给予适当支持。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县级人民政府应当保证实施国家免疫规划的预防接种所需经费，并依照国家有关规定对从事预防接种工作的乡村医生和其他基层预防保健人员给予适当补助。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省、自治区、直辖市人民政府和设区的市级人民政府应当对困难地区的县级人民政府开展与预防接种相关的工作给予必要的经费补助。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县级以上人民政府负责疫苗和有关物资的储备，以备调用。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各级财政安排用于预防接种的经费应当专款专用，任何单位和个人不得挪用、挤占。有关单位和个人使用用于预防接种的经费应当依法接受审计机关的审计监督。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预防接种异常反应的处理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预防接种异常反应，是指合格的疫苗在实施规范接种过程中或者实施规范接种后造成受种者机体组织器官、功能损害，相关各方均无过错的药品不良反应。</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下列情形不属于预防接种异常反应：</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（一）因疫苗本身特性引起的接种后一般反应；</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（二）因疫苗质量不合格给受种者造成的损害；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（三）因接种单位违反预防接种工作规范、免疫程序、疫苗使用指导原则、接种方案给受种者造成的损害；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（四）受种者在接种时正处于某种疾病的潜伏期或者前驱期，接种后偶合发病；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（五）受种者有疫苗说明书规定的接种禁忌，在接种前受种者或者其监护人未如实提供受种者的健康状况和接种禁忌等情况，接种后受种者原有疾病急性复发或者病情加重；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（六）因心理因素发生的个体或者群体的心因性反应。</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疾病预防控制机构和接种单位及其医疗卫生人员发现预防接种异常反应、疑似预防接种异常反应或者接到相关报告的，应当依照预防接种工作规范及时处理，并立即报告所在地的县级人民政府卫生主管部门、药品监督管理部门。接到报告的卫生主管部门、药品监督管理部门应当立即组织调查处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县级以上地方人民政府卫生主管部门、药品监督管理部门应当将在本行政区域内发生的预防接种异常反应及其处理的情况，分别逐级上报至国务院卫生主管部门和药品监督管理部门。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预防接种异常反应争议发生后，接种单位或者受种方可以请求接种单位所在地的县级人民政府卫生主管部门处理。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因预防接种导致受种者死亡、严重残疾或者群体性疑似预防接种异常反应，接种单位或者受种方请求县级人民政府卫生主管部门处理的，接到处理请求的卫生主管部门应当采取必要的应急处置措施，及时向本级人民政府报告，并移送上一级人民政府卫生主管部门处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预防接种异常反应的鉴定参照《医疗事故处理条例》执行，具体办法由国务院卫生主管部门会同国务院药品监督管理部门制定。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因预防接种异常反应造成受种者死亡、严重残疾或者器官组织损伤的，应当给予一次性补偿。</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因接种第一类疫苗引起预防接种异常反应需要对受种者予以补偿的，补偿费用由省、自治区、直辖市人民政府财政部门在预防接种工作经费中安排。因接种第二类疫苗引起预防接种异常反应需要对受种者予以补偿的，补偿费用由相关的疫苗生产企业承担。国家鼓励建立通过商业保险等形式对预防接种异常反应受种者予以补偿的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预防接种异常反应具体补偿办法由省、自治区、直辖市人民政府制定。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因疫苗质量不合格给受种者造成损害的，依照药品管理法的有关规定处理；因接种单位违反预防接种工作规范、免疫程序、疫苗使用指导原则、接种方案给受种者造成损害的，依照《医疗事故处理条例》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药品监督管理部门依照药品管理法及其实施条例的有关规定，对疫苗在储存、运输、供应、销售、分发和使用等环节中的质量进行监督检查，并将检查结果及时向同级卫生主管部门通报。药品监督管理部门根据监督检查需要对疫苗进行抽查检验的，有关单位和个人应当予以配合，不得拒绝。</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药品监督管理部门在监督检查中，对有证据证明可能危害人体健康的疫苗及其有关材料可以采取查封、扣押的措施，并在7日内作出处理决定；疫苗需要检验的，应当自检验报告书发出之日起15日内作出处理决定。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疾病预防控制机构、接种单位、疫苗生产企业发现假劣或者质量可疑的疫苗，应当立即停止接种、分发、供应、销售，并立即向所在地的县级人民政府卫生主管部门和药品监督管理部门报告，不得自行处理。接到报告的卫生主管部门应当立即组织疾病预防控制机构和接种单位采取必要的应急处置措施，同时向上级卫生主管部门报告；接到报告的药品监督管理部门应当对假劣或者质量可疑的疫苗依法采取查封、扣押等措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县级以上人民政府卫生主管部门在各自职责范围内履行下列监督检查职责：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（一）对医疗卫生机构实施国家免疫规划的情况进行监督检查；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（二）对疾病预防控制机构开展与预防接种相关的宣传、培训、技术指导等工作进行监督检查；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（三）对医疗卫生机构分发和购买疫苗的情况进行监督检查。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卫生主管部门、药品监督管理部门的工作人员依法履行监督检查职责时，不得少于2人，并出示证明文件；对被检查人的商业秘密应当保密。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卫生主管部门、药品监督管理部门发现疫苗质量问题和预防接种异常反应以及其他情况时，应当及时互相通报，实现信息共享。</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任何单位和个人有权向卫生主管部门、药品监督管理部门举报违反本条例规定的行为，有权向本级人民政府、上级人民政府有关部门举报卫生主管部门、药品监督管理部门未依法履行监督管理职责的情况。接到举报的有关人民政府、卫生主管部门、药品监督管理部门对有关举报应当及时核实、处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国家建立疫苗全程追溯制度。国务院药品监督管理部门会同国务院卫生主管部门制定统一的疫苗追溯体系技术规范。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疫苗生产企业、疾病预防控制机构、接种单位应当依照药品管理法、本条例和国务院药品监督管理部门、卫生主管部门的规定建立疫苗追溯体系，如实记录疫苗的流通、使用信息，实现疫苗最小包装单位的生产、储存、运输、使用全过程可追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国务院药品监督管理部门会同国务院卫生主管部门建立疫苗全程追溯协作机制。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疾病预防控制机构、接种单位对包装无法识别、超过有效期、脱离冷链、经检验不符合标准、来源不明的疫苗，应当如实登记，向所在地县级人民政府药品监督管理部门报告，由县级人民政府药品监督管理部门会同同级卫生主管部门按照规定监督销毁。疾病预防控制机构、接种单位应当如实记录销毁情况，销毁记录保存时间不得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县级以上人民政府卫生主管部门、药品监督管理部门违反本条例规定，有下列情形之一的，由本级人民政府、上级人民政府卫生主管部门或者药品监督管理部门责令改正，通报批评；造成受种者人身损害，传染病传播、流行或者其他严重后果的，对直接负责的主管人员和其他直接责任人员依法给予处分；造成特别严重后果的，其主要负责人还应当引咎辞职；构成犯罪的，依法追究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（一）未依照本条例规定履行监督检查职责，或者发现违法行为不及时查处的；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（二）未及时核实、处理对下级卫生主管部门、药品监督管理部门不履行监督管理职责的举报的；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（三）接到发现预防接种异常反应或者疑似预防接种异常反应的相关报告，未立即组织调查处理的；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（四）擅自进行群体性预防接种的；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（五）违反本条例的其他失职、渎职行为。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第五十七条</w:t>
      </w:r>
      <w:r>
        <w:rPr>
          <w:rFonts w:hint="eastAsia" w:ascii="宋体" w:hAnsi="宋体" w:eastAsia="宋体" w:cs="宋体"/>
          <w:i w:val="0"/>
          <w:caps w:val="0"/>
          <w:color w:val="333333"/>
          <w:spacing w:val="0"/>
          <w:sz w:val="24"/>
          <w:szCs w:val="24"/>
          <w:bdr w:val="none" w:color="auto" w:sz="0" w:space="0"/>
          <w:shd w:val="clear" w:fill="FFFFFF"/>
        </w:rPr>
        <w:t>　县级以上人民政府未依照本条例规定履行预防接种保障职责的，由上级人民政府责令改正，通报批评；造成传染病传播、流行或者其他严重后果的，对直接负责的主管人员和其他直接责任人员依法给予处分；发生特别严重的疫苗质量安全事件或者连续发生严重的疫苗质量安全事件的地区，其人民政府主要负责人还应当引咎辞职；构成犯罪的，依法追究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第五十八条</w:t>
      </w:r>
      <w:r>
        <w:rPr>
          <w:rFonts w:hint="eastAsia" w:ascii="宋体" w:hAnsi="宋体" w:eastAsia="宋体" w:cs="宋体"/>
          <w:i w:val="0"/>
          <w:caps w:val="0"/>
          <w:color w:val="333333"/>
          <w:spacing w:val="0"/>
          <w:sz w:val="24"/>
          <w:szCs w:val="24"/>
          <w:bdr w:val="none" w:color="auto" w:sz="0" w:space="0"/>
          <w:shd w:val="clear" w:fill="FFFFFF"/>
        </w:rPr>
        <w:t>　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（一）未按照使用计划将第一类疫苗分发到下级疾病预防控制机构、接种单位、乡级医疗卫生机构的；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（二）未依照规定建立并保存疫苗购进、储存、分发、供应记录的；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（三）接收或者购进疫苗时未依照规定索要温度监测记录，接收、购进不符合要求的疫苗，或者未依照规定报告的。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乡级医疗卫生机构未依照本条例规定将第一类疫苗分发到承担预防接种工作的村医疗卫生机构的，依照前款的规定给予处罚。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第五十九条</w:t>
      </w:r>
      <w:r>
        <w:rPr>
          <w:rFonts w:hint="eastAsia" w:ascii="宋体" w:hAnsi="宋体" w:eastAsia="宋体" w:cs="宋体"/>
          <w:i w:val="0"/>
          <w:caps w:val="0"/>
          <w:color w:val="333333"/>
          <w:spacing w:val="0"/>
          <w:sz w:val="24"/>
          <w:szCs w:val="24"/>
          <w:bdr w:val="none" w:color="auto" w:sz="0" w:space="0"/>
          <w:shd w:val="clear" w:fill="FFFFFF"/>
        </w:rPr>
        <w:t>　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（一）接收或者购进疫苗时未依照规定索要温度监测记录，接收、购进不符合要求的疫苗，或者未依照规定报告的；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（二）未依照规定建立并保存真实、完整的疫苗接收或者购进记录的；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（三）未在其接种场所的显著位置公示第一类疫苗的品种和接种方法的；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（四）医疗卫生人员在接种前，未依照本条例规定告知、询问受种者或者其监护人有关情况的；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（五）实施预防接种的医疗卫生人员未依照规定填写并保存接种记录的；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（六）未依照规定对接种疫苗的情况进行登记并报告的。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第六十条</w:t>
      </w:r>
      <w:r>
        <w:rPr>
          <w:rFonts w:hint="eastAsia" w:ascii="宋体" w:hAnsi="宋体" w:eastAsia="宋体" w:cs="宋体"/>
          <w:i w:val="0"/>
          <w:caps w:val="0"/>
          <w:color w:val="333333"/>
          <w:spacing w:val="0"/>
          <w:sz w:val="24"/>
          <w:szCs w:val="24"/>
          <w:bdr w:val="none" w:color="auto" w:sz="0" w:space="0"/>
          <w:shd w:val="clear" w:fill="FFFFFF"/>
        </w:rPr>
        <w:t>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（一）违反本条例规定，未通过省级公共资源交易平台采购疫苗的；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（二）违反本条例规定，从疫苗生产企业、县级疾病预防控制机构以外的单位或者个人购进第二类疫苗的；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（三）接种疫苗未遵守预防接种工作规范、免疫程序、疫苗使用指导原则、接种方案的；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（四）发现预防接种异常反应或者疑似预防接种异常反应，未依照规定及时处理或者报告的；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（五）擅自进行群体性预防接种的；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（六）未依照规定对包装无法识别、超过有效期、脱离冷链、经检验不符合标准、来源不明的疫苗进行登记、报告，或者未依照规定记录销毁情况的。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第六十一条</w:t>
      </w:r>
      <w:r>
        <w:rPr>
          <w:rFonts w:hint="eastAsia" w:ascii="宋体" w:hAnsi="宋体" w:eastAsia="宋体" w:cs="宋体"/>
          <w:i w:val="0"/>
          <w:caps w:val="0"/>
          <w:color w:val="333333"/>
          <w:spacing w:val="0"/>
          <w:sz w:val="24"/>
          <w:szCs w:val="24"/>
          <w:bdr w:val="none" w:color="auto" w:sz="0" w:space="0"/>
          <w:shd w:val="clear" w:fill="FFFFFF"/>
        </w:rPr>
        <w:t>　疾病预防控制机构、接种单位在疫苗分发、供应和接种过程中违反本条例规定收取费用的，由所在地的县级人民政府卫生主管部门监督其将违法收取的费用退还给原缴费的单位或者个人，并由县级以上人民政府价格主管部门依法给予处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第六十二条</w:t>
      </w:r>
      <w:r>
        <w:rPr>
          <w:rFonts w:hint="eastAsia" w:ascii="宋体" w:hAnsi="宋体" w:eastAsia="宋体" w:cs="宋体"/>
          <w:i w:val="0"/>
          <w:caps w:val="0"/>
          <w:color w:val="333333"/>
          <w:spacing w:val="0"/>
          <w:sz w:val="24"/>
          <w:szCs w:val="24"/>
          <w:bdr w:val="none" w:color="auto" w:sz="0" w:space="0"/>
          <w:shd w:val="clear" w:fill="FFFFFF"/>
        </w:rPr>
        <w:t>　药品检验机构出具虚假的疫苗检验报告的，依照药品管理法第八十六条的规定处罚。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第六十三条</w:t>
      </w:r>
      <w:r>
        <w:rPr>
          <w:rFonts w:hint="eastAsia" w:ascii="宋体" w:hAnsi="宋体" w:eastAsia="宋体" w:cs="宋体"/>
          <w:i w:val="0"/>
          <w:caps w:val="0"/>
          <w:color w:val="333333"/>
          <w:spacing w:val="0"/>
          <w:sz w:val="24"/>
          <w:szCs w:val="24"/>
          <w:bdr w:val="none" w:color="auto" w:sz="0" w:space="0"/>
          <w:shd w:val="clear" w:fill="FFFFFF"/>
        </w:rPr>
        <w:t>　疫苗生产企业未依照规定建立并保存疫苗销售记录的，依照药品管理法第七十八条的规定处罚。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第六十四条</w:t>
      </w:r>
      <w:r>
        <w:rPr>
          <w:rFonts w:hint="eastAsia" w:ascii="宋体" w:hAnsi="宋体" w:eastAsia="宋体" w:cs="宋体"/>
          <w:i w:val="0"/>
          <w:caps w:val="0"/>
          <w:color w:val="333333"/>
          <w:spacing w:val="0"/>
          <w:sz w:val="24"/>
          <w:szCs w:val="24"/>
          <w:bdr w:val="none" w:color="auto" w:sz="0" w:space="0"/>
          <w:shd w:val="clear" w:fill="FFFFFF"/>
        </w:rPr>
        <w:t>　疫苗生产企业未依照规定在纳入国家免疫规划疫苗的最小外包装上标明“免费”字样以及“免疫规划”专用标识的，由药品监督管理部门责令改正，给予警告；拒不改正的，处5000元以上2万元以下的罚款，并封存相关的疫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第六十五条</w:t>
      </w:r>
      <w:r>
        <w:rPr>
          <w:rFonts w:hint="eastAsia" w:ascii="宋体" w:hAnsi="宋体" w:eastAsia="宋体" w:cs="宋体"/>
          <w:i w:val="0"/>
          <w:caps w:val="0"/>
          <w:color w:val="333333"/>
          <w:spacing w:val="0"/>
          <w:sz w:val="24"/>
          <w:szCs w:val="24"/>
          <w:bdr w:val="none" w:color="auto" w:sz="0" w:space="0"/>
          <w:shd w:val="clear" w:fill="FFFFFF"/>
        </w:rPr>
        <w:t>　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第六十六条</w:t>
      </w:r>
      <w:r>
        <w:rPr>
          <w:rFonts w:hint="eastAsia" w:ascii="宋体" w:hAnsi="宋体" w:eastAsia="宋体" w:cs="宋体"/>
          <w:i w:val="0"/>
          <w:caps w:val="0"/>
          <w:color w:val="333333"/>
          <w:spacing w:val="0"/>
          <w:sz w:val="24"/>
          <w:szCs w:val="24"/>
          <w:bdr w:val="none" w:color="auto" w:sz="0" w:space="0"/>
          <w:shd w:val="clear" w:fill="FFFFFF"/>
        </w:rPr>
        <w:t>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第六十七条</w:t>
      </w:r>
      <w:r>
        <w:rPr>
          <w:rFonts w:hint="eastAsia" w:ascii="宋体" w:hAnsi="宋体" w:eastAsia="宋体" w:cs="宋体"/>
          <w:i w:val="0"/>
          <w:caps w:val="0"/>
          <w:color w:val="333333"/>
          <w:spacing w:val="0"/>
          <w:sz w:val="24"/>
          <w:szCs w:val="24"/>
          <w:bdr w:val="none" w:color="auto" w:sz="0" w:space="0"/>
          <w:shd w:val="clear" w:fill="FFFFFF"/>
        </w:rPr>
        <w:t>　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第六十八条</w:t>
      </w:r>
      <w:r>
        <w:rPr>
          <w:rFonts w:hint="eastAsia" w:ascii="宋体" w:hAnsi="宋体" w:eastAsia="宋体" w:cs="宋体"/>
          <w:i w:val="0"/>
          <w:caps w:val="0"/>
          <w:color w:val="333333"/>
          <w:spacing w:val="0"/>
          <w:sz w:val="24"/>
          <w:szCs w:val="24"/>
          <w:bdr w:val="none" w:color="auto" w:sz="0" w:space="0"/>
          <w:shd w:val="clear" w:fill="FFFFFF"/>
        </w:rPr>
        <w:t>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第六十九条</w:t>
      </w:r>
      <w:r>
        <w:rPr>
          <w:rFonts w:hint="eastAsia" w:ascii="宋体" w:hAnsi="宋体" w:eastAsia="宋体" w:cs="宋体"/>
          <w:i w:val="0"/>
          <w:caps w:val="0"/>
          <w:color w:val="333333"/>
          <w:spacing w:val="0"/>
          <w:sz w:val="24"/>
          <w:szCs w:val="24"/>
          <w:bdr w:val="none" w:color="auto" w:sz="0" w:space="0"/>
          <w:shd w:val="clear" w:fill="FFFFFF"/>
        </w:rPr>
        <w:t>　儿童入托、入学时，托幼机构、学校未依照规定查验预防接种证，或者发现未依照规定受种的儿童后未向疾病预防控制机构或者接种单位报告的，由县级以上地方人民政府教育主管部门责令改正，给予警告；拒不改正的，对主要负责人、直接负责的主管人员和其他直接责任人员依法给予处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第七十条</w:t>
      </w:r>
      <w:r>
        <w:rPr>
          <w:rFonts w:hint="eastAsia" w:ascii="宋体" w:hAnsi="宋体" w:eastAsia="宋体" w:cs="宋体"/>
          <w:i w:val="0"/>
          <w:caps w:val="0"/>
          <w:color w:val="333333"/>
          <w:spacing w:val="0"/>
          <w:sz w:val="24"/>
          <w:szCs w:val="24"/>
          <w:bdr w:val="none" w:color="auto" w:sz="0" w:space="0"/>
          <w:shd w:val="clear" w:fill="FFFFFF"/>
        </w:rPr>
        <w:t>　违反本条例规定，疫苗生产企业、县级疾病预防控制机构以外的单位或者个人经营疫苗的，由药品监督管理部门依照药品管理法第七十二条的规定处罚。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第七十一条</w:t>
      </w:r>
      <w:r>
        <w:rPr>
          <w:rFonts w:hint="eastAsia" w:ascii="宋体" w:hAnsi="宋体" w:eastAsia="宋体" w:cs="宋体"/>
          <w:i w:val="0"/>
          <w:caps w:val="0"/>
          <w:color w:val="333333"/>
          <w:spacing w:val="0"/>
          <w:sz w:val="24"/>
          <w:szCs w:val="24"/>
          <w:bdr w:val="none" w:color="auto" w:sz="0" w:space="0"/>
          <w:shd w:val="clear" w:fill="FFFFFF"/>
        </w:rPr>
        <w:t>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第七十二条</w:t>
      </w:r>
      <w:r>
        <w:rPr>
          <w:rFonts w:hint="eastAsia" w:ascii="宋体" w:hAnsi="宋体" w:eastAsia="宋体" w:cs="宋体"/>
          <w:i w:val="0"/>
          <w:caps w:val="0"/>
          <w:color w:val="333333"/>
          <w:spacing w:val="0"/>
          <w:sz w:val="24"/>
          <w:szCs w:val="24"/>
          <w:bdr w:val="none" w:color="auto" w:sz="0" w:space="0"/>
          <w:shd w:val="clear" w:fill="FFFFFF"/>
        </w:rPr>
        <w:t>　单位和个人违反本条例规定，给受种者人身、财产造成损害的，依法承担民事责任。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第七十三条</w:t>
      </w:r>
      <w:r>
        <w:rPr>
          <w:rFonts w:hint="eastAsia" w:ascii="宋体" w:hAnsi="宋体" w:eastAsia="宋体" w:cs="宋体"/>
          <w:i w:val="0"/>
          <w:caps w:val="0"/>
          <w:color w:val="333333"/>
          <w:spacing w:val="0"/>
          <w:sz w:val="24"/>
          <w:szCs w:val="24"/>
          <w:bdr w:val="none" w:color="auto" w:sz="0" w:space="0"/>
          <w:shd w:val="clear" w:fill="FFFFFF"/>
        </w:rPr>
        <w:t>　以发生预防接种异常反应为由，寻衅滋事，扰乱接种单位的正常医疗秩序和预防接种异常反应鉴定工作的，依法给予治安管理处罚；构成犯罪的，依法追究刑事责任。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第七十四条</w:t>
      </w:r>
      <w:r>
        <w:rPr>
          <w:rFonts w:hint="eastAsia" w:ascii="宋体" w:hAnsi="宋体" w:eastAsia="宋体" w:cs="宋体"/>
          <w:i w:val="0"/>
          <w:caps w:val="0"/>
          <w:color w:val="333333"/>
          <w:spacing w:val="0"/>
          <w:sz w:val="24"/>
          <w:szCs w:val="24"/>
          <w:bdr w:val="none" w:color="auto" w:sz="0" w:space="0"/>
          <w:shd w:val="clear" w:fill="FFFFFF"/>
        </w:rPr>
        <w:t>　本条例中下列用语的含义：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国家免疫规划，是指按照国家或者省、自治区、直辖市确定的疫苗品种、免疫程序或者接种方案，在人群中有计划地进行预防接种，以预防和控制特定传染病的发生和流行。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冷链，是指为保证疫苗从疫苗生产企业到接种单位运转过程中的质量而装备的储存、运输冷藏设施、设备。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一般反应，是指在免疫接种后发生的，由疫苗本身所固有的特性引起的，对机体只会造成一过性生理功能障碍的反应，主要有发热和局部红肿，同时可能伴有全身不适、倦怠、食欲不振、乏力等综合症状。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疫苗生产企业，是指我国境内的疫苗生产企业以及向我国出口疫苗的境外疫苗厂商指定的在我国境内的代理机构。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第七十五条</w:t>
      </w:r>
      <w:r>
        <w:rPr>
          <w:rFonts w:hint="eastAsia" w:ascii="宋体" w:hAnsi="宋体" w:eastAsia="宋体" w:cs="宋体"/>
          <w:i w:val="0"/>
          <w:caps w:val="0"/>
          <w:color w:val="333333"/>
          <w:spacing w:val="0"/>
          <w:sz w:val="24"/>
          <w:szCs w:val="24"/>
          <w:bdr w:val="none" w:color="auto" w:sz="0" w:space="0"/>
          <w:shd w:val="clear" w:fill="FFFFFF"/>
        </w:rPr>
        <w:t>　出入境预防接种管理办法由国家出入境检验检疫部门另行制定。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第七十六条</w:t>
      </w:r>
      <w:r>
        <w:rPr>
          <w:rFonts w:hint="eastAsia" w:ascii="宋体" w:hAnsi="宋体" w:eastAsia="宋体" w:cs="宋体"/>
          <w:i w:val="0"/>
          <w:caps w:val="0"/>
          <w:color w:val="333333"/>
          <w:spacing w:val="0"/>
          <w:sz w:val="24"/>
          <w:szCs w:val="24"/>
          <w:bdr w:val="none" w:color="auto" w:sz="0" w:space="0"/>
          <w:shd w:val="clear" w:fill="FFFFFF"/>
        </w:rPr>
        <w:t>　本条例自2005年6月1日起施行。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717F5"/>
    <w:rsid w:val="2457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2020-09-29T12:39:00Z</dcterms:created>
  <dc:creator>LHDZ</dc:creator>
  <cp:lastModifiedBy>LHDZ</cp:lastModifiedBy>
  <dcterms:modified xsi:type="dcterms:W3CDTF">2020-09-29T12:39:46Z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