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附件1：</w:t>
      </w:r>
    </w:p>
    <w:p>
      <w:pPr>
        <w:widowControl/>
        <w:shd w:val="clear" w:color="auto" w:fill="FFFFFF"/>
        <w:spacing w:line="420" w:lineRule="atLeast"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药品安全突发事件分级标准</w:t>
      </w:r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3"/>
        <w:tblW w:w="85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67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级 别</w:t>
            </w:r>
          </w:p>
        </w:tc>
        <w:tc>
          <w:tcPr>
            <w:tcW w:w="6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标  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9" w:hRule="atLeast"/>
          <w:jc w:val="center"/>
        </w:trPr>
        <w:tc>
          <w:tcPr>
            <w:tcW w:w="1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特别重大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（Ⅰ级）</w:t>
            </w:r>
          </w:p>
        </w:tc>
        <w:tc>
          <w:tcPr>
            <w:tcW w:w="6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1）在相对集中的时间和（或）区域内，批号相对集中的同一药品引起临床表现相似的，且罕见的或非预期的不良事件的人数超过50人（含）；或者引起特别严重不良事件（可能对人体造成永久性伤残、对器官功能造成永久性损伤或危及生命）的人数超过10人（含）；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（2）同一批号药品短期内引起3例（含）以上患者死亡；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（3）短期内2个以上省（区、市）因同一药品发生Ⅱ级药品安全突发事件；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（4）其他危害特别严重的药品安全突发事件。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4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重大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（Ⅱ级）</w:t>
            </w:r>
          </w:p>
        </w:tc>
        <w:tc>
          <w:tcPr>
            <w:tcW w:w="6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1）在相对集中的时间和（或）区域内，批号相对集中的同一药品引起临床表现相似的，且罕见的或非预期的不良事件的人数超过30人（含），少于50人；或者引起特别严重不良事件（可能对人体造成永久性伤残、对器官功能造成永久性损伤或危及生命），涉及人数超过5人（含）；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（2）同一批号药品短期内引起1至2例患者死亡，且在同一区域内同时出现其他类似病例；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（3）短期内1个省（区、市）内2个以上市(地)因同一药品发生Ⅲ级药品安全突发事件；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（4）其他危害严重的重大药品安全突发事件。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较大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（Ⅲ级）</w:t>
            </w:r>
          </w:p>
        </w:tc>
        <w:tc>
          <w:tcPr>
            <w:tcW w:w="6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1）在相对集中的时间和（或）区域内，批号相对集中的同一药品引起临床表现相似的，且罕见的或非预期的不良事件的人数超过20人（含），少于30人；或者引起特别严重不良事件（可能对人体造成永久性伤残、对器官功能造成永久性损伤或危及生命），涉及人数超过3人（含）；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（2）短期内1个市（地）内2个以上县（市）因同一药品发生Ⅳ级药品安全突发事件；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（3）其他危害较大的药品安全突发事件。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一般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（Ⅳ级）</w:t>
            </w:r>
          </w:p>
        </w:tc>
        <w:tc>
          <w:tcPr>
            <w:tcW w:w="6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1）在相对集中的时间和（或）区域内，批号相对集中的同一药品引起临床表现相似的，且罕见的或非预期的不良事件的人数超过10人（含），少于20人；或者引起特别严重不良事件（可能对人体造成永久性伤残、对器官功能造成永久性损伤或危及生命），涉及人数超过2人（含）；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（2）其他一般药品安全突发事件。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21ED4745"/>
    <w:rsid w:val="21E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40" w:lineRule="atLeast"/>
      <w:ind w:firstLine="420"/>
    </w:pPr>
    <w:rPr>
      <w:rFonts w:ascii="Verdana" w:hAnsi="Verdana" w:eastAsia="仿宋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2022-12-09T07:37:00Z</dcterms:created>
  <dc:creator>心是重生的季节</dc:creator>
  <cp:lastModifiedBy>心是重生的季节</cp:lastModifiedBy>
  <dcterms:modified xsi:type="dcterms:W3CDTF">2022-12-09T07:38:12Z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419C846BAC414F47A361BFCCE6D40E62</vt:lpwstr>
  </property>
</Properties>
</file>