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bookmarkStart w:id="0" w:name="_GoBack"/>
      <w:bookmarkEnd w:id="0"/>
    </w:p>
    <w:p>
      <w:pPr>
        <w:spacing w:line="38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2022年推进食品安全工作再提升攻坚任务清单</w:t>
      </w:r>
    </w:p>
    <w:tbl>
      <w:tblPr>
        <w:tblStyle w:val="4"/>
        <w:tblpPr w:leftFromText="180" w:rightFromText="180" w:vertAnchor="text" w:horzAnchor="margin" w:tblpXSpec="center" w:tblpY="291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90"/>
        <w:gridCol w:w="6639"/>
        <w:gridCol w:w="1410"/>
        <w:gridCol w:w="1397"/>
        <w:gridCol w:w="1603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top"/>
          </w:tcPr>
          <w:p>
            <w:pPr>
              <w:spacing w:line="380" w:lineRule="exact"/>
              <w:jc w:val="center"/>
              <w:textAlignment w:val="top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90" w:type="dxa"/>
            <w:noWrap w:val="0"/>
            <w:vAlign w:val="top"/>
          </w:tcPr>
          <w:p>
            <w:pPr>
              <w:spacing w:line="380" w:lineRule="exact"/>
              <w:jc w:val="center"/>
              <w:textAlignment w:val="top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攻坚事项</w:t>
            </w:r>
          </w:p>
        </w:tc>
        <w:tc>
          <w:tcPr>
            <w:tcW w:w="6639" w:type="dxa"/>
            <w:noWrap w:val="0"/>
            <w:vAlign w:val="top"/>
          </w:tcPr>
          <w:p>
            <w:pPr>
              <w:spacing w:line="380" w:lineRule="exact"/>
              <w:jc w:val="center"/>
              <w:textAlignment w:val="top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攻坚目标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380" w:lineRule="exact"/>
              <w:jc w:val="center"/>
              <w:textAlignment w:val="top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完成时限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spacing w:line="380" w:lineRule="exact"/>
              <w:jc w:val="center"/>
              <w:textAlignment w:val="top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责任领导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spacing w:line="380" w:lineRule="exact"/>
              <w:jc w:val="center"/>
              <w:textAlignment w:val="top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责任股室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textAlignment w:val="top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强化食品生产源头风险防控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食品生产企业自查报告率100%。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ind w:left="240" w:hanging="240" w:hanging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11月底前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食品生产流通股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食品安全管理人员抽考合格率和覆盖率100%。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11月底前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食品生产流通股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强化食品流通销售风险防控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规范</w:t>
            </w:r>
            <w:r>
              <w:rPr>
                <w:rFonts w:ascii="仿宋" w:hAnsi="仿宋" w:eastAsia="仿宋" w:cs="仿宋"/>
                <w:sz w:val="24"/>
                <w:szCs w:val="24"/>
              </w:rPr>
              <w:t>食品销售者风险分级管理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,力争风险分级完成率达100%。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12月底前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80" w:lineRule="exac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食品生产流通股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持续推进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食用农产品“治违禁控药残促提升”三年行动，</w:t>
            </w:r>
            <w:r>
              <w:rPr>
                <w:rFonts w:ascii="仿宋" w:hAnsi="仿宋" w:eastAsia="仿宋" w:cs="仿宋"/>
                <w:sz w:val="24"/>
                <w:szCs w:val="24"/>
              </w:rPr>
              <w:t>深入推进放心食品超市自我承诺活动，新增1至2家食品超市公开自我承诺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11月底前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80" w:lineRule="exac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食品生产流通股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开展农村假冒伪劣食品专项整治和专项执法行动取得明显成效。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11月底前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吴太胜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食品生产流通股、法规股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71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全面推行“库长制”，</w:t>
            </w:r>
            <w:r>
              <w:rPr>
                <w:rFonts w:ascii="仿宋" w:hAnsi="仿宋" w:eastAsia="仿宋" w:cs="仿宋"/>
                <w:sz w:val="24"/>
                <w:szCs w:val="24"/>
              </w:rPr>
              <w:t>食品生产经营者落实进口冷链食品“三专四证四不”要求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对核酸检测进口冷链食品阳性食品依职责及时、规范处置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6月底前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食品生产流通股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8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W w:w="14293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77"/>
        <w:gridCol w:w="6590"/>
        <w:gridCol w:w="1399"/>
        <w:gridCol w:w="1387"/>
        <w:gridCol w:w="1592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677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强化餐饮服务消费风险防控</w:t>
            </w:r>
          </w:p>
        </w:tc>
        <w:tc>
          <w:tcPr>
            <w:tcW w:w="65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扎实开展“餐饮服务规范年”活动。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11月底前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餐饮股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实施校园食品安全守护行动，力争实现全县小学、幼儿园食堂“互联网+明厨亮灶”覆盖率达100%。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12月底前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餐饮股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深入推进“整治脏乱差店家入驻外卖平台问题，强化外卖商家审核监管”点题整治，深化网络餐饮服务第三方平台落实主体责任，强化入网餐饮服务提供者规范经营，推行“外卖封签”2万签以上。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12月底前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熊道乾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网监股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餐饮股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完成省级</w:t>
            </w:r>
            <w:r>
              <w:rPr>
                <w:rFonts w:ascii="仿宋" w:hAnsi="仿宋" w:eastAsia="仿宋" w:cs="仿宋"/>
                <w:sz w:val="24"/>
                <w:szCs w:val="24"/>
              </w:rPr>
              <w:t>“互联网+明厨亮灶”示范单位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1家。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11月底前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餐饮股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全面完成食品安全抽样检测任务指标</w:t>
            </w:r>
          </w:p>
        </w:tc>
        <w:tc>
          <w:tcPr>
            <w:tcW w:w="65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食品安全评价性抽检总体合格率达98.5%以上；全面完成年度食品抽检目标任务，食品监督性抽检总体不合格率达1.8%以上，食用农产品监督性抽检不合格率达2021年全国食用农产品抽检平均不合格率（2.23 %）以上，不合格食品核查处置按时完成率达100%，不合格食品核查处置立案率达70%。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280" w:lineRule="exact"/>
              <w:ind w:left="240" w:hanging="240" w:hanging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均衡推进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12月底前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吴太胜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食安协调股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法规股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推进食品安全追溯体系建设</w:t>
            </w:r>
          </w:p>
        </w:tc>
        <w:tc>
          <w:tcPr>
            <w:tcW w:w="6590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推进一品一码追溯平台的注册使用，扩大食品生产、经营、消费企业的覆盖面和录入的品种、数量，每月通报进度保持在全市中上游。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12月底前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食品生产流通股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餐饮股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畅通食品安全投诉举报渠道</w:t>
            </w:r>
          </w:p>
        </w:tc>
        <w:tc>
          <w:tcPr>
            <w:tcW w:w="65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统一应用全国12315平台处理食品类投诉举报业务，举报按时核查率达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  <w:r>
              <w:rPr>
                <w:rFonts w:ascii="仿宋" w:hAnsi="仿宋" w:eastAsia="仿宋" w:cs="仿宋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12月底前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熊道乾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消保股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加大执法办案力度</w:t>
            </w:r>
          </w:p>
        </w:tc>
        <w:tc>
          <w:tcPr>
            <w:tcW w:w="65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食品案件查办数量（按普通程序查处结案的食品安全违法案件与人口数量的比例）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>移送公安机关且立案的食品安全违法案件数量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同比上升</w:t>
            </w:r>
            <w:r>
              <w:rPr>
                <w:rFonts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争取在全市排名有所提升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12月底前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吴太胜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法规股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执法大队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强化宣传教育</w:t>
            </w:r>
          </w:p>
        </w:tc>
        <w:tc>
          <w:tcPr>
            <w:tcW w:w="659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认真组织开展“食品安全宣传周”活动，提高群众食品安全的知晓率和满意度，力争食品安全满意度提高1个百分点以上。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11月底前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张河沐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食安协调股及业务股室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674E43CF"/>
    <w:rsid w:val="674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2022-09-14T01:33:00Z</dcterms:created>
  <dc:creator>心是重生的季节</dc:creator>
  <cp:lastModifiedBy>心是重生的季节</cp:lastModifiedBy>
  <dcterms:modified xsi:type="dcterms:W3CDTF">2022-09-14T01:34:46Z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E2639DF9688843F6A2ED767E7059793B</vt:lpwstr>
  </property>
</Properties>
</file>