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cs="Times New Roman"/>
          <w:b/>
          <w:bCs/>
          <w:sz w:val="28"/>
          <w:szCs w:val="28"/>
        </w:rPr>
      </w:pPr>
      <w:r>
        <w:rPr>
          <w:rFonts w:hint="eastAsia" w:ascii="仿宋" w:hAnsi="仿宋" w:eastAsia="仿宋" w:cs="仿宋"/>
          <w:b/>
          <w:bCs/>
          <w:sz w:val="28"/>
          <w:szCs w:val="28"/>
        </w:rPr>
        <w:t>附件</w:t>
      </w:r>
      <w:r>
        <w:rPr>
          <w:rFonts w:ascii="仿宋" w:hAnsi="仿宋" w:eastAsia="仿宋" w:cs="仿宋"/>
          <w:b/>
          <w:bCs/>
          <w:sz w:val="28"/>
          <w:szCs w:val="28"/>
        </w:rPr>
        <w:t>1</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557"/>
        <w:gridCol w:w="1595"/>
        <w:gridCol w:w="834"/>
        <w:gridCol w:w="8195"/>
        <w:gridCol w:w="1524"/>
        <w:gridCol w:w="271"/>
        <w:gridCol w:w="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0" w:type="auto"/>
            <w:gridSpan w:val="8"/>
            <w:tcBorders>
              <w:top w:val="nil"/>
              <w:left w:val="nil"/>
              <w:right w:val="nil"/>
            </w:tcBorders>
            <w:vAlign w:val="center"/>
          </w:tcPr>
          <w:p>
            <w:pPr>
              <w:jc w:val="center"/>
              <w:rPr>
                <w:rFonts w:eastAsia="方正小标宋简体" w:cs="Times New Roman"/>
                <w:sz w:val="28"/>
                <w:szCs w:val="28"/>
              </w:rPr>
            </w:pPr>
            <w:bookmarkStart w:id="0" w:name="_GoBack"/>
            <w:r>
              <w:rPr>
                <w:rFonts w:hint="eastAsia" w:eastAsia="方正小标宋简体" w:cs="方正小标宋简体"/>
                <w:sz w:val="28"/>
                <w:szCs w:val="28"/>
              </w:rPr>
              <w:t>学校食堂食品安全监督检查指南</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864" w:type="dxa"/>
            <w:vAlign w:val="center"/>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推荐的重点检查点位</w:t>
            </w:r>
          </w:p>
        </w:tc>
        <w:tc>
          <w:tcPr>
            <w:tcW w:w="562" w:type="dxa"/>
            <w:vAlign w:val="center"/>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项目序号</w:t>
            </w:r>
          </w:p>
        </w:tc>
        <w:tc>
          <w:tcPr>
            <w:tcW w:w="1668" w:type="dxa"/>
            <w:vAlign w:val="center"/>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检查项目</w:t>
            </w:r>
          </w:p>
        </w:tc>
        <w:tc>
          <w:tcPr>
            <w:tcW w:w="839" w:type="dxa"/>
            <w:vAlign w:val="center"/>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检查序号</w:t>
            </w:r>
          </w:p>
        </w:tc>
        <w:tc>
          <w:tcPr>
            <w:tcW w:w="8816" w:type="dxa"/>
            <w:vAlign w:val="center"/>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检查内容</w:t>
            </w:r>
          </w:p>
        </w:tc>
        <w:tc>
          <w:tcPr>
            <w:tcW w:w="1590" w:type="dxa"/>
            <w:vAlign w:val="center"/>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检查结果</w:t>
            </w:r>
          </w:p>
        </w:tc>
        <w:tc>
          <w:tcPr>
            <w:tcW w:w="648" w:type="dxa"/>
            <w:gridSpan w:val="2"/>
            <w:vAlign w:val="center"/>
          </w:tcPr>
          <w:p>
            <w:pPr>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信息公示区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1</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信息公示</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在就餐区等经营场所醒目位置公示食品经营许可证、上一次日常监督检查结果记录表、从事接触直接入口食品工作的从业人员健康证明等。</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公示食品原料进货来源、供餐单位等信息。</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2</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食品经营许可</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食品经营许可证合法有效，实际经营地址、许可项目等事项与食品经营许可证一致。</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原料贮存区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3</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原料贮存</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301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同一库房内贮存不同类别的食品和非食品（如食品包装材料等），分设存放区域，不同区域有明显的区分标识。</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302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冷冻（藏）设施正常运转，有正确显示设施内部温度的温度计或温度显示装置，设施内部温度符合规定。冷冻（藏）库使用防爆灯。</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303</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设有存放食品添加剂的专柜（位），并标注“食品添加剂”字样。食品添加剂的标签上标注有使用范围、用量、使用方法等内容。</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304</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中小学、幼儿园食堂未采购、贮存四季豆、鲜黄花菜、野生蘑菇、发芽土豆等高风险食品原料。</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4</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原料质量检查</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401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食品具有正常的感官性状，无超过保质期、无腐败变质等异常情形。</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402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对变质、超过保质期或者回收的食品进行显著标示或者单独存放在有明确标志的场所，及时采取无害化处理、销毁等措施并如实记录。</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粗加工区</w:t>
            </w: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5</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场所卫生</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501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场所内无污染源和活禽，地面、墙壁、门窗、天花板等无霉斑、污垢、积油、积水等情形。</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6</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粗加工</w:t>
            </w:r>
            <w:r>
              <w:rPr>
                <w:rFonts w:ascii="仿宋" w:hAnsi="仿宋" w:eastAsia="仿宋" w:cs="Times New Roman"/>
                <w:sz w:val="28"/>
                <w:szCs w:val="28"/>
              </w:rPr>
              <w:br w:type="textWrapping"/>
            </w:r>
            <w:r>
              <w:rPr>
                <w:rFonts w:hint="eastAsia" w:ascii="仿宋" w:hAnsi="仿宋" w:eastAsia="仿宋" w:cs="仿宋"/>
                <w:sz w:val="28"/>
                <w:szCs w:val="28"/>
              </w:rPr>
              <w:t>与切配</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601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盛放或加工制作动物性、植物性、水产品等食品原料的工用具、清洗池和容器分开，使用并有明显区分标识。</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专间</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7</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场所布局</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701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各专间有标明用途的明显标识。</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702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专间的门能自动闭合，窗户为封闭式（用于传递食品的除外），专间的门和食品传递窗口及时关闭。</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8</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设施设备</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801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专间内设有空气消毒、冷冻（藏）、独立的空调等设施，专间内温度不高于</w:t>
            </w:r>
            <w:r>
              <w:rPr>
                <w:rFonts w:ascii="仿宋" w:hAnsi="仿宋" w:eastAsia="仿宋" w:cs="仿宋"/>
                <w:sz w:val="28"/>
                <w:szCs w:val="28"/>
              </w:rPr>
              <w:t>25</w:t>
            </w:r>
            <w:r>
              <w:rPr>
                <w:rFonts w:hint="eastAsia" w:ascii="仿宋" w:hAnsi="仿宋" w:eastAsia="仿宋" w:cs="仿宋"/>
                <w:sz w:val="28"/>
                <w:szCs w:val="28"/>
              </w:rPr>
              <w:t>℃。</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9</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人员</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901</w:t>
            </w:r>
          </w:p>
        </w:tc>
        <w:tc>
          <w:tcPr>
            <w:tcW w:w="8816" w:type="dxa"/>
          </w:tcPr>
          <w:p>
            <w:pPr>
              <w:spacing w:line="360" w:lineRule="exact"/>
              <w:rPr>
                <w:rFonts w:ascii="仿宋" w:hAnsi="仿宋" w:eastAsia="仿宋" w:cs="Times New Roman"/>
                <w:spacing w:val="-8"/>
                <w:sz w:val="28"/>
                <w:szCs w:val="28"/>
              </w:rPr>
            </w:pPr>
            <w:r>
              <w:rPr>
                <w:rFonts w:hint="eastAsia" w:ascii="仿宋" w:hAnsi="仿宋" w:eastAsia="仿宋" w:cs="仿宋"/>
                <w:spacing w:val="-8"/>
                <w:sz w:val="28"/>
                <w:szCs w:val="28"/>
              </w:rPr>
              <w:t>专间内由专人加工制作。加工人员穿戴专用的工作衣帽、佩戴口罩并严格清洗消毒手部后进入专间。</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10</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加工制作</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1001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中小学、幼儿园食堂未制售冷荤类食品、生食类食品、裱花蛋糕。</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11</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废弃物要求</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1101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专间内的废弃物容器的盖子为非手动开启式。</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专用操作区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12</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加工制作</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1201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在专用操作区内进行预包装食品的拆封、装盘、调味等加工制作。</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1202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设置专用的备餐间或者备餐操作区。</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1203</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制定并在显著位置公示加工制作规范。</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13</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人员</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1301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加工制作人员穿戴专用的工作衣帽并按规定佩戴口罩，加工制作前严格清洗消毒手部。</w:t>
            </w:r>
          </w:p>
        </w:tc>
        <w:tc>
          <w:tcPr>
            <w:tcW w:w="1873" w:type="dxa"/>
            <w:gridSpan w:val="2"/>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p>
            <w:pPr>
              <w:spacing w:line="360" w:lineRule="exact"/>
              <w:jc w:val="center"/>
              <w:rPr>
                <w:rFonts w:ascii="仿宋" w:hAnsi="仿宋" w:eastAsia="仿宋" w:cs="Times New Roman"/>
                <w:sz w:val="28"/>
                <w:szCs w:val="28"/>
              </w:rPr>
            </w:pPr>
            <w:r>
              <w:rPr>
                <w:rFonts w:hint="eastAsia" w:ascii="仿宋" w:hAnsi="仿宋" w:eastAsia="仿宋" w:cs="仿宋"/>
                <w:sz w:val="28"/>
                <w:szCs w:val="28"/>
              </w:rPr>
              <w:t>□合理缺项</w:t>
            </w:r>
          </w:p>
        </w:tc>
        <w:tc>
          <w:tcPr>
            <w:tcW w:w="365" w:type="dxa"/>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烹饪区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14</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工具容器</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1401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盛放调味料的容器表面清洁，加盖存放。</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1402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用于加工动物性、植物性、水产品等食品原料的容器、工用具分开使用，并有明显区分标识。</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15</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防尘、防有害生物设施</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1501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配备防尘、防蝇、防鼠、防虫等设施设备，能够出具有害生物消杀记录。</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16</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照明、通风排烟设施</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1601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配备通风、排烟、充足的自然光或人工照明设施，定期清洁，光源不改变食品的感官颜色。</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17</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加工制作</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1701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未在餐饮加工场所贮存和添加由国务院食品安全监督管理部门会同国务院卫生行政等部门发布的非食品用化学物质和其他可能危害人体健康的物质。</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1702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油炸类食品、烧烤类食品、糕点类食品、自制饮品等加工过程符合要求。</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1703</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未超范围、超限量使用食品添加剂，准确称量和记录有“最大使用量”规定的食品添加剂。</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1704</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未采购、贮存、使用亚硝酸盐（包括亚硝酸钠、亚硝酸钾）。</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18</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食品留样</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1801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对每餐次加工制作的每种食品成品进行留样，每个品种留样量不少于</w:t>
            </w:r>
            <w:r>
              <w:rPr>
                <w:rFonts w:ascii="仿宋" w:hAnsi="仿宋" w:eastAsia="仿宋" w:cs="仿宋"/>
                <w:sz w:val="28"/>
                <w:szCs w:val="28"/>
              </w:rPr>
              <w:t>125</w:t>
            </w:r>
            <w:r>
              <w:rPr>
                <w:rFonts w:hint="eastAsia" w:ascii="仿宋" w:hAnsi="仿宋" w:eastAsia="仿宋" w:cs="仿宋"/>
                <w:sz w:val="28"/>
                <w:szCs w:val="28"/>
              </w:rPr>
              <w:t>克，并有留样记录。</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19</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废弃物要求</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1901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餐厨废弃物存放容器与食品加工制作容器有明显的区分标识，并及时清理，餐厨废弃物未溢出存放容器。存放废弃物的容器设有盖子。</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20</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人员卫生</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2001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从事接触直接入口食品的工作的从业人员，加工制作食品前对手部进行清洗消毒。</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就餐区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21</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场所卫生</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2101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就餐场所卫生清洁。</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2102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从业人员未有在食堂内吸烟等行为。</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22</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设施</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2201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根据就餐区布局、面积合理使用防虫、防鼠等设施，场所无苍蝇、老鼠、蟑螂等。</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2202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就餐区或就餐区附近设有供用餐者清洗手部以及餐具、饮具的用水设施。</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餐用具清洗消毒区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23</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清洗</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2301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具有专用的餐用具清洗消毒水池，与食品原料、清洁用具及接触非直接入口食品的工具、容器清洗水池分开。</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2302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洗涤剂、消毒剂的包装上标识有产品名称、生产厂名和厂址等内容。</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24</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消毒</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2401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采用物理消毒的，消毒设备能正常运转，消毒温度和时间符合相关要求。</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2402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采用化学消毒的，配有含氯等消毒剂和水池等消毒设施设备，消毒液配制行为和消毒液浓度符合相关要求。</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餐用具保洁区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25</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保洁设施</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2501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消毒后的餐饮具存放在清洁、专用、密闭的保洁设施中，并有明显区分标识。</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jc w:val="center"/>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2502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使用敞开式的货架存放餐饮具，采取防护措施。</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反对食</w:t>
            </w:r>
          </w:p>
          <w:p>
            <w:pPr>
              <w:spacing w:line="360" w:lineRule="exact"/>
              <w:rPr>
                <w:rFonts w:ascii="仿宋" w:hAnsi="仿宋" w:eastAsia="仿宋" w:cs="Times New Roman"/>
                <w:sz w:val="28"/>
                <w:szCs w:val="28"/>
              </w:rPr>
            </w:pPr>
            <w:r>
              <w:rPr>
                <w:rFonts w:hint="eastAsia" w:ascii="仿宋" w:hAnsi="仿宋" w:eastAsia="仿宋" w:cs="仿宋"/>
                <w:sz w:val="28"/>
                <w:szCs w:val="28"/>
              </w:rPr>
              <w:t>品浪费</w:t>
            </w: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26</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提示提醒</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2601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查看餐桌、入口等醒目位置张贴或者摆放反食品浪费标识，引导消费者按需适量点餐。</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27</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规范制作</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2701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查看陈列台、询问是否按照标准规范制作食品，合理确定数量、分量，提供小份餐等不同规格选择。</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tcPr>
          <w:p>
            <w:pPr>
              <w:spacing w:line="360" w:lineRule="exact"/>
              <w:jc w:val="center"/>
              <w:rPr>
                <w:rFonts w:ascii="仿宋" w:hAnsi="仿宋" w:eastAsia="仿宋" w:cs="仿宋"/>
                <w:sz w:val="28"/>
                <w:szCs w:val="28"/>
              </w:rPr>
            </w:pPr>
            <w:r>
              <w:rPr>
                <w:rFonts w:ascii="仿宋" w:hAnsi="仿宋" w:eastAsia="仿宋" w:cs="仿宋"/>
                <w:sz w:val="28"/>
                <w:szCs w:val="28"/>
              </w:rPr>
              <w:t>28</w:t>
            </w:r>
          </w:p>
        </w:tc>
        <w:tc>
          <w:tcPr>
            <w:tcW w:w="1668" w:type="dxa"/>
          </w:tcPr>
          <w:p>
            <w:pPr>
              <w:spacing w:line="360" w:lineRule="exact"/>
              <w:rPr>
                <w:rFonts w:ascii="仿宋" w:hAnsi="仿宋" w:eastAsia="仿宋" w:cs="Times New Roman"/>
                <w:sz w:val="28"/>
                <w:szCs w:val="28"/>
              </w:rPr>
            </w:pPr>
            <w:r>
              <w:rPr>
                <w:rFonts w:hint="eastAsia" w:ascii="仿宋" w:hAnsi="仿宋" w:eastAsia="仿宋" w:cs="仿宋"/>
                <w:sz w:val="28"/>
                <w:szCs w:val="28"/>
              </w:rPr>
              <w:t>光盘行动</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2801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查看、询问是否提供打包服务，制定惩戒消费者食品浪费行为的公约措施。</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文件保存区</w:t>
            </w:r>
          </w:p>
        </w:tc>
        <w:tc>
          <w:tcPr>
            <w:tcW w:w="562" w:type="dxa"/>
            <w:vMerge w:val="restart"/>
          </w:tcPr>
          <w:p>
            <w:pPr>
              <w:spacing w:line="360" w:lineRule="exact"/>
              <w:jc w:val="center"/>
              <w:rPr>
                <w:rFonts w:ascii="仿宋" w:hAnsi="仿宋" w:eastAsia="仿宋" w:cs="仿宋"/>
                <w:sz w:val="28"/>
                <w:szCs w:val="28"/>
              </w:rPr>
            </w:pPr>
            <w:r>
              <w:rPr>
                <w:rFonts w:ascii="仿宋" w:hAnsi="仿宋" w:eastAsia="仿宋" w:cs="仿宋"/>
                <w:sz w:val="28"/>
                <w:szCs w:val="28"/>
              </w:rPr>
              <w:t>29</w:t>
            </w:r>
          </w:p>
        </w:tc>
        <w:tc>
          <w:tcPr>
            <w:tcW w:w="1668" w:type="dxa"/>
            <w:vMerge w:val="restart"/>
          </w:tcPr>
          <w:p>
            <w:pPr>
              <w:spacing w:line="360" w:lineRule="exact"/>
              <w:rPr>
                <w:rFonts w:ascii="仿宋" w:hAnsi="仿宋" w:eastAsia="仿宋" w:cs="Times New Roman"/>
                <w:sz w:val="28"/>
                <w:szCs w:val="28"/>
              </w:rPr>
            </w:pPr>
            <w:r>
              <w:rPr>
                <w:rFonts w:hint="eastAsia" w:ascii="仿宋" w:hAnsi="仿宋" w:eastAsia="仿宋" w:cs="仿宋"/>
                <w:sz w:val="28"/>
                <w:szCs w:val="28"/>
              </w:rPr>
              <w:t>文件与记录</w:t>
            </w: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2901</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具有食品、食品添加剂、食品相关产品的随货证明文件、每笔购物或送货凭证。具有完整的进货查验记录。</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2902</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采购畜禽肉类的，还具有动物产品检疫合格证明；采购猪肉的，还具有肉品品质检验合格证明。</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4" w:type="dxa"/>
            <w:vMerge w:val="continue"/>
          </w:tcPr>
          <w:p>
            <w:pPr>
              <w:spacing w:line="360" w:lineRule="exact"/>
              <w:rPr>
                <w:rFonts w:ascii="仿宋" w:hAnsi="仿宋" w:eastAsia="仿宋" w:cs="Times New Roman"/>
                <w:sz w:val="28"/>
                <w:szCs w:val="28"/>
              </w:rPr>
            </w:pPr>
          </w:p>
        </w:tc>
        <w:tc>
          <w:tcPr>
            <w:tcW w:w="562" w:type="dxa"/>
            <w:vMerge w:val="continue"/>
          </w:tcPr>
          <w:p>
            <w:pPr>
              <w:spacing w:line="360" w:lineRule="exact"/>
              <w:rPr>
                <w:rFonts w:ascii="仿宋" w:hAnsi="仿宋" w:eastAsia="仿宋" w:cs="Times New Roman"/>
                <w:sz w:val="28"/>
                <w:szCs w:val="28"/>
              </w:rPr>
            </w:pPr>
          </w:p>
        </w:tc>
        <w:tc>
          <w:tcPr>
            <w:tcW w:w="1668" w:type="dxa"/>
            <w:vMerge w:val="continue"/>
          </w:tcPr>
          <w:p>
            <w:pPr>
              <w:spacing w:line="360" w:lineRule="exact"/>
              <w:rPr>
                <w:rFonts w:ascii="仿宋" w:hAnsi="仿宋" w:eastAsia="仿宋" w:cs="Times New Roman"/>
                <w:sz w:val="28"/>
                <w:szCs w:val="28"/>
              </w:rPr>
            </w:pPr>
          </w:p>
        </w:tc>
        <w:tc>
          <w:tcPr>
            <w:tcW w:w="839" w:type="dxa"/>
          </w:tcPr>
          <w:p>
            <w:pPr>
              <w:spacing w:line="360" w:lineRule="exact"/>
              <w:jc w:val="center"/>
              <w:rPr>
                <w:rFonts w:ascii="仿宋" w:hAnsi="仿宋" w:eastAsia="仿宋" w:cs="仿宋"/>
                <w:sz w:val="28"/>
                <w:szCs w:val="28"/>
              </w:rPr>
            </w:pPr>
            <w:r>
              <w:rPr>
                <w:rFonts w:ascii="仿宋" w:hAnsi="仿宋" w:eastAsia="仿宋" w:cs="仿宋"/>
                <w:sz w:val="28"/>
                <w:szCs w:val="28"/>
              </w:rPr>
              <w:t>2903</w:t>
            </w:r>
          </w:p>
        </w:tc>
        <w:tc>
          <w:tcPr>
            <w:tcW w:w="8816" w:type="dxa"/>
          </w:tcPr>
          <w:p>
            <w:pPr>
              <w:spacing w:line="360" w:lineRule="exact"/>
              <w:rPr>
                <w:rFonts w:ascii="仿宋" w:hAnsi="仿宋" w:eastAsia="仿宋" w:cs="Times New Roman"/>
                <w:sz w:val="28"/>
                <w:szCs w:val="28"/>
              </w:rPr>
            </w:pPr>
            <w:r>
              <w:rPr>
                <w:rFonts w:hint="eastAsia" w:ascii="仿宋" w:hAnsi="仿宋" w:eastAsia="仿宋" w:cs="仿宋"/>
                <w:sz w:val="28"/>
                <w:szCs w:val="28"/>
              </w:rPr>
              <w:t>有食品安全管理制度、食品安全追溯体系、供货者评价和退出制度、加工操作规程、设施设备清洗维护校验记录、从业人员每日健康检查（晨检）记录、食品安全自查记录（每周一次）、从业人员食品安全培训考核记录（每半年一次）等。</w:t>
            </w:r>
          </w:p>
        </w:tc>
        <w:tc>
          <w:tcPr>
            <w:tcW w:w="1590" w:type="dxa"/>
          </w:tcPr>
          <w:p>
            <w:pPr>
              <w:spacing w:line="360" w:lineRule="exact"/>
              <w:jc w:val="center"/>
              <w:rPr>
                <w:rFonts w:ascii="仿宋" w:hAnsi="仿宋" w:eastAsia="仿宋" w:cs="Times New Roman"/>
                <w:sz w:val="28"/>
                <w:szCs w:val="28"/>
              </w:rPr>
            </w:pPr>
            <w:r>
              <w:rPr>
                <w:rFonts w:hint="eastAsia" w:ascii="仿宋" w:hAnsi="仿宋" w:eastAsia="仿宋" w:cs="仿宋"/>
                <w:sz w:val="28"/>
                <w:szCs w:val="28"/>
              </w:rPr>
              <w:t>□是□否</w:t>
            </w:r>
          </w:p>
        </w:tc>
        <w:tc>
          <w:tcPr>
            <w:tcW w:w="648" w:type="dxa"/>
            <w:gridSpan w:val="2"/>
          </w:tcPr>
          <w:p>
            <w:pPr>
              <w:spacing w:line="360" w:lineRule="exact"/>
              <w:jc w:val="center"/>
              <w:rPr>
                <w:rFonts w:ascii="仿宋" w:hAnsi="仿宋" w:eastAsia="仿宋" w:cs="Times New Roman"/>
                <w:sz w:val="28"/>
                <w:szCs w:val="28"/>
              </w:rPr>
            </w:pPr>
          </w:p>
        </w:tc>
      </w:tr>
    </w:tbl>
    <w:p>
      <w:pPr>
        <w:spacing w:line="360" w:lineRule="exact"/>
        <w:ind w:firstLine="560" w:firstLineChars="200"/>
        <w:jc w:val="left"/>
        <w:rPr>
          <w:rFonts w:ascii="仿宋_GB2312" w:eastAsia="仿宋_GB2312" w:cs="Times New Roman"/>
          <w:sz w:val="28"/>
          <w:szCs w:val="28"/>
        </w:rPr>
      </w:pPr>
    </w:p>
    <w:p>
      <w:pPr>
        <w:spacing w:line="360" w:lineRule="exact"/>
        <w:jc w:val="left"/>
        <w:rPr>
          <w:rFonts w:ascii="仿宋_GB2312" w:eastAsia="仿宋_GB2312" w:cs="Times New Roman"/>
          <w:sz w:val="32"/>
          <w:szCs w:val="32"/>
        </w:rPr>
      </w:pPr>
    </w:p>
    <w:p>
      <w:pPr>
        <w:spacing w:line="360" w:lineRule="exact"/>
        <w:jc w:val="left"/>
        <w:rPr>
          <w:rFonts w:ascii="仿宋_GB2312" w:eastAsia="仿宋_GB2312" w:cs="Times New Roman"/>
          <w:sz w:val="32"/>
          <w:szCs w:val="32"/>
        </w:rPr>
      </w:pPr>
    </w:p>
    <w:p>
      <w:pPr>
        <w:spacing w:line="360" w:lineRule="exact"/>
        <w:jc w:val="left"/>
        <w:rPr>
          <w:rFonts w:ascii="仿宋_GB2312" w:eastAsia="仿宋_GB2312" w:cs="Times New Roman"/>
          <w:sz w:val="32"/>
          <w:szCs w:val="32"/>
        </w:rPr>
      </w:pPr>
    </w:p>
    <w:p>
      <w:pPr>
        <w:jc w:val="left"/>
        <w:rPr>
          <w:rFonts w:hint="eastAsia" w:ascii="仿宋_GB2312" w:eastAsia="仿宋_GB2312" w:cs="仿宋_GB2312"/>
          <w:b/>
          <w:bCs/>
          <w:sz w:val="32"/>
          <w:szCs w:val="32"/>
        </w:rPr>
      </w:pPr>
    </w:p>
    <w:p>
      <w:pPr>
        <w:jc w:val="left"/>
        <w:rPr>
          <w:rFonts w:hint="eastAsia" w:ascii="仿宋_GB2312" w:eastAsia="仿宋_GB2312" w:cs="仿宋_GB2312"/>
          <w:b/>
          <w:bCs/>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54E33"/>
    <w:rsid w:val="72C54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semiHidden/>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2022-03-09T09:41:00Z</dcterms:created>
  <dc:creator>心是重生的季节</dc:creator>
  <cp:lastModifiedBy>心是重生的季节</cp:lastModifiedBy>
  <dcterms:modified xsi:type="dcterms:W3CDTF">2022-03-09T09:42:16Z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C8BA4BB39CC3451A81F427F6C62CF838</vt:lpwstr>
  </property>
</Properties>
</file>