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餐饮食品质量安全提升行动工作情况统计表</w:t>
      </w:r>
    </w:p>
    <w:bookmarkEnd w:id="0"/>
    <w:p>
      <w:pPr>
        <w:jc w:val="left"/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  <w:t>填报单位：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13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90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  <w:shd w:val="clear" w:color="auto" w:fill="FFFFFF"/>
              </w:rPr>
              <w:t>项目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基本情况</w:t>
            </w: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辖区内持证餐饮服务提供者（家）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1.其中：入网经营的持证餐饮服务提供者（家）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2.其中：风险等级为A级风险的餐饮服务提供者（家）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风险等级为B级风险的餐饮服务提供者（家）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风险等级为C级风险的餐饮服务提供者（家）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风险等级为D级风险的餐饮服务提供者（家）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辖区内小餐饮（家）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辖区内已备案的网络餐饮服务第三方平台（含分支机构、代理机构）（家）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辖区内已备案的自建网站（家）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辖区内连锁餐饮企业总部（家）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辖区内实施“明厨亮灶”的餐饮服务提供者（家）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1.其中：实施“明厨亮灶”的持证餐饮服务提供者（家）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实施“明厨亮灶”的小餐饮（家）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2.其中：敞开式展示（家）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透明式展示（家）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视频式展示（家）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互联网式展示（家）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立案查处情况</w:t>
            </w: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下达责令整改通知书（份）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责令网络餐饮服务第三方平台及其分支机构整改（份）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下线入网餐饮服务提供者（家）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吊销许可证（家）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取缔无证经营（家）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立案数（件）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其中：网络餐饮服务第三方平台及其分支机构（件）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ind w:firstLine="1050" w:firstLineChars="5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入网餐饮服务提供者（件）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罚没金额（万元）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81228"/>
    <w:rsid w:val="7AE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2021-06-25T01:14:00Z</dcterms:created>
  <dc:creator>黄月柔-</dc:creator>
  <cp:lastModifiedBy>黄月柔-</cp:lastModifiedBy>
  <dcterms:modified xsi:type="dcterms:W3CDTF">2021-06-25T01:15:09Z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8D57DD4D239B432FB7747C35E1A29D9F</vt:lpwstr>
  </property>
</Properties>
</file>