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szCs w:val="32"/>
          <w:lang w:val="en-US" w:eastAsia="zh-CN"/>
        </w:rPr>
      </w:pPr>
    </w:p>
    <w:tbl>
      <w:tblPr>
        <w:tblStyle w:val="5"/>
        <w:tblpPr w:leftFromText="180" w:rightFromText="180" w:vertAnchor="text" w:horzAnchor="page" w:tblpX="1097" w:tblpY="925"/>
        <w:tblOverlap w:val="never"/>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45"/>
        <w:gridCol w:w="6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9700" w:type="dxa"/>
            <w:gridSpan w:val="2"/>
            <w:vMerge w:val="restart"/>
            <w:tcBorders>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bookmarkStart w:id="0" w:name="_GoBack"/>
            <w:r>
              <w:rPr>
                <w:rFonts w:hint="eastAsia" w:ascii="方正小标宋简体" w:hAnsi="方正小标宋简体" w:eastAsia="方正小标宋简体" w:cs="方正小标宋简体"/>
                <w:b/>
                <w:i w:val="0"/>
                <w:color w:val="000000"/>
                <w:kern w:val="0"/>
                <w:sz w:val="40"/>
                <w:szCs w:val="40"/>
                <w:u w:val="none"/>
                <w:lang w:val="en-US" w:eastAsia="zh-CN" w:bidi="ar"/>
              </w:rPr>
              <w:t>中沙乡2021年度各村城乡居民医保参保缴费任务表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9700" w:type="dxa"/>
            <w:gridSpan w:val="2"/>
            <w:vMerge w:val="continue"/>
            <w:tcBorders>
              <w:bottom w:val="single" w:color="000000" w:sz="4" w:space="0"/>
            </w:tcBorders>
            <w:noWrap w:val="0"/>
            <w:vAlign w:val="center"/>
          </w:tcPr>
          <w:p>
            <w:pPr>
              <w:jc w:val="center"/>
              <w:rPr>
                <w:rFonts w:hint="eastAsia" w:ascii="宋体" w:hAnsi="宋体" w:eastAsia="宋体" w:cs="宋体"/>
                <w:b/>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村别</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2021年任务数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中沙村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2512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下沙村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半溪村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廖家村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练畲村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何屋村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武昌村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高坪村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叶坊村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楼家村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樟荣村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石门村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双源村</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居委会</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6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14389</w:t>
            </w:r>
          </w:p>
        </w:tc>
      </w:tr>
    </w:tbl>
    <w:p>
      <w:pPr>
        <w:spacing w:line="500" w:lineRule="exact"/>
        <w:rPr>
          <w:rFonts w:hint="eastAsia"/>
          <w:snapToGrid w:val="0"/>
          <w:spacing w:val="0"/>
          <w:sz w:val="31"/>
          <w:szCs w:val="31"/>
          <w:lang w:val="en-US" w:eastAsia="zh-CN"/>
        </w:rPr>
      </w:pPr>
      <w:r>
        <w:rPr>
          <w:rFonts w:hint="eastAsia"/>
          <w:snapToGrid w:val="0"/>
          <w:spacing w:val="0"/>
          <w:sz w:val="31"/>
          <w:szCs w:val="31"/>
          <w:lang w:eastAsia="zh-CN"/>
        </w:rPr>
        <w:t>附件</w:t>
      </w:r>
      <w:r>
        <w:rPr>
          <w:rFonts w:hint="eastAsia"/>
          <w:snapToGrid w:val="0"/>
          <w:spacing w:val="0"/>
          <w:sz w:val="31"/>
          <w:szCs w:val="31"/>
          <w:lang w:val="en-US" w:eastAsia="zh-CN"/>
        </w:rPr>
        <w:t>1：</w:t>
      </w:r>
    </w:p>
    <w:p>
      <w:pPr>
        <w:spacing w:line="500" w:lineRule="exact"/>
        <w:rPr>
          <w:rFonts w:hint="eastAsia"/>
          <w:snapToGrid w:val="0"/>
          <w:spacing w:val="0"/>
          <w:sz w:val="31"/>
          <w:szCs w:val="31"/>
          <w:lang w:eastAsia="zh-CN"/>
        </w:rPr>
      </w:pPr>
    </w:p>
    <w:p>
      <w:pPr>
        <w:spacing w:line="500" w:lineRule="exact"/>
        <w:rPr>
          <w:rFonts w:hint="eastAsia"/>
          <w:snapToGrid w:val="0"/>
          <w:spacing w:val="0"/>
          <w:sz w:val="31"/>
          <w:szCs w:val="31"/>
          <w:lang w:eastAsia="zh-CN"/>
        </w:rPr>
      </w:pPr>
    </w:p>
    <w:p>
      <w:pPr>
        <w:spacing w:line="500" w:lineRule="exact"/>
        <w:rPr>
          <w:rFonts w:hint="eastAsia"/>
          <w:snapToGrid w:val="0"/>
          <w:spacing w:val="0"/>
          <w:sz w:val="31"/>
          <w:szCs w:val="31"/>
          <w:lang w:eastAsia="zh-CN"/>
        </w:rPr>
      </w:pPr>
    </w:p>
    <w:p>
      <w:pPr>
        <w:spacing w:line="500" w:lineRule="exact"/>
        <w:rPr>
          <w:rFonts w:hint="eastAsia"/>
          <w:snapToGrid w:val="0"/>
          <w:spacing w:val="0"/>
          <w:sz w:val="31"/>
          <w:szCs w:val="31"/>
          <w:lang w:val="en-US" w:eastAsia="zh-CN"/>
        </w:rPr>
      </w:pPr>
      <w:r>
        <w:rPr>
          <w:rFonts w:hint="eastAsia"/>
          <w:snapToGrid w:val="0"/>
          <w:spacing w:val="0"/>
          <w:sz w:val="31"/>
          <w:szCs w:val="31"/>
          <w:lang w:eastAsia="zh-CN"/>
        </w:rPr>
        <w:t>附件</w:t>
      </w:r>
      <w:r>
        <w:rPr>
          <w:rFonts w:hint="eastAsia"/>
          <w:snapToGrid w:val="0"/>
          <w:spacing w:val="0"/>
          <w:sz w:val="31"/>
          <w:szCs w:val="31"/>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baseline"/>
        <w:rPr>
          <w:rStyle w:val="8"/>
          <w:rFonts w:hint="eastAsia" w:ascii="方正小标宋简体" w:hAnsi="方正小标宋简体" w:eastAsia="方正小标宋简体" w:cs="方正小标宋简体"/>
          <w:b w:val="0"/>
          <w:bCs w:val="0"/>
          <w:kern w:val="2"/>
          <w:sz w:val="44"/>
          <w:szCs w:val="44"/>
          <w:lang w:val="en-US" w:eastAsia="zh-CN" w:bidi="ar-SA"/>
        </w:rPr>
      </w:pPr>
      <w:r>
        <w:rPr>
          <w:rStyle w:val="8"/>
          <w:rFonts w:hint="eastAsia" w:ascii="方正小标宋简体" w:hAnsi="方正小标宋简体" w:eastAsia="方正小标宋简体" w:cs="方正小标宋简体"/>
          <w:b w:val="0"/>
          <w:bCs w:val="0"/>
          <w:kern w:val="2"/>
          <w:sz w:val="44"/>
          <w:szCs w:val="44"/>
          <w:lang w:val="en-US" w:eastAsia="zh-CN" w:bidi="ar-SA"/>
        </w:rPr>
        <w:t>2021年城乡居民医疗补充意外伤害保险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baseline"/>
        <w:rPr>
          <w:rStyle w:val="8"/>
          <w:rFonts w:cs="Times New Roman"/>
          <w:b w:val="0"/>
          <w:bCs w:val="0"/>
          <w:kern w:val="2"/>
          <w:sz w:val="28"/>
          <w:szCs w:val="28"/>
          <w:lang w:val="en-US" w:eastAsia="zh-CN" w:bidi="ar-SA"/>
        </w:rPr>
      </w:pPr>
      <w:r>
        <w:rPr>
          <w:rStyle w:val="8"/>
          <w:rFonts w:hint="eastAsia" w:ascii="仿宋_GB2312" w:hAnsi="仿宋_GB2312" w:eastAsia="仿宋_GB2312" w:cs="仿宋_GB2312"/>
          <w:bCs/>
          <w:kern w:val="2"/>
          <w:sz w:val="32"/>
          <w:szCs w:val="32"/>
          <w:lang w:val="en-US" w:eastAsia="zh-CN" w:bidi="ar-SA"/>
        </w:rPr>
        <w:t>根据</w:t>
      </w:r>
      <w:r>
        <w:rPr>
          <w:rStyle w:val="8"/>
          <w:rFonts w:hint="eastAsia" w:ascii="仿宋_GB2312" w:hAnsi="仿宋_GB2312" w:eastAsia="仿宋_GB2312" w:cs="仿宋_GB2312"/>
          <w:kern w:val="2"/>
          <w:sz w:val="32"/>
          <w:szCs w:val="32"/>
          <w:lang w:val="en-US" w:eastAsia="zh-CN" w:bidi="ar-SA"/>
        </w:rPr>
        <w:t>《福建省人民政府关于加快发展现代保险服务业十二条措施的通知》(闽政</w:t>
      </w:r>
      <w:r>
        <w:rPr>
          <w:rStyle w:val="8"/>
          <w:rFonts w:hint="eastAsia" w:ascii="仿宋_GB2312" w:hAnsi="仿宋_GB2312" w:eastAsia="仿宋_GB2312" w:cs="仿宋_GB2312"/>
          <w:color w:val="000000"/>
          <w:kern w:val="2"/>
          <w:sz w:val="32"/>
          <w:szCs w:val="32"/>
          <w:lang w:val="en-US" w:eastAsia="zh-CN" w:bidi="ar-SA"/>
        </w:rPr>
        <w:t>〔2014〕60</w:t>
      </w:r>
      <w:r>
        <w:rPr>
          <w:rStyle w:val="8"/>
          <w:rFonts w:hint="eastAsia" w:ascii="仿宋_GB2312" w:hAnsi="仿宋_GB2312" w:eastAsia="仿宋_GB2312" w:cs="仿宋_GB2312"/>
          <w:kern w:val="2"/>
          <w:sz w:val="32"/>
          <w:szCs w:val="32"/>
          <w:lang w:val="en-US" w:eastAsia="zh-CN" w:bidi="ar-SA"/>
        </w:rPr>
        <w:t>号)、《三明市深化医药卫生体制改革领导小组办公室关于鼓励全市群众参加健康平安保险的通知》(明医改办</w:t>
      </w:r>
      <w:r>
        <w:rPr>
          <w:rStyle w:val="8"/>
          <w:rFonts w:hint="eastAsia" w:ascii="仿宋_GB2312" w:hAnsi="仿宋_GB2312" w:eastAsia="仿宋_GB2312" w:cs="仿宋_GB2312"/>
          <w:color w:val="000000"/>
          <w:kern w:val="2"/>
          <w:sz w:val="32"/>
          <w:szCs w:val="32"/>
          <w:lang w:val="en-US" w:eastAsia="zh-CN" w:bidi="ar-SA"/>
        </w:rPr>
        <w:t>〔2016〕24</w:t>
      </w:r>
      <w:r>
        <w:rPr>
          <w:rStyle w:val="8"/>
          <w:rFonts w:hint="eastAsia" w:ascii="仿宋_GB2312" w:hAnsi="仿宋_GB2312" w:eastAsia="仿宋_GB2312" w:cs="仿宋_GB2312"/>
          <w:kern w:val="2"/>
          <w:sz w:val="32"/>
          <w:szCs w:val="32"/>
          <w:lang w:val="en-US" w:eastAsia="zh-CN" w:bidi="ar-SA"/>
        </w:rPr>
        <w:t>号)和《宁化县人民政府办公室关于认真做好城乡居民基本医疗意外补充保险工作的通知》(宁政办</w:t>
      </w:r>
      <w:r>
        <w:rPr>
          <w:rStyle w:val="8"/>
          <w:rFonts w:hint="eastAsia" w:ascii="仿宋_GB2312" w:hAnsi="仿宋_GB2312" w:eastAsia="仿宋_GB2312" w:cs="仿宋_GB2312"/>
          <w:color w:val="000000"/>
          <w:kern w:val="2"/>
          <w:sz w:val="32"/>
          <w:szCs w:val="32"/>
          <w:lang w:val="en-US" w:eastAsia="zh-CN" w:bidi="ar-SA"/>
        </w:rPr>
        <w:t>〔2014〕94</w:t>
      </w:r>
      <w:r>
        <w:rPr>
          <w:rStyle w:val="8"/>
          <w:rFonts w:hint="eastAsia" w:ascii="仿宋_GB2312" w:hAnsi="仿宋_GB2312" w:eastAsia="仿宋_GB2312" w:cs="仿宋_GB2312"/>
          <w:kern w:val="2"/>
          <w:sz w:val="32"/>
          <w:szCs w:val="32"/>
          <w:lang w:val="en-US" w:eastAsia="zh-CN" w:bidi="ar-SA"/>
        </w:rPr>
        <w:t>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baseline"/>
        <w:rPr>
          <w:rStyle w:val="8"/>
          <w:rFonts w:cs="Times New Roman"/>
          <w:b w:val="0"/>
          <w:bCs w:val="0"/>
          <w:kern w:val="2"/>
          <w:sz w:val="28"/>
          <w:szCs w:val="28"/>
          <w:lang w:val="en-US" w:eastAsia="zh-CN" w:bidi="ar-SA"/>
        </w:rPr>
      </w:pPr>
      <w:r>
        <w:rPr>
          <w:rStyle w:val="8"/>
          <w:rFonts w:hint="eastAsia" w:ascii="黑体" w:hAnsi="黑体" w:eastAsia="黑体" w:cs="黑体"/>
          <w:b w:val="0"/>
          <w:bCs w:val="0"/>
          <w:kern w:val="2"/>
          <w:sz w:val="32"/>
          <w:szCs w:val="32"/>
          <w:lang w:val="en-US" w:eastAsia="zh-CN" w:bidi="ar-SA"/>
        </w:rPr>
        <w:t>一、保险内容：</w:t>
      </w:r>
      <w:r>
        <w:rPr>
          <w:rStyle w:val="8"/>
          <w:rFonts w:hint="eastAsia" w:cs="Times New Roman"/>
          <w:b w:val="0"/>
          <w:bCs w:val="0"/>
          <w:kern w:val="2"/>
          <w:sz w:val="28"/>
          <w:szCs w:val="28"/>
          <w:lang w:val="en-US" w:eastAsia="zh-CN" w:bidi="ar-SA"/>
        </w:rPr>
        <w:t>30元/人/年（</w:t>
      </w:r>
      <w:r>
        <w:rPr>
          <w:rStyle w:val="8"/>
          <w:rFonts w:hint="eastAsia" w:cs="Times New Roman"/>
          <w:b w:val="0"/>
          <w:bCs w:val="0"/>
          <w:kern w:val="2"/>
          <w:sz w:val="24"/>
          <w:szCs w:val="24"/>
          <w:lang w:val="en-US" w:eastAsia="zh-CN" w:bidi="ar-SA"/>
        </w:rPr>
        <w:t>指定生效日期2021年1月1日</w:t>
      </w:r>
      <w:r>
        <w:rPr>
          <w:rStyle w:val="8"/>
          <w:rFonts w:hint="eastAsia" w:cs="Times New Roman"/>
          <w:b w:val="0"/>
          <w:bCs w:val="0"/>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baseline"/>
        <w:rPr>
          <w:rStyle w:val="8"/>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黑体" w:hAnsi="黑体" w:eastAsia="黑体" w:cs="黑体"/>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黑体" w:hAnsi="黑体" w:eastAsia="黑体" w:cs="黑体"/>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黑体" w:hAnsi="黑体" w:eastAsia="黑体" w:cs="黑体"/>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黑体" w:hAnsi="黑体" w:eastAsia="黑体" w:cs="黑体"/>
          <w:b w:val="0"/>
          <w:bCs w:val="0"/>
          <w:kern w:val="2"/>
          <w:sz w:val="32"/>
          <w:szCs w:val="32"/>
          <w:lang w:val="en-US" w:eastAsia="zh-CN" w:bidi="ar-SA"/>
        </w:rPr>
      </w:pPr>
      <w:r>
        <w:drawing>
          <wp:anchor distT="0" distB="0" distL="114300" distR="114300" simplePos="0" relativeHeight="251658240" behindDoc="0" locked="0" layoutInCell="1" allowOverlap="1">
            <wp:simplePos x="0" y="0"/>
            <wp:positionH relativeFrom="column">
              <wp:posOffset>406400</wp:posOffset>
            </wp:positionH>
            <wp:positionV relativeFrom="paragraph">
              <wp:posOffset>-1163320</wp:posOffset>
            </wp:positionV>
            <wp:extent cx="5269865" cy="1410970"/>
            <wp:effectExtent l="0" t="0" r="3175" b="635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269865" cy="1410970"/>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黑体" w:hAnsi="黑体" w:eastAsia="黑体" w:cs="黑体"/>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黑体" w:hAnsi="黑体" w:eastAsia="黑体" w:cs="黑体"/>
          <w:b w:val="0"/>
          <w:bCs w:val="0"/>
          <w:kern w:val="2"/>
          <w:sz w:val="32"/>
          <w:szCs w:val="32"/>
          <w:lang w:val="en-US" w:eastAsia="zh-CN" w:bidi="ar-SA"/>
        </w:rPr>
      </w:pPr>
      <w:r>
        <w:rPr>
          <w:rStyle w:val="8"/>
          <w:rFonts w:hint="eastAsia" w:ascii="黑体" w:hAnsi="黑体" w:eastAsia="黑体" w:cs="黑体"/>
          <w:b w:val="0"/>
          <w:bCs w:val="0"/>
          <w:kern w:val="2"/>
          <w:sz w:val="32"/>
          <w:szCs w:val="32"/>
          <w:lang w:val="en-US" w:eastAsia="zh-CN" w:bidi="ar-SA"/>
        </w:rPr>
        <w:t>二、操作流程：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仿宋_GB2312" w:hAnsi="仿宋_GB2312" w:eastAsia="仿宋_GB2312" w:cs="仿宋_GB2312"/>
          <w:kern w:val="2"/>
          <w:sz w:val="32"/>
          <w:szCs w:val="32"/>
          <w:lang w:val="en-US" w:eastAsia="zh-CN" w:bidi="ar-SA"/>
        </w:rPr>
      </w:pPr>
      <w:r>
        <w:rPr>
          <w:rStyle w:val="8"/>
          <w:rFonts w:hint="eastAsia" w:ascii="仿宋_GB2312" w:hAnsi="仿宋_GB2312" w:eastAsia="仿宋_GB2312" w:cs="仿宋_GB2312"/>
          <w:kern w:val="2"/>
          <w:sz w:val="32"/>
          <w:szCs w:val="32"/>
          <w:lang w:val="en-US" w:eastAsia="zh-CN" w:bidi="ar-SA"/>
        </w:rPr>
        <w:t>识别二维码→点击小额保险缴费→点击添加投保信息→选择所在乡镇及村庄→添加投保人信息→点击手动添加被保险人信息→信息添加完整勾选保险责任后即可付费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baseline"/>
        <w:rPr>
          <w:rStyle w:val="8"/>
          <w:rFonts w:hint="eastAsia" w:ascii="仿宋_GB2312" w:hAnsi="仿宋_GB2312" w:eastAsia="仿宋_GB2312" w:cs="仿宋_GB2312"/>
          <w:kern w:val="2"/>
          <w:sz w:val="32"/>
          <w:szCs w:val="32"/>
          <w:lang w:val="en-US" w:eastAsia="zh-CN" w:bidi="ar-SA"/>
        </w:rPr>
      </w:pPr>
      <w:r>
        <w:rPr>
          <w:rStyle w:val="8"/>
          <w:rFonts w:hint="eastAsia" w:ascii="仿宋_GB2312" w:hAnsi="仿宋_GB2312" w:eastAsia="仿宋_GB2312" w:cs="仿宋_GB2312"/>
          <w:kern w:val="2"/>
          <w:sz w:val="32"/>
          <w:szCs w:val="32"/>
          <w:lang w:val="en-US" w:eastAsia="zh-CN" w:bidi="ar-SA"/>
        </w:rPr>
        <w:t>备注：投保成功后再次识别二维码，即可进行缴费查询</w:t>
      </w:r>
    </w:p>
    <w:p>
      <w:pPr>
        <w:jc w:val="center"/>
        <w:textAlignment w:val="baseline"/>
      </w:pPr>
      <w:r>
        <w:drawing>
          <wp:inline distT="0" distB="0" distL="114300" distR="114300">
            <wp:extent cx="1885950" cy="1926590"/>
            <wp:effectExtent l="0" t="0" r="381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885950" cy="1926590"/>
                    </a:xfrm>
                    <a:prstGeom prst="rect">
                      <a:avLst/>
                    </a:prstGeom>
                    <a:noFill/>
                    <a:ln>
                      <a:noFill/>
                    </a:ln>
                  </pic:spPr>
                </pic:pic>
              </a:graphicData>
            </a:graphic>
          </wp:inline>
        </w:drawing>
      </w:r>
    </w:p>
    <w:p>
      <w:pPr>
        <w:ind w:firstLine="1124" w:firstLineChars="400"/>
        <w:jc w:val="left"/>
        <w:textAlignment w:val="baseline"/>
        <w:rPr>
          <w:rFonts w:hint="eastAsia" w:eastAsia="宋体"/>
          <w:b/>
          <w:bCs/>
          <w:sz w:val="28"/>
          <w:szCs w:val="36"/>
          <w:lang w:val="en-US" w:eastAsia="zh-CN"/>
        </w:rPr>
      </w:pPr>
      <w:r>
        <w:rPr>
          <w:rFonts w:hint="eastAsia"/>
          <w:b/>
          <w:bCs/>
          <w:sz w:val="28"/>
          <w:szCs w:val="36"/>
          <w:lang w:eastAsia="zh-CN"/>
        </w:rPr>
        <w:t>服务人员：雷美霞18750857765</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A52ED"/>
    <w:rsid w:val="121213B3"/>
    <w:rsid w:val="17BF5469"/>
    <w:rsid w:val="2C9A1700"/>
    <w:rsid w:val="2D620820"/>
    <w:rsid w:val="2D621EE8"/>
    <w:rsid w:val="3E4A52ED"/>
    <w:rsid w:val="417966B5"/>
    <w:rsid w:val="5AE0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8">
    <w:name w:val="NormalCharacter"/>
    <w:link w:val="1"/>
    <w:semiHidden/>
    <w:qFormat/>
    <w:uiPriority w:val="0"/>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2019-10-22T02:50:00Z</dcterms:created>
  <dc:creator>炫烨无间</dc:creator>
  <cp:lastModifiedBy>刘大帅</cp:lastModifiedBy>
  <cp:lastPrinted>2020-10-30T03:25:00Z</cp:lastPrinted>
  <dcterms:modified xsi:type="dcterms:W3CDTF">2020-11-13T07:28:26Z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