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小标宋简体" w:hAnsi="方正小标宋简体" w:eastAsia="方正小标宋简体" w:cs="方正小标宋简体"/>
          <w:color w:val="000000"/>
          <w:sz w:val="28"/>
          <w:szCs w:val="28"/>
        </w:rPr>
      </w:pPr>
      <w:r>
        <w:rPr>
          <w:rFonts w:hint="eastAsia" w:ascii="黑体" w:hAnsi="黑体" w:eastAsia="黑体" w:cs="黑体"/>
          <w:b/>
          <w:bCs/>
          <w:color w:val="000000"/>
          <w:sz w:val="24"/>
        </w:rPr>
        <w:t>附件2：</w:t>
      </w:r>
      <w:r>
        <w:rPr>
          <w:rFonts w:hint="eastAsia" w:ascii="黑体" w:hAnsi="黑体" w:eastAsia="黑体" w:cs="黑体"/>
          <w:color w:val="000000"/>
          <w:sz w:val="24"/>
        </w:rPr>
        <w:t xml:space="preserve">                 </w:t>
      </w:r>
      <w:r>
        <w:rPr>
          <w:rFonts w:hint="eastAsia" w:ascii="黑体" w:hAnsi="黑体" w:eastAsia="黑体" w:cs="黑体"/>
          <w:color w:val="000000"/>
          <w:sz w:val="28"/>
          <w:szCs w:val="28"/>
        </w:rPr>
        <w:t xml:space="preserve"> </w:t>
      </w:r>
      <w:r>
        <w:rPr>
          <w:rFonts w:hint="eastAsia" w:ascii="方正小标宋简体" w:hAnsi="方正小标宋简体" w:eastAsia="方正小标宋简体" w:cs="方正小标宋简体"/>
          <w:color w:val="000000"/>
          <w:sz w:val="28"/>
          <w:szCs w:val="28"/>
        </w:rPr>
        <w:t>宁化县市场监督管理局</w:t>
      </w:r>
    </w:p>
    <w:p>
      <w:pPr>
        <w:spacing w:line="320" w:lineRule="exact"/>
        <w:jc w:val="center"/>
        <w:rPr>
          <w:rFonts w:hint="eastAsia" w:ascii="方正小标宋简体" w:hAnsi="方正小标宋简体" w:eastAsia="方正小标宋简体" w:cs="方正小标宋简体"/>
          <w:color w:val="000000"/>
          <w:sz w:val="28"/>
          <w:szCs w:val="28"/>
        </w:rPr>
      </w:pPr>
      <w:bookmarkStart w:id="0" w:name="_GoBack"/>
      <w:r>
        <w:rPr>
          <w:rFonts w:hint="eastAsia" w:ascii="方正小标宋简体" w:hAnsi="方正小标宋简体" w:eastAsia="方正小标宋简体" w:cs="方正小标宋简体"/>
          <w:color w:val="000000"/>
          <w:sz w:val="28"/>
          <w:szCs w:val="28"/>
        </w:rPr>
        <w:t>化妆品质量安全责任与义务告知书</w:t>
      </w:r>
    </w:p>
    <w:bookmarkEnd w:id="0"/>
    <w:p>
      <w:pPr>
        <w:spacing w:line="240" w:lineRule="exact"/>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各化妆品经营（使用）单位：</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为进一步规范化妆品经营和使用行为，确保化妆品经营使用质量安全，保障广大消费者合法权益，根据《化妆品监管管理条例》、《化妆品生产经营监督管理办法》、《儿童化妆品监督管理规</w:t>
      </w:r>
      <w:r>
        <w:rPr>
          <w:rFonts w:hint="eastAsia" w:ascii="仿宋_GB2312" w:hAnsi="仿宋_GB2312" w:eastAsia="仿宋_GB2312" w:cs="仿宋_GB2312"/>
          <w:color w:val="000000"/>
          <w:spacing w:val="-4"/>
          <w:sz w:val="24"/>
        </w:rPr>
        <w:t>定》等法律法规要求，现将相关事项告知如下:</w:t>
      </w:r>
    </w:p>
    <w:p>
      <w:pPr>
        <w:spacing w:line="24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一、遵守法律法规，强化责任意识</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诚信自律，依法经营，自觉遵守化妆品相关法律法规，持有效的营业执照开展经营服务活动，强化企业是化妆品质量安全主体责任人的意识。</w:t>
      </w:r>
    </w:p>
    <w:p>
      <w:pPr>
        <w:spacing w:line="24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二、采购化妆品时必须索取以下资料：</w:t>
      </w:r>
    </w:p>
    <w:p>
      <w:pPr>
        <w:spacing w:line="240" w:lineRule="exact"/>
        <w:ind w:firstLine="480" w:firstLineChars="200"/>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pacing w:val="-6"/>
          <w:sz w:val="24"/>
        </w:rPr>
        <w:t>化妆品生产企业的《化妆品生产许可证》、生产企业或供应商的营业执照;</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2.特殊用途化妆品注册证和普通用途化妆品备案凭证;</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3.化妆品有效检验合格报告或合格证明;</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4.进口化妆品的有效入境检验检疫证明；</w:t>
      </w:r>
    </w:p>
    <w:p>
      <w:pPr>
        <w:spacing w:line="240" w:lineRule="exact"/>
        <w:ind w:firstLine="480"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rPr>
        <w:t>5.正式购货发票或相关购货凭证（随货同行单据）；</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实行统一购进、统一配送、统一管理的化妆品连锁经营单位，可由总部统一索取查验相关证、票并存档，建立电子化档案，提供各连锁经营单位使用。各连锁经营单位应能够通过电子化手段从经营终端进行查询索证索票情况。加盟连锁的，应当由总部提供统一的索证索票复印件并加盖总部公章。</w:t>
      </w:r>
    </w:p>
    <w:p>
      <w:pPr>
        <w:spacing w:line="24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三、对采购的化妆品开展进货查验</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1.化妆品标签上应当用中文注明产品名称、生产者名称和地址、净含量、成分表、生产日期和保质期（或生产批号和限期使用日期）、化妆品生产许可证号、特殊用途化妆品批准文</w:t>
      </w:r>
      <w:r>
        <w:rPr>
          <w:rFonts w:hint="eastAsia" w:ascii="仿宋_GB2312" w:hAnsi="仿宋_GB2312" w:eastAsia="仿宋_GB2312" w:cs="仿宋_GB2312"/>
          <w:color w:val="000000"/>
          <w:spacing w:val="-7"/>
          <w:sz w:val="24"/>
        </w:rPr>
        <w:t>号、进口普通用途化妆品备案文号、使用方法、注意事项等。</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pacing w:val="-4"/>
          <w:sz w:val="24"/>
        </w:rPr>
        <w:t>通过国家药品监督管理局网站</w:t>
      </w:r>
      <w:r>
        <w:rPr>
          <w:rFonts w:hint="eastAsia" w:ascii="仿宋_GB2312" w:hAnsi="仿宋_GB2312" w:eastAsia="仿宋_GB2312" w:cs="仿宋_GB2312"/>
          <w:color w:val="000000"/>
          <w:sz w:val="24"/>
        </w:rPr>
        <w:t>（http://www.nmpa.gov.cn)“化妆品查询”栏目查看化妆品标签标识信息是否与注册备案</w:t>
      </w:r>
      <w:r>
        <w:rPr>
          <w:rFonts w:hint="eastAsia" w:ascii="仿宋_GB2312" w:hAnsi="仿宋_GB2312" w:eastAsia="仿宋_GB2312" w:cs="仿宋_GB2312"/>
          <w:color w:val="000000"/>
          <w:spacing w:val="-6"/>
          <w:sz w:val="24"/>
        </w:rPr>
        <w:t>信息一致。手机安装</w:t>
      </w:r>
      <w:r>
        <w:rPr>
          <w:rFonts w:hint="eastAsia" w:ascii="仿宋_GB2312" w:hAnsi="仿宋_GB2312" w:eastAsia="仿宋_GB2312" w:cs="仿宋_GB2312"/>
          <w:b/>
          <w:bCs/>
          <w:color w:val="000000"/>
          <w:spacing w:val="-6"/>
          <w:sz w:val="24"/>
        </w:rPr>
        <w:t>“化妆品监管”APP</w:t>
      </w:r>
      <w:r>
        <w:rPr>
          <w:rFonts w:hint="eastAsia" w:ascii="仿宋_GB2312" w:hAnsi="仿宋_GB2312" w:eastAsia="仿宋_GB2312" w:cs="仿宋_GB2312"/>
          <w:color w:val="000000"/>
          <w:spacing w:val="-6"/>
          <w:sz w:val="24"/>
        </w:rPr>
        <w:t>也可查询化妆品简易信息。</w:t>
      </w:r>
    </w:p>
    <w:p>
      <w:pPr>
        <w:spacing w:line="2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b/>
          <w:bCs/>
          <w:color w:val="000000"/>
          <w:sz w:val="24"/>
        </w:rPr>
        <w:t>特殊用途化妆品</w:t>
      </w:r>
      <w:r>
        <w:rPr>
          <w:rFonts w:hint="eastAsia" w:ascii="仿宋_GB2312" w:hAnsi="仿宋_GB2312" w:eastAsia="仿宋_GB2312" w:cs="仿宋_GB2312"/>
          <w:color w:val="000000"/>
          <w:sz w:val="24"/>
        </w:rPr>
        <w:t>（</w:t>
      </w:r>
      <w:r>
        <w:rPr>
          <w:rFonts w:hint="eastAsia" w:ascii="仿宋_GB2312" w:hAnsi="仿宋_GB2312" w:eastAsia="仿宋_GB2312" w:cs="仿宋_GB2312"/>
          <w:b/>
          <w:bCs/>
          <w:color w:val="000000"/>
          <w:sz w:val="24"/>
        </w:rPr>
        <w:t>六类：</w:t>
      </w:r>
      <w:r>
        <w:rPr>
          <w:rFonts w:hint="eastAsia" w:ascii="仿宋_GB2312" w:hAnsi="仿宋_GB2312" w:eastAsia="仿宋_GB2312" w:cs="仿宋_GB2312"/>
          <w:color w:val="000000"/>
          <w:sz w:val="24"/>
        </w:rPr>
        <w:t>染发、烫发、祛斑美白、防晒、防脱发以及宣称新功效的化妆品）：国产产品批准文号为“国妆特字G”、进口产品批准文号为“国妆特进字J”。</w:t>
      </w:r>
    </w:p>
    <w:p>
      <w:pPr>
        <w:spacing w:line="24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r>
        <w:rPr>
          <w:rFonts w:hint="eastAsia" w:ascii="仿宋_GB2312" w:hAnsi="仿宋_GB2312" w:eastAsia="仿宋_GB2312" w:cs="仿宋_GB2312"/>
          <w:b/>
          <w:bCs/>
          <w:color w:val="000000"/>
          <w:sz w:val="24"/>
        </w:rPr>
        <w:t>普通用途化妆品</w:t>
      </w:r>
      <w:r>
        <w:rPr>
          <w:rFonts w:hint="eastAsia" w:ascii="仿宋_GB2312" w:hAnsi="仿宋_GB2312" w:eastAsia="仿宋_GB2312" w:cs="仿宋_GB2312"/>
          <w:color w:val="000000"/>
          <w:sz w:val="24"/>
        </w:rPr>
        <w:t>（除特殊用途以外的全部其他产品）：国产产品备案文号为“X+G妆网备字（X为省份的单字简称）”、进口产品备案文号为“国妆备进字J”或“国妆网备进字+（X）（X为省份的单字简称）”。</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5.化妆品标签、小包装、说明书及广告等不得标注适应症、宣称疗效、明示或者暗示具有医疗作用术语。</w:t>
      </w:r>
    </w:p>
    <w:p>
      <w:pPr>
        <w:spacing w:line="24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四、建立健全购货台账记录</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1.购货台账按照每次购入的情况，如实记录化妆品名称、特殊化妆品注册证编号或者普通化妆品备案编号、使用期限、净含量、购进数量、供货者名称、地址、联系方式、购进日期等内容。</w:t>
      </w:r>
    </w:p>
    <w:p>
      <w:pPr>
        <w:spacing w:line="2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2.购货台账应当妥善保存，保存期应当比产品有效期延长6个月，鼓励有条件的经营单位实行电子化管理。  </w:t>
      </w:r>
    </w:p>
    <w:p>
      <w:pPr>
        <w:spacing w:line="240" w:lineRule="exact"/>
        <w:ind w:firstLine="1920" w:firstLineChars="800"/>
        <w:rPr>
          <w:rFonts w:hint="eastAsia" w:ascii="方正小标宋简体" w:hAnsi="方正小标宋简体" w:eastAsia="方正小标宋简体" w:cs="方正小标宋简体"/>
          <w:color w:val="FF0000"/>
          <w:sz w:val="24"/>
        </w:rPr>
      </w:pPr>
      <w:r>
        <w:rPr>
          <w:rFonts w:hint="eastAsia" w:ascii="仿宋_GB2312" w:hAnsi="仿宋_GB2312" w:eastAsia="仿宋_GB2312" w:cs="仿宋_GB2312"/>
          <w:color w:val="FF0000"/>
          <w:sz w:val="24"/>
        </w:rPr>
        <w:t>参考模板：</w:t>
      </w:r>
      <w:r>
        <w:rPr>
          <w:rFonts w:hint="eastAsia" w:ascii="方正小标宋简体" w:hAnsi="方正小标宋简体" w:eastAsia="方正小标宋简体" w:cs="方正小标宋简体"/>
          <w:color w:val="FF0000"/>
          <w:sz w:val="24"/>
        </w:rPr>
        <w:t>化妆品购进验收台账记录</w:t>
      </w:r>
    </w:p>
    <w:tbl>
      <w:tblPr>
        <w:tblStyle w:val="4"/>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39"/>
        <w:gridCol w:w="1350"/>
        <w:gridCol w:w="834"/>
        <w:gridCol w:w="983"/>
        <w:gridCol w:w="783"/>
        <w:gridCol w:w="867"/>
        <w:gridCol w:w="833"/>
        <w:gridCol w:w="100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1" w:type="dxa"/>
            <w:noWrap w:val="0"/>
            <w:vAlign w:val="center"/>
          </w:tcPr>
          <w:p>
            <w:pPr>
              <w:spacing w:line="240" w:lineRule="exact"/>
              <w:jc w:val="center"/>
              <w:rPr>
                <w:rFonts w:hint="eastAsia"/>
                <w:b/>
                <w:bCs/>
                <w:color w:val="000000"/>
                <w:sz w:val="18"/>
                <w:szCs w:val="18"/>
              </w:rPr>
            </w:pPr>
            <w:r>
              <w:rPr>
                <w:rFonts w:hint="eastAsia"/>
                <w:b/>
                <w:bCs/>
                <w:color w:val="000000"/>
                <w:sz w:val="18"/>
                <w:szCs w:val="18"/>
              </w:rPr>
              <w:t>购进日期</w:t>
            </w:r>
          </w:p>
        </w:tc>
        <w:tc>
          <w:tcPr>
            <w:tcW w:w="739" w:type="dxa"/>
            <w:noWrap w:val="0"/>
            <w:vAlign w:val="center"/>
          </w:tcPr>
          <w:p>
            <w:pPr>
              <w:spacing w:line="240" w:lineRule="exact"/>
              <w:jc w:val="center"/>
              <w:rPr>
                <w:rFonts w:hint="eastAsia"/>
                <w:b/>
                <w:bCs/>
                <w:color w:val="000000"/>
                <w:sz w:val="18"/>
                <w:szCs w:val="18"/>
              </w:rPr>
            </w:pPr>
            <w:r>
              <w:rPr>
                <w:rFonts w:hint="eastAsia"/>
                <w:b/>
                <w:bCs/>
                <w:color w:val="000000"/>
                <w:sz w:val="18"/>
                <w:szCs w:val="18"/>
              </w:rPr>
              <w:t>产品名称</w:t>
            </w:r>
          </w:p>
        </w:tc>
        <w:tc>
          <w:tcPr>
            <w:tcW w:w="1350" w:type="dxa"/>
            <w:noWrap w:val="0"/>
            <w:vAlign w:val="center"/>
          </w:tcPr>
          <w:p>
            <w:pPr>
              <w:spacing w:line="240" w:lineRule="exact"/>
              <w:jc w:val="center"/>
              <w:rPr>
                <w:rFonts w:hint="eastAsia"/>
                <w:b/>
                <w:bCs/>
                <w:color w:val="000000"/>
                <w:sz w:val="18"/>
                <w:szCs w:val="18"/>
              </w:rPr>
            </w:pPr>
            <w:r>
              <w:rPr>
                <w:rFonts w:hint="eastAsia"/>
                <w:b/>
                <w:bCs/>
                <w:color w:val="000000"/>
                <w:sz w:val="18"/>
                <w:szCs w:val="18"/>
              </w:rPr>
              <w:t>注册证或备案编号</w:t>
            </w:r>
          </w:p>
        </w:tc>
        <w:tc>
          <w:tcPr>
            <w:tcW w:w="834" w:type="dxa"/>
            <w:noWrap w:val="0"/>
            <w:vAlign w:val="center"/>
          </w:tcPr>
          <w:p>
            <w:pPr>
              <w:spacing w:line="240" w:lineRule="exact"/>
              <w:jc w:val="center"/>
              <w:rPr>
                <w:rFonts w:hint="eastAsia"/>
                <w:b/>
                <w:bCs/>
                <w:color w:val="000000"/>
                <w:sz w:val="18"/>
                <w:szCs w:val="18"/>
              </w:rPr>
            </w:pPr>
            <w:r>
              <w:rPr>
                <w:rFonts w:hint="eastAsia"/>
                <w:b/>
                <w:bCs/>
                <w:color w:val="000000"/>
                <w:sz w:val="18"/>
                <w:szCs w:val="18"/>
              </w:rPr>
              <w:t>使用期限</w:t>
            </w:r>
          </w:p>
        </w:tc>
        <w:tc>
          <w:tcPr>
            <w:tcW w:w="983" w:type="dxa"/>
            <w:noWrap w:val="0"/>
            <w:vAlign w:val="center"/>
          </w:tcPr>
          <w:p>
            <w:pPr>
              <w:spacing w:line="240" w:lineRule="exact"/>
              <w:jc w:val="center"/>
              <w:rPr>
                <w:rFonts w:hint="eastAsia"/>
                <w:b/>
                <w:bCs/>
                <w:color w:val="000000"/>
                <w:sz w:val="18"/>
                <w:szCs w:val="18"/>
              </w:rPr>
            </w:pPr>
            <w:r>
              <w:rPr>
                <w:rFonts w:hint="eastAsia"/>
                <w:b/>
                <w:bCs/>
                <w:color w:val="000000"/>
                <w:sz w:val="18"/>
                <w:szCs w:val="18"/>
              </w:rPr>
              <w:t>净含量</w:t>
            </w:r>
          </w:p>
        </w:tc>
        <w:tc>
          <w:tcPr>
            <w:tcW w:w="783" w:type="dxa"/>
            <w:noWrap w:val="0"/>
            <w:vAlign w:val="center"/>
          </w:tcPr>
          <w:p>
            <w:pPr>
              <w:spacing w:line="240" w:lineRule="exact"/>
              <w:jc w:val="center"/>
              <w:rPr>
                <w:rFonts w:hint="eastAsia"/>
                <w:b/>
                <w:bCs/>
                <w:color w:val="000000"/>
                <w:sz w:val="18"/>
                <w:szCs w:val="18"/>
              </w:rPr>
            </w:pPr>
            <w:r>
              <w:rPr>
                <w:rFonts w:hint="eastAsia"/>
                <w:b/>
                <w:bCs/>
                <w:color w:val="000000"/>
                <w:sz w:val="18"/>
                <w:szCs w:val="18"/>
              </w:rPr>
              <w:t>购进</w:t>
            </w:r>
          </w:p>
          <w:p>
            <w:pPr>
              <w:spacing w:line="240" w:lineRule="exact"/>
              <w:jc w:val="center"/>
              <w:rPr>
                <w:rFonts w:hint="eastAsia"/>
                <w:b/>
                <w:bCs/>
                <w:color w:val="000000"/>
                <w:sz w:val="18"/>
                <w:szCs w:val="18"/>
              </w:rPr>
            </w:pPr>
            <w:r>
              <w:rPr>
                <w:rFonts w:hint="eastAsia"/>
                <w:b/>
                <w:bCs/>
                <w:color w:val="000000"/>
                <w:sz w:val="18"/>
                <w:szCs w:val="18"/>
              </w:rPr>
              <w:t>数量</w:t>
            </w:r>
          </w:p>
        </w:tc>
        <w:tc>
          <w:tcPr>
            <w:tcW w:w="867" w:type="dxa"/>
            <w:noWrap w:val="0"/>
            <w:vAlign w:val="center"/>
          </w:tcPr>
          <w:p>
            <w:pPr>
              <w:spacing w:line="240" w:lineRule="exact"/>
              <w:jc w:val="center"/>
              <w:rPr>
                <w:rFonts w:hint="eastAsia"/>
                <w:b/>
                <w:bCs/>
                <w:color w:val="000000"/>
                <w:sz w:val="18"/>
                <w:szCs w:val="18"/>
              </w:rPr>
            </w:pPr>
            <w:r>
              <w:rPr>
                <w:rFonts w:hint="eastAsia"/>
                <w:b/>
                <w:bCs/>
                <w:color w:val="000000"/>
                <w:sz w:val="18"/>
                <w:szCs w:val="18"/>
              </w:rPr>
              <w:t>供货者名称</w:t>
            </w:r>
          </w:p>
        </w:tc>
        <w:tc>
          <w:tcPr>
            <w:tcW w:w="833" w:type="dxa"/>
            <w:noWrap w:val="0"/>
            <w:vAlign w:val="center"/>
          </w:tcPr>
          <w:p>
            <w:pPr>
              <w:spacing w:line="240" w:lineRule="exact"/>
              <w:jc w:val="center"/>
              <w:rPr>
                <w:rFonts w:hint="eastAsia"/>
                <w:b/>
                <w:bCs/>
                <w:color w:val="000000"/>
                <w:sz w:val="18"/>
                <w:szCs w:val="18"/>
              </w:rPr>
            </w:pPr>
            <w:r>
              <w:rPr>
                <w:rFonts w:hint="eastAsia"/>
                <w:b/>
                <w:bCs/>
                <w:color w:val="000000"/>
                <w:sz w:val="18"/>
                <w:szCs w:val="18"/>
              </w:rPr>
              <w:t>供货者地址</w:t>
            </w:r>
          </w:p>
        </w:tc>
        <w:tc>
          <w:tcPr>
            <w:tcW w:w="1000" w:type="dxa"/>
            <w:noWrap w:val="0"/>
            <w:vAlign w:val="center"/>
          </w:tcPr>
          <w:p>
            <w:pPr>
              <w:spacing w:line="240" w:lineRule="exact"/>
              <w:jc w:val="center"/>
              <w:rPr>
                <w:rFonts w:hint="eastAsia"/>
                <w:b/>
                <w:bCs/>
                <w:color w:val="000000"/>
                <w:sz w:val="18"/>
                <w:szCs w:val="18"/>
              </w:rPr>
            </w:pPr>
            <w:r>
              <w:rPr>
                <w:rFonts w:hint="eastAsia"/>
                <w:b/>
                <w:bCs/>
                <w:color w:val="000000"/>
                <w:sz w:val="18"/>
                <w:szCs w:val="18"/>
              </w:rPr>
              <w:t>供货者</w:t>
            </w:r>
          </w:p>
          <w:p>
            <w:pPr>
              <w:spacing w:line="240" w:lineRule="exact"/>
              <w:jc w:val="center"/>
              <w:rPr>
                <w:rFonts w:hint="eastAsia"/>
                <w:b/>
                <w:bCs/>
                <w:color w:val="000000"/>
                <w:sz w:val="18"/>
                <w:szCs w:val="18"/>
              </w:rPr>
            </w:pPr>
            <w:r>
              <w:rPr>
                <w:rFonts w:hint="eastAsia"/>
                <w:b/>
                <w:bCs/>
                <w:color w:val="000000"/>
                <w:sz w:val="18"/>
                <w:szCs w:val="18"/>
              </w:rPr>
              <w:t>联系方式</w:t>
            </w:r>
          </w:p>
        </w:tc>
        <w:tc>
          <w:tcPr>
            <w:tcW w:w="817" w:type="dxa"/>
            <w:noWrap w:val="0"/>
            <w:vAlign w:val="center"/>
          </w:tcPr>
          <w:p>
            <w:pPr>
              <w:spacing w:line="240" w:lineRule="exact"/>
              <w:jc w:val="center"/>
              <w:rPr>
                <w:rFonts w:hint="eastAsia"/>
                <w:b/>
                <w:bCs/>
                <w:color w:val="000000"/>
                <w:sz w:val="18"/>
                <w:szCs w:val="18"/>
              </w:rPr>
            </w:pPr>
            <w:r>
              <w:rPr>
                <w:rFonts w:hint="eastAsia"/>
                <w:b/>
                <w:bCs/>
                <w:color w:val="000000"/>
                <w:sz w:val="18"/>
                <w:szCs w:val="18"/>
              </w:rPr>
              <w:t>验收人签字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1" w:type="dxa"/>
            <w:noWrap w:val="0"/>
            <w:vAlign w:val="center"/>
          </w:tcPr>
          <w:p>
            <w:pPr>
              <w:spacing w:line="240" w:lineRule="exact"/>
              <w:jc w:val="center"/>
              <w:rPr>
                <w:rFonts w:hint="eastAsia"/>
                <w:color w:val="000000"/>
                <w:sz w:val="24"/>
              </w:rPr>
            </w:pPr>
          </w:p>
        </w:tc>
        <w:tc>
          <w:tcPr>
            <w:tcW w:w="739" w:type="dxa"/>
            <w:noWrap w:val="0"/>
            <w:vAlign w:val="center"/>
          </w:tcPr>
          <w:p>
            <w:pPr>
              <w:spacing w:line="240" w:lineRule="exact"/>
              <w:jc w:val="center"/>
              <w:rPr>
                <w:rFonts w:hint="eastAsia"/>
                <w:color w:val="000000"/>
                <w:sz w:val="24"/>
              </w:rPr>
            </w:pPr>
          </w:p>
        </w:tc>
        <w:tc>
          <w:tcPr>
            <w:tcW w:w="1350" w:type="dxa"/>
            <w:noWrap w:val="0"/>
            <w:vAlign w:val="center"/>
          </w:tcPr>
          <w:p>
            <w:pPr>
              <w:spacing w:line="240" w:lineRule="exact"/>
              <w:jc w:val="center"/>
              <w:rPr>
                <w:rFonts w:hint="eastAsia"/>
                <w:color w:val="000000"/>
                <w:sz w:val="24"/>
              </w:rPr>
            </w:pPr>
          </w:p>
        </w:tc>
        <w:tc>
          <w:tcPr>
            <w:tcW w:w="834" w:type="dxa"/>
            <w:noWrap w:val="0"/>
            <w:vAlign w:val="center"/>
          </w:tcPr>
          <w:p>
            <w:pPr>
              <w:spacing w:line="240" w:lineRule="exact"/>
              <w:jc w:val="center"/>
              <w:rPr>
                <w:rFonts w:hint="eastAsia"/>
                <w:color w:val="000000"/>
                <w:sz w:val="24"/>
              </w:rPr>
            </w:pPr>
          </w:p>
        </w:tc>
        <w:tc>
          <w:tcPr>
            <w:tcW w:w="983" w:type="dxa"/>
            <w:noWrap w:val="0"/>
            <w:vAlign w:val="center"/>
          </w:tcPr>
          <w:p>
            <w:pPr>
              <w:spacing w:line="240" w:lineRule="exact"/>
              <w:jc w:val="center"/>
              <w:rPr>
                <w:rFonts w:hint="eastAsia"/>
                <w:b/>
                <w:bCs/>
                <w:color w:val="000000"/>
                <w:sz w:val="24"/>
              </w:rPr>
            </w:pPr>
          </w:p>
        </w:tc>
        <w:tc>
          <w:tcPr>
            <w:tcW w:w="783" w:type="dxa"/>
            <w:noWrap w:val="0"/>
            <w:vAlign w:val="center"/>
          </w:tcPr>
          <w:p>
            <w:pPr>
              <w:spacing w:line="240" w:lineRule="exact"/>
              <w:jc w:val="center"/>
              <w:rPr>
                <w:rFonts w:hint="eastAsia"/>
                <w:b/>
                <w:bCs/>
                <w:color w:val="000000"/>
                <w:sz w:val="24"/>
              </w:rPr>
            </w:pPr>
          </w:p>
        </w:tc>
        <w:tc>
          <w:tcPr>
            <w:tcW w:w="867" w:type="dxa"/>
            <w:noWrap w:val="0"/>
            <w:vAlign w:val="center"/>
          </w:tcPr>
          <w:p>
            <w:pPr>
              <w:spacing w:line="240" w:lineRule="exact"/>
              <w:jc w:val="center"/>
              <w:rPr>
                <w:rFonts w:hint="eastAsia"/>
                <w:color w:val="000000"/>
                <w:sz w:val="24"/>
              </w:rPr>
            </w:pPr>
          </w:p>
        </w:tc>
        <w:tc>
          <w:tcPr>
            <w:tcW w:w="833" w:type="dxa"/>
            <w:noWrap w:val="0"/>
            <w:vAlign w:val="center"/>
          </w:tcPr>
          <w:p>
            <w:pPr>
              <w:spacing w:line="240" w:lineRule="exact"/>
              <w:jc w:val="center"/>
              <w:rPr>
                <w:rFonts w:hint="eastAsia"/>
                <w:color w:val="000000"/>
                <w:sz w:val="24"/>
              </w:rPr>
            </w:pPr>
          </w:p>
        </w:tc>
        <w:tc>
          <w:tcPr>
            <w:tcW w:w="1000" w:type="dxa"/>
            <w:noWrap w:val="0"/>
            <w:vAlign w:val="center"/>
          </w:tcPr>
          <w:p>
            <w:pPr>
              <w:spacing w:line="240" w:lineRule="exact"/>
              <w:jc w:val="center"/>
              <w:rPr>
                <w:rFonts w:hint="eastAsia"/>
                <w:color w:val="000000"/>
                <w:sz w:val="24"/>
              </w:rPr>
            </w:pPr>
          </w:p>
        </w:tc>
        <w:tc>
          <w:tcPr>
            <w:tcW w:w="817" w:type="dxa"/>
            <w:noWrap w:val="0"/>
            <w:vAlign w:val="center"/>
          </w:tcPr>
          <w:p>
            <w:pPr>
              <w:spacing w:line="240" w:lineRule="exact"/>
              <w:jc w:val="center"/>
              <w:rPr>
                <w:rFonts w:hint="eastAsia"/>
                <w:color w:val="000000"/>
                <w:sz w:val="24"/>
              </w:rPr>
            </w:pPr>
          </w:p>
        </w:tc>
      </w:tr>
    </w:tbl>
    <w:p>
      <w:pPr>
        <w:spacing w:line="240" w:lineRule="exact"/>
        <w:ind w:firstLine="480" w:firstLineChars="200"/>
        <w:rPr>
          <w:rFonts w:hint="eastAsia" w:ascii="仿宋_GB2312" w:hAnsi="仿宋_GB2312" w:eastAsia="仿宋_GB2312" w:cs="仿宋_GB2312"/>
          <w:color w:val="000000"/>
          <w:sz w:val="24"/>
        </w:rPr>
      </w:pPr>
      <w:r>
        <w:rPr>
          <w:rFonts w:hint="eastAsia" w:ascii="黑体" w:hAnsi="黑体" w:eastAsia="黑体" w:cs="黑体"/>
          <w:color w:val="000000"/>
          <w:sz w:val="24"/>
        </w:rPr>
        <w:t>五、不得经营使用</w:t>
      </w:r>
      <w:r>
        <w:rPr>
          <w:rFonts w:hint="eastAsia" w:ascii="仿宋_GB2312" w:hAnsi="仿宋_GB2312" w:eastAsia="仿宋_GB2312" w:cs="仿宋_GB2312"/>
          <w:color w:val="000000"/>
          <w:sz w:val="24"/>
        </w:rPr>
        <w:t>无证生产的化妆品，无标识或标识不全的化妆品，无中文标识的化妆品，无批准（备案）信息或批准（备案）信息虚假、过期的化妆品，超保质期或假冒伪劣的化妆品，虚假夸大宣传产品功效、医用疗效的化妆品。不得私自配置分装化妆品。</w:t>
      </w:r>
    </w:p>
    <w:p>
      <w:pPr>
        <w:spacing w:line="240" w:lineRule="exact"/>
        <w:ind w:firstLine="480" w:firstLineChars="200"/>
        <w:rPr>
          <w:rFonts w:hint="eastAsia" w:ascii="黑体" w:hAnsi="黑体" w:eastAsia="黑体" w:cs="黑体"/>
          <w:b/>
          <w:bCs/>
          <w:color w:val="000000"/>
          <w:sz w:val="24"/>
        </w:rPr>
      </w:pPr>
      <w:r>
        <w:rPr>
          <w:rFonts w:hint="eastAsia" w:ascii="黑体" w:hAnsi="黑体" w:eastAsia="黑体" w:cs="黑体"/>
          <w:color w:val="000000"/>
          <w:sz w:val="24"/>
        </w:rPr>
        <w:t>六、依法经营，诚信自律，积极配合</w:t>
      </w:r>
      <w:r>
        <w:rPr>
          <w:rFonts w:hint="eastAsia" w:ascii="仿宋_GB2312" w:hAnsi="仿宋_GB2312" w:eastAsia="仿宋_GB2312" w:cs="仿宋_GB2312"/>
          <w:color w:val="000000"/>
          <w:sz w:val="24"/>
        </w:rPr>
        <w:t xml:space="preserve">市场监督管理部门对化妆品质量安全的监督检查，主动接受消费者、新闻媒体和社会监督，认真处理消费者的投诉和建议，确保公众用妆安全。                            </w:t>
      </w:r>
      <w:r>
        <w:rPr>
          <w:rFonts w:hint="eastAsia" w:ascii="仿宋_GB2312" w:hAnsi="仿宋_GB2312" w:eastAsia="仿宋_GB2312" w:cs="仿宋_GB2312"/>
          <w:b/>
          <w:bCs/>
          <w:color w:val="000000"/>
          <w:sz w:val="24"/>
        </w:rPr>
        <w:t>（</w:t>
      </w:r>
      <w:r>
        <w:rPr>
          <w:rFonts w:hint="eastAsia" w:ascii="黑体" w:hAnsi="黑体" w:eastAsia="黑体" w:cs="黑体"/>
          <w:b/>
          <w:bCs/>
          <w:color w:val="000000"/>
          <w:sz w:val="24"/>
        </w:rPr>
        <w:t>监督举报电话:12315）</w:t>
      </w:r>
    </w:p>
    <w:p>
      <w:pPr>
        <w:pStyle w:val="2"/>
        <w:spacing w:line="240" w:lineRule="exact"/>
        <w:ind w:left="0" w:leftChars="0" w:firstLine="0" w:firstLineChars="0"/>
        <w:jc w:val="center"/>
        <w:rPr>
          <w:rFonts w:hint="eastAsia" w:ascii="宋体" w:hAnsi="宋体" w:cs="宋体"/>
          <w:b/>
          <w:bCs/>
          <w:sz w:val="24"/>
        </w:rPr>
      </w:pPr>
      <w:r>
        <w:rPr>
          <w:sz w:val="28"/>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92710</wp:posOffset>
                </wp:positionV>
                <wp:extent cx="5866130" cy="9525"/>
                <wp:effectExtent l="12700" t="12700" r="13970" b="15875"/>
                <wp:wrapNone/>
                <wp:docPr id="2" name="直接连接符 2"/>
                <wp:cNvGraphicFramePr/>
                <a:graphic xmlns:a="http://schemas.openxmlformats.org/drawingml/2006/main">
                  <a:graphicData uri="http://schemas.microsoft.com/office/word/2010/wordprocessingShape">
                    <wps:wsp>
                      <wps:cNvCnPr/>
                      <wps:spPr>
                        <a:xfrm>
                          <a:off x="0" y="0"/>
                          <a:ext cx="5866130" cy="9525"/>
                        </a:xfrm>
                        <a:prstGeom prst="line">
                          <a:avLst/>
                        </a:prstGeom>
                        <a:ln w="25400" cap="sq"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11.3pt;margin-top:7.3pt;height:0.75pt;width:461.9pt;z-index:251659264;mso-width-relative:page;mso-height-relative:page;" filled="f" stroked="t" coordsize="21600,21600" o:gfxdata="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qSAb9cAAAAJAQAADwAAAAAAAAABACAAAAAiAAAAZHJzL2Rvd25yZXYu&#10;eG1sUEsBAhQAFAAAAAgAh07iQCCqBlP8AQAA9QMAAA4AAAAAAAAAAQAgAAAAJgEAAGRycy9lMm9E&#10;b2MueG1sUEsFBgAAAAAGAAYAWQEAAJQFAAAAAA==&#10;">
                <v:path arrowok="t"/>
                <v:fill on="f" focussize="0,0"/>
                <v:stroke weight="2pt" dashstyle="1 1" endcap="square"/>
                <v:imagedata o:title=""/>
                <o:lock v:ext="edit" aspectratio="f"/>
              </v:line>
            </w:pict>
          </mc:Fallback>
        </mc:AlternateContent>
      </w:r>
      <w:r>
        <w:rPr>
          <w:rFonts w:hint="eastAsia" w:ascii="宋体" w:hAnsi="宋体" w:cs="宋体"/>
          <w:b/>
          <w:bCs/>
          <w:sz w:val="24"/>
        </w:rPr>
        <w:t>签 收 回 执</w:t>
      </w:r>
    </w:p>
    <w:p>
      <w:pPr>
        <w:pStyle w:val="2"/>
        <w:spacing w:line="240" w:lineRule="exact"/>
        <w:ind w:left="0" w:leftChars="0" w:firstLine="0" w:firstLineChars="0"/>
        <w:rPr>
          <w:rFonts w:hint="eastAsia" w:ascii="宋体" w:hAnsi="宋体" w:cs="宋体"/>
          <w:b/>
          <w:bCs/>
          <w:szCs w:val="21"/>
        </w:rPr>
      </w:pPr>
      <w:r>
        <w:rPr>
          <w:rFonts w:hint="eastAsia" w:ascii="宋体" w:hAnsi="宋体" w:cs="宋体"/>
          <w:b/>
          <w:bCs/>
          <w:szCs w:val="21"/>
        </w:rPr>
        <w:t>本单位收到并知悉《化妆品质量安全责任与义务告知书》的全部内容，并承诺遵照执行。</w:t>
      </w:r>
    </w:p>
    <w:p>
      <w:pPr>
        <w:pStyle w:val="2"/>
        <w:spacing w:line="240" w:lineRule="exact"/>
        <w:ind w:left="0" w:leftChars="0" w:firstLine="0" w:firstLineChars="0"/>
        <w:rPr>
          <w:rFonts w:ascii="宋体" w:hAnsi="宋体" w:cs="宋体"/>
          <w:b/>
          <w:bCs/>
          <w:szCs w:val="21"/>
        </w:rPr>
      </w:pPr>
      <w:r>
        <w:rPr>
          <w:rFonts w:hint="eastAsia" w:ascii="宋体" w:hAnsi="宋体" w:cs="宋体"/>
          <w:b/>
          <w:bCs/>
          <w:szCs w:val="21"/>
        </w:rPr>
        <w:t>签收单位（盖章）：           负责人：               签收时间：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7C62884"/>
    <w:rsid w:val="07C6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2022-12-09T07:30:00Z</dcterms:created>
  <dc:creator>心是重生的季节</dc:creator>
  <cp:lastModifiedBy>心是重生的季节</cp:lastModifiedBy>
  <dcterms:modified xsi:type="dcterms:W3CDTF">2022-12-09T07:30:37Z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356BC8028F96420997AA42F2EE743F1F</vt:lpwstr>
  </property>
</Properties>
</file>