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cs="宋体"/>
          <w:bCs/>
          <w:sz w:val="28"/>
          <w:szCs w:val="28"/>
        </w:rPr>
      </w:pPr>
      <w:r>
        <w:rPr>
          <w:rFonts w:hint="eastAsia" w:ascii="宋体" w:hAnsi="宋体" w:cs="宋体"/>
          <w:b/>
          <w:sz w:val="28"/>
          <w:szCs w:val="28"/>
        </w:rPr>
        <w:t xml:space="preserve">附件2： </w:t>
      </w:r>
    </w:p>
    <w:p>
      <w:pPr>
        <w:spacing w:line="500" w:lineRule="exact"/>
        <w:jc w:val="center"/>
        <w:rPr>
          <w:rFonts w:hint="eastAsia" w:ascii="方正小标宋简体" w:eastAsia="方正小标宋简体"/>
          <w:sz w:val="32"/>
          <w:szCs w:val="32"/>
        </w:rPr>
      </w:pPr>
      <w:r>
        <w:rPr>
          <w:rFonts w:hint="eastAsia" w:ascii="方正小标宋简体" w:eastAsia="方正小标宋简体"/>
          <w:sz w:val="32"/>
          <w:szCs w:val="32"/>
        </w:rPr>
        <w:t>宁化县市场监督管理局</w:t>
      </w:r>
    </w:p>
    <w:p>
      <w:pPr>
        <w:spacing w:line="500" w:lineRule="exact"/>
        <w:jc w:val="center"/>
        <w:rPr>
          <w:rFonts w:hint="eastAsia" w:ascii="方正小标宋简体" w:eastAsia="方正小标宋简体"/>
          <w:sz w:val="32"/>
          <w:szCs w:val="32"/>
        </w:rPr>
      </w:pPr>
      <w:bookmarkStart w:id="0" w:name="_GoBack"/>
      <w:r>
        <w:rPr>
          <w:rFonts w:hint="eastAsia" w:ascii="方正小标宋简体" w:eastAsia="方正小标宋简体"/>
          <w:sz w:val="32"/>
          <w:szCs w:val="32"/>
        </w:rPr>
        <w:t>药品、医疗器械质量安全专项检查记录表（诊所）</w:t>
      </w:r>
      <w:bookmarkEnd w:id="0"/>
    </w:p>
    <w:p>
      <w:pPr>
        <w:pStyle w:val="2"/>
        <w:rPr>
          <w:rFonts w:hint="eastAsia"/>
        </w:rPr>
      </w:pPr>
    </w:p>
    <w:p>
      <w:pPr>
        <w:spacing w:line="320" w:lineRule="exact"/>
        <w:jc w:val="left"/>
        <w:rPr>
          <w:rFonts w:hint="eastAsia"/>
        </w:rPr>
      </w:pPr>
      <w:r>
        <w:rPr>
          <w:rFonts w:hint="eastAsia"/>
        </w:rPr>
        <w:t xml:space="preserve">单位名称：[                               ]   法人/负责人：[                     ] </w:t>
      </w:r>
    </w:p>
    <w:p>
      <w:pPr>
        <w:spacing w:line="320" w:lineRule="exact"/>
        <w:jc w:val="left"/>
        <w:rPr>
          <w:rFonts w:hint="eastAsia"/>
        </w:rPr>
      </w:pPr>
      <w:r>
        <w:rPr>
          <w:rFonts w:hint="eastAsia"/>
        </w:rPr>
        <w:t>单位地址：[                               ]   联系电话：[                        ]</w:t>
      </w:r>
    </w:p>
    <w:tbl>
      <w:tblPr>
        <w:tblStyle w:val="4"/>
        <w:tblW w:w="9344" w:type="dxa"/>
        <w:tblInd w:w="0" w:type="dxa"/>
        <w:tblLayout w:type="fixed"/>
        <w:tblCellMar>
          <w:top w:w="0" w:type="dxa"/>
          <w:left w:w="108" w:type="dxa"/>
          <w:bottom w:w="0" w:type="dxa"/>
          <w:right w:w="108" w:type="dxa"/>
        </w:tblCellMar>
      </w:tblPr>
      <w:tblGrid>
        <w:gridCol w:w="846"/>
        <w:gridCol w:w="3631"/>
        <w:gridCol w:w="1216"/>
        <w:gridCol w:w="3651"/>
      </w:tblGrid>
      <w:tr>
        <w:tblPrEx>
          <w:tblCellMar>
            <w:top w:w="0" w:type="dxa"/>
            <w:left w:w="108" w:type="dxa"/>
            <w:bottom w:w="0" w:type="dxa"/>
            <w:right w:w="108" w:type="dxa"/>
          </w:tblCellMar>
        </w:tblPrEx>
        <w:trPr>
          <w:trHeight w:val="586" w:hRule="exact"/>
        </w:trPr>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sz w:val="20"/>
              </w:rPr>
            </w:pPr>
            <w:r>
              <w:rPr>
                <w:rFonts w:hint="eastAsia" w:ascii="宋体" w:hAnsi="宋体" w:cs="宋体"/>
                <w:b/>
                <w:sz w:val="20"/>
              </w:rPr>
              <w:t>检查</w:t>
            </w:r>
          </w:p>
          <w:p>
            <w:pPr>
              <w:snapToGrid w:val="0"/>
              <w:jc w:val="center"/>
              <w:rPr>
                <w:rFonts w:hint="eastAsia" w:ascii="宋体" w:hAnsi="宋体" w:cs="宋体"/>
                <w:b/>
                <w:sz w:val="20"/>
              </w:rPr>
            </w:pPr>
            <w:r>
              <w:rPr>
                <w:rFonts w:hint="eastAsia" w:ascii="宋体" w:hAnsi="宋体" w:cs="宋体"/>
                <w:b/>
                <w:sz w:val="20"/>
              </w:rPr>
              <w:t>项目</w:t>
            </w: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sz w:val="20"/>
              </w:rPr>
            </w:pPr>
            <w:r>
              <w:rPr>
                <w:rFonts w:hint="eastAsia" w:ascii="宋体" w:hAnsi="宋体" w:cs="宋体"/>
                <w:b/>
                <w:sz w:val="20"/>
              </w:rPr>
              <w:t>检查内容</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sz w:val="20"/>
              </w:rPr>
            </w:pPr>
            <w:r>
              <w:rPr>
                <w:rFonts w:hint="eastAsia" w:ascii="宋体" w:hAnsi="宋体" w:cs="宋体"/>
                <w:b/>
                <w:bCs/>
                <w:sz w:val="20"/>
              </w:rPr>
              <w:t>检查情况</w:t>
            </w:r>
          </w:p>
        </w:tc>
      </w:tr>
      <w:tr>
        <w:tblPrEx>
          <w:tblCellMar>
            <w:top w:w="0" w:type="dxa"/>
            <w:left w:w="108" w:type="dxa"/>
            <w:bottom w:w="0" w:type="dxa"/>
            <w:right w:w="108" w:type="dxa"/>
          </w:tblCellMar>
        </w:tblPrEx>
        <w:trPr>
          <w:trHeight w:val="698" w:hRule="atLeast"/>
        </w:trPr>
        <w:tc>
          <w:tcPr>
            <w:tcW w:w="846"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sz w:val="20"/>
                <w:szCs w:val="20"/>
              </w:rPr>
            </w:pPr>
            <w:r>
              <w:rPr>
                <w:rFonts w:hint="eastAsia" w:ascii="宋体" w:hAnsi="宋体"/>
                <w:sz w:val="20"/>
                <w:szCs w:val="20"/>
              </w:rPr>
              <w:t>管理</w:t>
            </w:r>
          </w:p>
          <w:p>
            <w:pPr>
              <w:jc w:val="center"/>
              <w:rPr>
                <w:rFonts w:hint="eastAsia" w:ascii="宋体" w:hAnsi="宋体" w:cs="宋体"/>
                <w:sz w:val="20"/>
                <w:szCs w:val="20"/>
                <w:highlight w:val="yellow"/>
              </w:rPr>
            </w:pPr>
            <w:r>
              <w:rPr>
                <w:rFonts w:hint="eastAsia" w:ascii="宋体" w:hAnsi="宋体"/>
                <w:sz w:val="20"/>
                <w:szCs w:val="20"/>
              </w:rPr>
              <w:t>制度</w:t>
            </w: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kern w:val="0"/>
                <w:sz w:val="20"/>
                <w:szCs w:val="20"/>
                <w:highlight w:val="yellow"/>
              </w:rPr>
            </w:pPr>
            <w:r>
              <w:rPr>
                <w:rFonts w:hint="eastAsia" w:ascii="宋体" w:hAnsi="宋体" w:cs="Arial"/>
                <w:sz w:val="20"/>
                <w:szCs w:val="20"/>
              </w:rPr>
              <w:t>是否建立</w:t>
            </w:r>
            <w:r>
              <w:rPr>
                <w:rFonts w:hint="eastAsia" w:ascii="宋体" w:hAnsi="宋体"/>
                <w:sz w:val="20"/>
                <w:szCs w:val="20"/>
              </w:rPr>
              <w:t>并执行</w:t>
            </w:r>
            <w:r>
              <w:rPr>
                <w:rFonts w:hint="eastAsia" w:ascii="宋体" w:hAnsi="宋体" w:cs="Arial"/>
                <w:sz w:val="20"/>
                <w:szCs w:val="20"/>
              </w:rPr>
              <w:t>相应管理制度。验收、</w:t>
            </w:r>
            <w:r>
              <w:rPr>
                <w:rFonts w:hint="eastAsia" w:ascii="宋体" w:hAnsi="宋体"/>
                <w:sz w:val="20"/>
                <w:szCs w:val="20"/>
              </w:rPr>
              <w:t>保管、养护、拆零调配管理制度</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0"/>
                <w:highlight w:val="yellow"/>
              </w:rPr>
            </w:pPr>
            <w:r>
              <w:rPr>
                <w:rFonts w:hint="eastAsia" w:ascii="宋体" w:hAnsi="宋体" w:cs="宋体"/>
                <w:sz w:val="20"/>
              </w:rPr>
              <w:t xml:space="preserve"> </w:t>
            </w:r>
          </w:p>
        </w:tc>
      </w:tr>
      <w:tr>
        <w:tblPrEx>
          <w:tblCellMar>
            <w:top w:w="0" w:type="dxa"/>
            <w:left w:w="108" w:type="dxa"/>
            <w:bottom w:w="0" w:type="dxa"/>
            <w:right w:w="108" w:type="dxa"/>
          </w:tblCellMar>
        </w:tblPrEx>
        <w:trPr>
          <w:trHeight w:val="634" w:hRule="atLeast"/>
        </w:trPr>
        <w:tc>
          <w:tcPr>
            <w:tcW w:w="84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sz w:val="20"/>
                <w:szCs w:val="20"/>
              </w:rPr>
            </w:pPr>
            <w:r>
              <w:rPr>
                <w:rFonts w:hint="eastAsia" w:ascii="宋体" w:hAnsi="宋体" w:cs="宋体"/>
                <w:sz w:val="20"/>
                <w:szCs w:val="20"/>
              </w:rPr>
              <w:t>人员</w:t>
            </w:r>
          </w:p>
          <w:p>
            <w:pPr>
              <w:jc w:val="center"/>
              <w:rPr>
                <w:rFonts w:hint="eastAsia" w:ascii="宋体" w:hAnsi="宋体" w:cs="宋体"/>
                <w:sz w:val="20"/>
                <w:szCs w:val="20"/>
              </w:rPr>
            </w:pPr>
            <w:r>
              <w:rPr>
                <w:rFonts w:hint="eastAsia" w:ascii="宋体" w:hAnsi="宋体" w:cs="宋体"/>
                <w:sz w:val="20"/>
                <w:szCs w:val="20"/>
              </w:rPr>
              <w:t>管理</w:t>
            </w: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kern w:val="0"/>
                <w:sz w:val="20"/>
                <w:szCs w:val="20"/>
              </w:rPr>
            </w:pPr>
            <w:r>
              <w:rPr>
                <w:rFonts w:hint="eastAsia" w:ascii="宋体" w:hAnsi="宋体"/>
                <w:sz w:val="20"/>
                <w:szCs w:val="20"/>
              </w:rPr>
              <w:t>直接接触药品、无菌医疗器械人员每年是否进行健康体检，并建立健康档案。</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r>
      <w:tr>
        <w:tblPrEx>
          <w:tblCellMar>
            <w:top w:w="0" w:type="dxa"/>
            <w:left w:w="108" w:type="dxa"/>
            <w:bottom w:w="0" w:type="dxa"/>
            <w:right w:w="108" w:type="dxa"/>
          </w:tblCellMar>
        </w:tblPrEx>
        <w:trPr>
          <w:trHeight w:val="550" w:hRule="atLeast"/>
        </w:trPr>
        <w:tc>
          <w:tcPr>
            <w:tcW w:w="846" w:type="dxa"/>
            <w:vMerge w:val="continue"/>
            <w:tcBorders>
              <w:left w:val="single" w:color="auto" w:sz="4" w:space="0"/>
              <w:right w:val="single" w:color="auto" w:sz="4" w:space="0"/>
            </w:tcBorders>
            <w:noWrap w:val="0"/>
            <w:vAlign w:val="center"/>
          </w:tcPr>
          <w:p>
            <w:pPr>
              <w:jc w:val="center"/>
              <w:rPr>
                <w:rFonts w:hint="eastAsia" w:ascii="宋体" w:hAnsi="宋体" w:cs="宋体"/>
                <w:sz w:val="20"/>
                <w:szCs w:val="20"/>
              </w:rPr>
            </w:pP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sz w:val="20"/>
                <w:szCs w:val="20"/>
              </w:rPr>
            </w:pPr>
            <w:r>
              <w:rPr>
                <w:rFonts w:hint="eastAsia" w:ascii="宋体" w:hAnsi="宋体"/>
                <w:sz w:val="20"/>
                <w:szCs w:val="20"/>
              </w:rPr>
              <w:t>是否每年对相关人员进行药学方面知识培训，建立培训教育档案。</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 xml:space="preserve"> </w:t>
            </w:r>
          </w:p>
        </w:tc>
      </w:tr>
      <w:tr>
        <w:tblPrEx>
          <w:tblCellMar>
            <w:top w:w="0" w:type="dxa"/>
            <w:left w:w="108" w:type="dxa"/>
            <w:bottom w:w="0" w:type="dxa"/>
            <w:right w:w="108" w:type="dxa"/>
          </w:tblCellMar>
        </w:tblPrEx>
        <w:trPr>
          <w:trHeight w:val="751" w:hRule="atLeast"/>
        </w:trPr>
        <w:tc>
          <w:tcPr>
            <w:tcW w:w="84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sz w:val="20"/>
                <w:szCs w:val="20"/>
              </w:rPr>
            </w:pPr>
            <w:r>
              <w:rPr>
                <w:rFonts w:hint="eastAsia" w:ascii="宋体" w:hAnsi="宋体"/>
                <w:sz w:val="20"/>
                <w:szCs w:val="20"/>
              </w:rPr>
              <w:t>购进</w:t>
            </w:r>
          </w:p>
          <w:p>
            <w:pPr>
              <w:spacing w:line="360" w:lineRule="exact"/>
              <w:jc w:val="center"/>
              <w:rPr>
                <w:rFonts w:hint="eastAsia" w:ascii="宋体" w:hAnsi="宋体"/>
                <w:sz w:val="20"/>
                <w:szCs w:val="20"/>
              </w:rPr>
            </w:pPr>
            <w:r>
              <w:rPr>
                <w:rFonts w:hint="eastAsia" w:ascii="宋体" w:hAnsi="宋体"/>
                <w:sz w:val="20"/>
                <w:szCs w:val="20"/>
              </w:rPr>
              <w:t>验收</w:t>
            </w:r>
          </w:p>
          <w:p>
            <w:pPr>
              <w:jc w:val="center"/>
              <w:rPr>
                <w:rFonts w:hint="eastAsia" w:ascii="宋体" w:hAnsi="宋体" w:cs="宋体"/>
                <w:sz w:val="20"/>
                <w:szCs w:val="20"/>
              </w:rPr>
            </w:pPr>
            <w:r>
              <w:rPr>
                <w:rFonts w:hint="eastAsia" w:ascii="宋体" w:hAnsi="宋体"/>
                <w:sz w:val="20"/>
                <w:szCs w:val="20"/>
              </w:rPr>
              <w:t>管理</w:t>
            </w: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sz w:val="20"/>
                <w:szCs w:val="20"/>
              </w:rPr>
            </w:pPr>
            <w:r>
              <w:rPr>
                <w:rFonts w:hint="eastAsia" w:ascii="宋体" w:hAnsi="宋体"/>
                <w:sz w:val="20"/>
                <w:szCs w:val="20"/>
              </w:rPr>
              <w:t>是否从合法渠道购进药品、医疗器械；是否索取留存供货单位的合法票据及供货商的相关资质证明材料。</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0"/>
                <w:highlight w:val="yellow"/>
              </w:rPr>
            </w:pPr>
            <w:r>
              <w:rPr>
                <w:rFonts w:hint="eastAsia" w:ascii="宋体" w:hAnsi="宋体" w:cs="宋体"/>
                <w:sz w:val="20"/>
              </w:rPr>
              <w:t xml:space="preserve"> </w:t>
            </w:r>
          </w:p>
        </w:tc>
      </w:tr>
      <w:tr>
        <w:tblPrEx>
          <w:tblCellMar>
            <w:top w:w="0" w:type="dxa"/>
            <w:left w:w="108" w:type="dxa"/>
            <w:bottom w:w="0" w:type="dxa"/>
            <w:right w:w="108" w:type="dxa"/>
          </w:tblCellMar>
        </w:tblPrEx>
        <w:trPr>
          <w:trHeight w:val="640" w:hRule="atLeast"/>
        </w:trPr>
        <w:tc>
          <w:tcPr>
            <w:tcW w:w="846" w:type="dxa"/>
            <w:vMerge w:val="continue"/>
            <w:tcBorders>
              <w:left w:val="single" w:color="auto" w:sz="4" w:space="0"/>
              <w:right w:val="single" w:color="auto" w:sz="4" w:space="0"/>
            </w:tcBorders>
            <w:noWrap w:val="0"/>
            <w:vAlign w:val="center"/>
          </w:tcPr>
          <w:p>
            <w:pPr>
              <w:jc w:val="center"/>
              <w:rPr>
                <w:rFonts w:hint="eastAsia" w:ascii="宋体" w:hAnsi="宋体"/>
                <w:sz w:val="20"/>
                <w:szCs w:val="20"/>
              </w:rPr>
            </w:pP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sz w:val="20"/>
                <w:szCs w:val="20"/>
              </w:rPr>
            </w:pPr>
            <w:r>
              <w:rPr>
                <w:rFonts w:hint="eastAsia" w:ascii="宋体" w:hAnsi="宋体"/>
                <w:sz w:val="20"/>
                <w:szCs w:val="20"/>
              </w:rPr>
              <w:t>是否建立真实、完整购进、验收记录，做到票、账、货相符。</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0"/>
                <w:highlight w:val="yellow"/>
              </w:rPr>
            </w:pPr>
            <w:r>
              <w:rPr>
                <w:rFonts w:hint="eastAsia" w:ascii="宋体" w:hAnsi="宋体" w:cs="宋体"/>
                <w:sz w:val="20"/>
              </w:rPr>
              <w:t xml:space="preserve"> </w:t>
            </w:r>
          </w:p>
        </w:tc>
      </w:tr>
      <w:tr>
        <w:tblPrEx>
          <w:tblCellMar>
            <w:top w:w="0" w:type="dxa"/>
            <w:left w:w="108" w:type="dxa"/>
            <w:bottom w:w="0" w:type="dxa"/>
            <w:right w:w="108" w:type="dxa"/>
          </w:tblCellMar>
        </w:tblPrEx>
        <w:trPr>
          <w:trHeight w:val="801" w:hRule="atLeast"/>
        </w:trPr>
        <w:tc>
          <w:tcPr>
            <w:tcW w:w="84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sz w:val="20"/>
                <w:szCs w:val="20"/>
              </w:rPr>
            </w:pPr>
            <w:r>
              <w:rPr>
                <w:rFonts w:hint="eastAsia" w:ascii="宋体" w:hAnsi="宋体"/>
                <w:sz w:val="20"/>
                <w:szCs w:val="20"/>
              </w:rPr>
              <w:t>储存</w:t>
            </w:r>
          </w:p>
          <w:p>
            <w:pPr>
              <w:spacing w:line="360" w:lineRule="exact"/>
              <w:jc w:val="center"/>
              <w:rPr>
                <w:rFonts w:hint="eastAsia" w:ascii="宋体" w:hAnsi="宋体"/>
                <w:sz w:val="20"/>
                <w:szCs w:val="20"/>
              </w:rPr>
            </w:pPr>
            <w:r>
              <w:rPr>
                <w:rFonts w:hint="eastAsia" w:ascii="宋体" w:hAnsi="宋体"/>
                <w:sz w:val="20"/>
                <w:szCs w:val="20"/>
              </w:rPr>
              <w:t>养护</w:t>
            </w:r>
          </w:p>
          <w:p>
            <w:pPr>
              <w:spacing w:line="360" w:lineRule="exact"/>
              <w:jc w:val="center"/>
              <w:rPr>
                <w:rFonts w:hint="eastAsia" w:ascii="宋体" w:hAnsi="宋体"/>
                <w:sz w:val="20"/>
                <w:szCs w:val="20"/>
              </w:rPr>
            </w:pPr>
            <w:r>
              <w:rPr>
                <w:rFonts w:hint="eastAsia" w:ascii="宋体" w:hAnsi="宋体"/>
                <w:sz w:val="20"/>
                <w:szCs w:val="20"/>
              </w:rPr>
              <w:t>管理</w:t>
            </w: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sz w:val="20"/>
                <w:szCs w:val="20"/>
              </w:rPr>
            </w:pPr>
            <w:r>
              <w:rPr>
                <w:rFonts w:hint="eastAsia" w:ascii="宋体" w:hAnsi="宋体"/>
                <w:sz w:val="20"/>
                <w:szCs w:val="20"/>
              </w:rPr>
              <w:t>药房是否有专用的场所和设施、设备；是否配置空调、</w:t>
            </w:r>
            <w:r>
              <w:rPr>
                <w:rFonts w:hint="eastAsia" w:ascii="宋体" w:hAnsi="宋体"/>
                <w:color w:val="000000"/>
                <w:sz w:val="20"/>
                <w:szCs w:val="20"/>
              </w:rPr>
              <w:t>阴凉柜、</w:t>
            </w:r>
            <w:r>
              <w:rPr>
                <w:rFonts w:hint="eastAsia" w:ascii="宋体" w:hAnsi="宋体"/>
                <w:sz w:val="20"/>
                <w:szCs w:val="20"/>
              </w:rPr>
              <w:t>冰箱、温湿度计等温湿调控及测量设备；是否定时监测温湿度并做好记录。</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0"/>
                <w:highlight w:val="yellow"/>
              </w:rPr>
            </w:pPr>
            <w:r>
              <w:rPr>
                <w:rFonts w:hint="eastAsia" w:ascii="宋体" w:hAnsi="宋体" w:cs="宋体"/>
                <w:sz w:val="20"/>
              </w:rPr>
              <w:t xml:space="preserve"> </w:t>
            </w:r>
          </w:p>
        </w:tc>
      </w:tr>
      <w:tr>
        <w:tblPrEx>
          <w:tblCellMar>
            <w:top w:w="0" w:type="dxa"/>
            <w:left w:w="108" w:type="dxa"/>
            <w:bottom w:w="0" w:type="dxa"/>
            <w:right w:w="108" w:type="dxa"/>
          </w:tblCellMar>
        </w:tblPrEx>
        <w:trPr>
          <w:trHeight w:val="912" w:hRule="atLeast"/>
        </w:trPr>
        <w:tc>
          <w:tcPr>
            <w:tcW w:w="846"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sz w:val="20"/>
                <w:szCs w:val="20"/>
              </w:rPr>
            </w:pP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sz w:val="20"/>
                <w:szCs w:val="20"/>
              </w:rPr>
            </w:pPr>
            <w:r>
              <w:rPr>
                <w:rFonts w:hint="eastAsia" w:ascii="宋体" w:hAnsi="宋体"/>
                <w:sz w:val="20"/>
                <w:szCs w:val="20"/>
              </w:rPr>
              <w:t>药品是否按剂型或用途、储存条件分类存放；药品是否按说明书要求规放储存；是否存在过期、变质等不合格药品。</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0"/>
                <w:highlight w:val="yellow"/>
              </w:rPr>
            </w:pPr>
            <w:r>
              <w:rPr>
                <w:rFonts w:hint="eastAsia" w:ascii="宋体" w:hAnsi="宋体" w:cs="宋体"/>
                <w:sz w:val="20"/>
              </w:rPr>
              <w:t xml:space="preserve"> </w:t>
            </w:r>
          </w:p>
        </w:tc>
      </w:tr>
      <w:tr>
        <w:tblPrEx>
          <w:tblCellMar>
            <w:top w:w="0" w:type="dxa"/>
            <w:left w:w="108" w:type="dxa"/>
            <w:bottom w:w="0" w:type="dxa"/>
            <w:right w:w="108" w:type="dxa"/>
          </w:tblCellMar>
        </w:tblPrEx>
        <w:trPr>
          <w:trHeight w:val="739" w:hRule="atLeast"/>
        </w:trPr>
        <w:tc>
          <w:tcPr>
            <w:tcW w:w="846"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sz w:val="20"/>
                <w:szCs w:val="20"/>
              </w:rPr>
            </w:pP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z w:val="20"/>
                <w:szCs w:val="20"/>
              </w:rPr>
            </w:pPr>
            <w:r>
              <w:rPr>
                <w:rFonts w:hint="eastAsia" w:ascii="宋体" w:hAnsi="宋体"/>
                <w:sz w:val="20"/>
                <w:szCs w:val="20"/>
              </w:rPr>
              <w:t>麻醉药品、精神药品等特殊管理药品是否专库或专柜存放，双人双锁保管，专账记录，账物相符。</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0"/>
                <w:highlight w:val="yellow"/>
              </w:rPr>
            </w:pPr>
          </w:p>
        </w:tc>
      </w:tr>
      <w:tr>
        <w:tblPrEx>
          <w:tblCellMar>
            <w:top w:w="0" w:type="dxa"/>
            <w:left w:w="108" w:type="dxa"/>
            <w:bottom w:w="0" w:type="dxa"/>
            <w:right w:w="108" w:type="dxa"/>
          </w:tblCellMar>
        </w:tblPrEx>
        <w:trPr>
          <w:trHeight w:val="794" w:hRule="atLeast"/>
        </w:trPr>
        <w:tc>
          <w:tcPr>
            <w:tcW w:w="846"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sz w:val="20"/>
                <w:szCs w:val="20"/>
              </w:rPr>
            </w:pP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sz w:val="20"/>
                <w:szCs w:val="20"/>
              </w:rPr>
            </w:pPr>
            <w:r>
              <w:rPr>
                <w:rFonts w:hint="eastAsia" w:ascii="宋体" w:hAnsi="宋体"/>
                <w:sz w:val="20"/>
                <w:szCs w:val="20"/>
              </w:rPr>
              <w:t>医疗器械是否按要求储存；是否存在未依法注册、无合格证明文件以及过期、失效、淘汰的医疗器械。</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0"/>
                <w:highlight w:val="yellow"/>
              </w:rPr>
            </w:pPr>
            <w:r>
              <w:rPr>
                <w:rFonts w:hint="eastAsia" w:ascii="宋体" w:hAnsi="宋体" w:cs="宋体"/>
                <w:sz w:val="20"/>
              </w:rPr>
              <w:t xml:space="preserve"> </w:t>
            </w:r>
          </w:p>
        </w:tc>
      </w:tr>
      <w:tr>
        <w:tblPrEx>
          <w:tblCellMar>
            <w:top w:w="0" w:type="dxa"/>
            <w:left w:w="108" w:type="dxa"/>
            <w:bottom w:w="0" w:type="dxa"/>
            <w:right w:w="108" w:type="dxa"/>
          </w:tblCellMar>
        </w:tblPrEx>
        <w:trPr>
          <w:trHeight w:val="701" w:hRule="atLeast"/>
        </w:trPr>
        <w:tc>
          <w:tcPr>
            <w:tcW w:w="84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sz w:val="20"/>
                <w:szCs w:val="20"/>
              </w:rPr>
            </w:pPr>
            <w:r>
              <w:rPr>
                <w:rFonts w:hint="eastAsia" w:ascii="宋体" w:hAnsi="宋体"/>
                <w:sz w:val="20"/>
                <w:szCs w:val="20"/>
              </w:rPr>
              <w:t>调配       使用</w:t>
            </w:r>
          </w:p>
          <w:p>
            <w:pPr>
              <w:spacing w:line="360" w:lineRule="exact"/>
              <w:jc w:val="center"/>
              <w:rPr>
                <w:rFonts w:hint="eastAsia" w:ascii="宋体" w:hAnsi="宋体"/>
                <w:sz w:val="20"/>
                <w:szCs w:val="20"/>
              </w:rPr>
            </w:pPr>
            <w:r>
              <w:rPr>
                <w:rFonts w:hint="eastAsia" w:ascii="宋体" w:hAnsi="宋体"/>
                <w:sz w:val="20"/>
                <w:szCs w:val="20"/>
              </w:rPr>
              <w:t>管理</w:t>
            </w: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z w:val="20"/>
                <w:szCs w:val="20"/>
              </w:rPr>
            </w:pPr>
            <w:r>
              <w:rPr>
                <w:rFonts w:hint="eastAsia" w:ascii="宋体" w:hAnsi="宋体"/>
                <w:sz w:val="20"/>
                <w:szCs w:val="20"/>
              </w:rPr>
              <w:t>是否擅自使用其他医疗机构配制的制剂或向其他医疗机构提供本单位配制的制剂。</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0"/>
                <w:highlight w:val="yellow"/>
              </w:rPr>
            </w:pPr>
          </w:p>
        </w:tc>
      </w:tr>
      <w:tr>
        <w:tblPrEx>
          <w:tblCellMar>
            <w:top w:w="0" w:type="dxa"/>
            <w:left w:w="108" w:type="dxa"/>
            <w:bottom w:w="0" w:type="dxa"/>
            <w:right w:w="108" w:type="dxa"/>
          </w:tblCellMar>
        </w:tblPrEx>
        <w:trPr>
          <w:trHeight w:val="801" w:hRule="atLeast"/>
        </w:trPr>
        <w:tc>
          <w:tcPr>
            <w:tcW w:w="846"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0"/>
                <w:szCs w:val="20"/>
              </w:rPr>
            </w:pPr>
          </w:p>
        </w:tc>
        <w:tc>
          <w:tcPr>
            <w:tcW w:w="48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sz w:val="20"/>
                <w:szCs w:val="20"/>
              </w:rPr>
            </w:pPr>
            <w:r>
              <w:rPr>
                <w:rFonts w:hint="eastAsia" w:ascii="宋体" w:hAnsi="宋体" w:cs="宋体"/>
                <w:sz w:val="20"/>
                <w:szCs w:val="20"/>
              </w:rPr>
              <w:t>是否凭处方向患者提供药品；是否以开放式柜台自选、试用、义诊义卖、咨询等方式销售或者变相销售药品。</w:t>
            </w:r>
          </w:p>
        </w:tc>
        <w:tc>
          <w:tcPr>
            <w:tcW w:w="365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0"/>
                <w:highlight w:val="yellow"/>
              </w:rPr>
            </w:pPr>
            <w:r>
              <w:rPr>
                <w:rFonts w:hint="eastAsia" w:ascii="宋体" w:hAnsi="宋体" w:cs="宋体"/>
                <w:sz w:val="20"/>
              </w:rPr>
              <w:t xml:space="preserve"> </w:t>
            </w:r>
          </w:p>
        </w:tc>
      </w:tr>
      <w:tr>
        <w:tblPrEx>
          <w:tblCellMar>
            <w:top w:w="0" w:type="dxa"/>
            <w:left w:w="108" w:type="dxa"/>
            <w:bottom w:w="0" w:type="dxa"/>
            <w:right w:w="108" w:type="dxa"/>
          </w:tblCellMar>
        </w:tblPrEx>
        <w:trPr>
          <w:trHeight w:val="459" w:hRule="atLeast"/>
        </w:trPr>
        <w:tc>
          <w:tcPr>
            <w:tcW w:w="447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sz w:val="20"/>
                <w:szCs w:val="20"/>
              </w:rPr>
            </w:pPr>
            <w:r>
              <w:rPr>
                <w:rFonts w:hint="eastAsia"/>
                <w:sz w:val="20"/>
                <w:szCs w:val="20"/>
              </w:rPr>
              <w:t>检查发现的其它问题</w:t>
            </w:r>
          </w:p>
        </w:tc>
        <w:tc>
          <w:tcPr>
            <w:tcW w:w="486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0"/>
                <w:szCs w:val="20"/>
              </w:rPr>
            </w:pPr>
          </w:p>
        </w:tc>
      </w:tr>
      <w:tr>
        <w:tblPrEx>
          <w:tblCellMar>
            <w:top w:w="0" w:type="dxa"/>
            <w:left w:w="108" w:type="dxa"/>
            <w:bottom w:w="0" w:type="dxa"/>
            <w:right w:w="108" w:type="dxa"/>
          </w:tblCellMar>
        </w:tblPrEx>
        <w:trPr>
          <w:trHeight w:val="559" w:hRule="atLeast"/>
        </w:trPr>
        <w:tc>
          <w:tcPr>
            <w:tcW w:w="447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sz w:val="18"/>
                <w:szCs w:val="18"/>
              </w:rPr>
            </w:pPr>
            <w:r>
              <w:rPr>
                <w:rFonts w:hint="eastAsia"/>
                <w:sz w:val="20"/>
                <w:szCs w:val="20"/>
              </w:rPr>
              <w:t>检查结论及处理意见（可另附表）</w:t>
            </w:r>
          </w:p>
        </w:tc>
        <w:tc>
          <w:tcPr>
            <w:tcW w:w="486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0"/>
                <w:highlight w:val="yellow"/>
              </w:rPr>
            </w:pPr>
            <w:r>
              <w:rPr>
                <w:rFonts w:hint="eastAsia" w:ascii="宋体" w:hAnsi="宋体" w:cs="宋体"/>
                <w:sz w:val="20"/>
                <w:szCs w:val="20"/>
              </w:rPr>
              <w:t>□符合要求； □限期整改； □立案查处； □其他</w:t>
            </w:r>
          </w:p>
        </w:tc>
      </w:tr>
      <w:tr>
        <w:tblPrEx>
          <w:tblCellMar>
            <w:top w:w="0" w:type="dxa"/>
            <w:left w:w="108" w:type="dxa"/>
            <w:bottom w:w="0" w:type="dxa"/>
            <w:right w:w="108" w:type="dxa"/>
          </w:tblCellMar>
        </w:tblPrEx>
        <w:trPr>
          <w:trHeight w:val="1136" w:hRule="atLeast"/>
        </w:trPr>
        <w:tc>
          <w:tcPr>
            <w:tcW w:w="4477" w:type="dxa"/>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ind w:firstLine="98" w:firstLineChars="49"/>
              <w:jc w:val="left"/>
              <w:rPr>
                <w:rFonts w:hint="eastAsia" w:ascii="宋体" w:hAnsi="宋体" w:cs="宋体"/>
                <w:sz w:val="20"/>
                <w:szCs w:val="20"/>
              </w:rPr>
            </w:pPr>
            <w:r>
              <w:rPr>
                <w:rFonts w:hint="eastAsia" w:ascii="宋体" w:hAnsi="宋体" w:cs="宋体"/>
                <w:sz w:val="20"/>
                <w:szCs w:val="20"/>
              </w:rPr>
              <w:t>检查人员签名：</w:t>
            </w:r>
          </w:p>
          <w:p>
            <w:pPr>
              <w:spacing w:line="200" w:lineRule="exact"/>
              <w:ind w:firstLine="98" w:firstLineChars="49"/>
              <w:jc w:val="center"/>
              <w:rPr>
                <w:rFonts w:hint="eastAsia" w:ascii="宋体" w:hAnsi="宋体" w:cs="宋体"/>
                <w:sz w:val="20"/>
                <w:szCs w:val="20"/>
              </w:rPr>
            </w:pPr>
          </w:p>
          <w:p>
            <w:pPr>
              <w:spacing w:line="200" w:lineRule="exact"/>
              <w:ind w:firstLine="2998" w:firstLineChars="1499"/>
              <w:jc w:val="center"/>
              <w:rPr>
                <w:rFonts w:hint="eastAsia" w:ascii="宋体" w:hAnsi="宋体" w:cs="宋体"/>
                <w:sz w:val="20"/>
                <w:szCs w:val="20"/>
              </w:rPr>
            </w:pPr>
          </w:p>
          <w:p>
            <w:pPr>
              <w:spacing w:line="300" w:lineRule="exact"/>
              <w:ind w:firstLine="2800" w:firstLineChars="1400"/>
              <w:rPr>
                <w:rFonts w:hint="eastAsia" w:ascii="宋体" w:hAnsi="宋体" w:cs="宋体"/>
                <w:sz w:val="18"/>
                <w:szCs w:val="18"/>
              </w:rPr>
            </w:pPr>
            <w:r>
              <w:rPr>
                <w:rFonts w:hint="eastAsia" w:ascii="宋体" w:hAnsi="宋体" w:cs="宋体"/>
                <w:sz w:val="20"/>
                <w:szCs w:val="20"/>
              </w:rPr>
              <w:t>年   月   日</w:t>
            </w:r>
          </w:p>
        </w:tc>
        <w:tc>
          <w:tcPr>
            <w:tcW w:w="4867" w:type="dxa"/>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ind w:firstLine="98" w:firstLineChars="49"/>
              <w:rPr>
                <w:rFonts w:hint="eastAsia" w:ascii="宋体" w:hAnsi="宋体" w:cs="宋体"/>
                <w:sz w:val="20"/>
                <w:szCs w:val="20"/>
              </w:rPr>
            </w:pPr>
            <w:r>
              <w:rPr>
                <w:rFonts w:hint="eastAsia" w:ascii="宋体" w:hAnsi="宋体" w:cs="宋体"/>
                <w:sz w:val="20"/>
                <w:szCs w:val="20"/>
              </w:rPr>
              <w:t>企业法人代表或其授权人签名：</w:t>
            </w:r>
          </w:p>
          <w:p>
            <w:pPr>
              <w:spacing w:line="200" w:lineRule="exact"/>
              <w:ind w:firstLine="98" w:firstLineChars="49"/>
              <w:rPr>
                <w:rFonts w:hint="eastAsia" w:ascii="宋体" w:hAnsi="宋体" w:cs="宋体"/>
                <w:sz w:val="20"/>
                <w:szCs w:val="20"/>
              </w:rPr>
            </w:pPr>
          </w:p>
          <w:p>
            <w:pPr>
              <w:spacing w:line="200" w:lineRule="exact"/>
              <w:ind w:firstLine="98" w:firstLineChars="49"/>
              <w:jc w:val="center"/>
              <w:rPr>
                <w:rFonts w:hint="eastAsia" w:ascii="宋体" w:hAnsi="宋体" w:cs="宋体"/>
                <w:sz w:val="20"/>
                <w:szCs w:val="20"/>
              </w:rPr>
            </w:pPr>
            <w:r>
              <w:rPr>
                <w:rFonts w:hint="eastAsia" w:ascii="宋体" w:hAnsi="宋体" w:cs="宋体"/>
                <w:sz w:val="20"/>
                <w:szCs w:val="20"/>
              </w:rPr>
              <w:t xml:space="preserve">                     </w:t>
            </w:r>
          </w:p>
          <w:p>
            <w:pPr>
              <w:jc w:val="left"/>
              <w:rPr>
                <w:rFonts w:hint="eastAsia" w:ascii="宋体" w:hAnsi="宋体" w:cs="宋体"/>
                <w:sz w:val="20"/>
                <w:highlight w:val="yellow"/>
              </w:rPr>
            </w:pPr>
            <w:r>
              <w:rPr>
                <w:rFonts w:hint="eastAsia" w:ascii="宋体" w:hAnsi="宋体" w:cs="宋体"/>
                <w:sz w:val="20"/>
                <w:szCs w:val="20"/>
              </w:rPr>
              <w:t xml:space="preserve">                     年   月   日（章）</w:t>
            </w:r>
          </w:p>
        </w:tc>
      </w:tr>
    </w:tbl>
    <w:p>
      <w:pPr>
        <w:pStyle w:val="2"/>
        <w:ind w:left="0" w:leftChars="0" w:firstLine="0" w:firstLineChars="0"/>
      </w:pPr>
      <w:r>
        <w:rPr>
          <w:rFonts w:hint="eastAsia" w:ascii="宋体" w:hAnsi="宋体" w:cs="宋体"/>
          <w:b/>
          <w:bCs/>
          <w:kern w:val="0"/>
          <w:sz w:val="20"/>
        </w:rPr>
        <w:t>备注：</w:t>
      </w:r>
      <w:r>
        <w:rPr>
          <w:rFonts w:hint="eastAsia" w:eastAsia="仿宋_GB2312"/>
          <w:color w:val="000000"/>
          <w:spacing w:val="-10"/>
          <w:kern w:val="0"/>
          <w:szCs w:val="21"/>
        </w:rPr>
        <w:t>此次现场检查发现的问题，不代表你单位存在的所有问题。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033D6F19"/>
    <w:rsid w:val="033D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2022-09-14T02:08:00Z</dcterms:created>
  <dc:creator>心是重生的季节</dc:creator>
  <cp:lastModifiedBy>心是重生的季节</cp:lastModifiedBy>
  <dcterms:modified xsi:type="dcterms:W3CDTF">2022-09-14T02:08:24Z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DA1AC8E422C44B96880F78B2CBEAA684</vt:lpwstr>
  </property>
</Properties>
</file>