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方正小标宋简体" w:eastAsia="方正小标宋简体"/>
          <w:sz w:val="30"/>
          <w:szCs w:val="30"/>
        </w:rPr>
      </w:pPr>
      <w:r>
        <w:rPr>
          <w:rFonts w:hint="eastAsia" w:ascii="黑体" w:hAnsi="黑体" w:eastAsia="黑体"/>
          <w:sz w:val="24"/>
        </w:rPr>
        <w:t xml:space="preserve">附件1： </w:t>
      </w:r>
      <w:r>
        <w:rPr>
          <w:rFonts w:hint="eastAsia" w:ascii="黑体" w:hAnsi="黑体" w:eastAsia="黑体"/>
          <w:sz w:val="31"/>
          <w:szCs w:val="31"/>
        </w:rPr>
        <w:t xml:space="preserve">          </w:t>
      </w:r>
      <w:r>
        <w:rPr>
          <w:rFonts w:hint="eastAsia" w:ascii="方正小标宋简体" w:eastAsia="方正小标宋简体"/>
          <w:sz w:val="30"/>
          <w:szCs w:val="30"/>
        </w:rPr>
        <w:t>宁化县市场监督管理局</w:t>
      </w:r>
    </w:p>
    <w:p>
      <w:pPr>
        <w:spacing w:line="400" w:lineRule="exact"/>
        <w:jc w:val="center"/>
        <w:rPr>
          <w:rFonts w:hint="eastAsia" w:ascii="方正小标宋简体" w:eastAsia="方正小标宋简体"/>
          <w:sz w:val="30"/>
          <w:szCs w:val="30"/>
        </w:rPr>
      </w:pPr>
      <w:bookmarkStart w:id="0" w:name="_GoBack"/>
      <w:r>
        <w:rPr>
          <w:rFonts w:hint="eastAsia" w:ascii="方正小标宋简体" w:eastAsia="方正小标宋简体"/>
          <w:sz w:val="30"/>
          <w:szCs w:val="30"/>
        </w:rPr>
        <w:t>疫苗专项检查记录表（疾控中心）</w:t>
      </w:r>
    </w:p>
    <w:bookmarkEnd w:id="0"/>
    <w:p>
      <w:pPr>
        <w:spacing w:line="320" w:lineRule="exact"/>
        <w:jc w:val="left"/>
        <w:rPr>
          <w:rFonts w:hint="eastAsia"/>
        </w:rPr>
      </w:pPr>
      <w:r>
        <w:rPr>
          <w:rFonts w:hint="eastAsia"/>
        </w:rPr>
        <w:t xml:space="preserve">单位名称：[                              ]   法人/负责人：[                     ] </w:t>
      </w:r>
    </w:p>
    <w:p>
      <w:pPr>
        <w:spacing w:line="320" w:lineRule="exact"/>
        <w:jc w:val="left"/>
        <w:rPr>
          <w:rFonts w:hint="eastAsia"/>
        </w:rPr>
      </w:pPr>
      <w:r>
        <w:rPr>
          <w:rFonts w:hint="eastAsia"/>
        </w:rPr>
        <w:t>单位地址：[                               ]   联系电话：[                        ]</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03"/>
        <w:gridCol w:w="308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9" w:type="dxa"/>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6685" w:type="dxa"/>
            <w:gridSpan w:val="2"/>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检查主要内容</w:t>
            </w:r>
          </w:p>
        </w:tc>
        <w:tc>
          <w:tcPr>
            <w:tcW w:w="1787" w:type="dxa"/>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1</w:t>
            </w:r>
          </w:p>
        </w:tc>
        <w:tc>
          <w:tcPr>
            <w:tcW w:w="6685" w:type="dxa"/>
            <w:gridSpan w:val="2"/>
            <w:noWrap w:val="0"/>
            <w:vAlign w:val="top"/>
          </w:tcPr>
          <w:p>
            <w:pPr>
              <w:spacing w:line="260" w:lineRule="exact"/>
              <w:rPr>
                <w:rFonts w:hint="eastAsia"/>
              </w:rPr>
            </w:pPr>
            <w:r>
              <w:rPr>
                <w:rFonts w:hint="eastAsia"/>
              </w:rPr>
              <w:t>是否按规定建立真实、完整的购进、储存、分发、供应记录，做到票、账、货、款一致，并保存至超过疫苗有效期5年备查。</w:t>
            </w:r>
          </w:p>
          <w:p>
            <w:pPr>
              <w:spacing w:line="260" w:lineRule="exact"/>
              <w:rPr>
                <w:rFonts w:hint="eastAsia"/>
              </w:rPr>
            </w:pPr>
            <w:r>
              <w:rPr>
                <w:rFonts w:hint="eastAsia"/>
                <w:b/>
                <w:bCs/>
              </w:rPr>
              <w:t>新冠病毒疫苗</w:t>
            </w:r>
            <w:r>
              <w:rPr>
                <w:rFonts w:hint="eastAsia"/>
              </w:rPr>
              <w:t>接收时，是否实行双人验收、核签。</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2</w:t>
            </w:r>
          </w:p>
        </w:tc>
        <w:tc>
          <w:tcPr>
            <w:tcW w:w="6685" w:type="dxa"/>
            <w:gridSpan w:val="2"/>
            <w:noWrap w:val="0"/>
            <w:vAlign w:val="top"/>
          </w:tcPr>
          <w:p>
            <w:pPr>
              <w:spacing w:line="260" w:lineRule="exact"/>
              <w:rPr>
                <w:rFonts w:hint="eastAsia" w:ascii="宋体" w:hAnsi="宋体" w:cs="宋体"/>
                <w:szCs w:val="21"/>
              </w:rPr>
            </w:pPr>
            <w:r>
              <w:rPr>
                <w:rFonts w:hint="eastAsia" w:ascii="宋体" w:hAnsi="宋体" w:cs="宋体"/>
                <w:szCs w:val="21"/>
              </w:rPr>
              <w:t>是否根据储存、供应、运输疫苗的需要，配备冷库、冷藏运输车(疫苗运输车)、冰柜（箱）或冷藏箱（包）、温度监测器材或设备等。</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3</w:t>
            </w:r>
          </w:p>
        </w:tc>
        <w:tc>
          <w:tcPr>
            <w:tcW w:w="6685" w:type="dxa"/>
            <w:gridSpan w:val="2"/>
            <w:noWrap w:val="0"/>
            <w:vAlign w:val="top"/>
          </w:tcPr>
          <w:p>
            <w:pPr>
              <w:spacing w:line="260" w:lineRule="exact"/>
              <w:rPr>
                <w:rFonts w:hint="eastAsia" w:ascii="宋体" w:hAnsi="宋体" w:cs="宋体"/>
                <w:szCs w:val="21"/>
              </w:rPr>
            </w:pPr>
            <w:r>
              <w:rPr>
                <w:rFonts w:hint="eastAsia" w:ascii="宋体" w:hAnsi="宋体" w:cs="宋体"/>
                <w:szCs w:val="21"/>
              </w:rPr>
              <w:t>冷库容积是否与储存需求相适应，是否备用制冷机组、备用发电机组或安装双路电路，并配有自动监测、调控、显示、记录温度状况以及报警的设备。</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4</w:t>
            </w:r>
          </w:p>
        </w:tc>
        <w:tc>
          <w:tcPr>
            <w:tcW w:w="6685" w:type="dxa"/>
            <w:gridSpan w:val="2"/>
            <w:noWrap w:val="0"/>
            <w:vAlign w:val="top"/>
          </w:tcPr>
          <w:p>
            <w:pPr>
              <w:pStyle w:val="5"/>
              <w:spacing w:line="260" w:lineRule="exact"/>
              <w:rPr>
                <w:rFonts w:hint="eastAsia" w:ascii="宋体" w:hAnsi="宋体" w:cs="宋体"/>
                <w:sz w:val="21"/>
                <w:szCs w:val="21"/>
              </w:rPr>
            </w:pPr>
            <w:r>
              <w:rPr>
                <w:rFonts w:hint="eastAsia" w:ascii="宋体" w:hAnsi="宋体" w:cs="宋体"/>
                <w:sz w:val="21"/>
                <w:szCs w:val="21"/>
              </w:rPr>
              <w:t>冷藏运输车是否具备自动调控、显示和记录温度状况的功能；疫苗运输车的</w:t>
            </w:r>
            <w:r>
              <w:rPr>
                <w:rFonts w:hint="eastAsia" w:ascii="宋体" w:hAnsi="宋体" w:cs="宋体"/>
                <w:sz w:val="21"/>
                <w:szCs w:val="21"/>
                <w:shd w:val="clear" w:color="auto" w:fill="FFFFFF"/>
              </w:rPr>
              <w:t>车载冷藏箱及保温箱的补充更新是否选用具有外部显示和采集箱体内温度数据的功能。</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9" w:type="dxa"/>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5</w:t>
            </w:r>
          </w:p>
        </w:tc>
        <w:tc>
          <w:tcPr>
            <w:tcW w:w="6685" w:type="dxa"/>
            <w:gridSpan w:val="2"/>
            <w:noWrap w:val="0"/>
            <w:vAlign w:val="center"/>
          </w:tcPr>
          <w:p>
            <w:pPr>
              <w:spacing w:line="260" w:lineRule="exact"/>
              <w:rPr>
                <w:rFonts w:hint="eastAsia" w:ascii="宋体" w:hAnsi="宋体" w:cs="宋体"/>
                <w:color w:val="000000"/>
                <w:szCs w:val="21"/>
              </w:rPr>
            </w:pPr>
            <w:r>
              <w:rPr>
                <w:rFonts w:hint="eastAsia" w:ascii="宋体" w:hAnsi="宋体" w:cs="宋体"/>
                <w:szCs w:val="21"/>
              </w:rPr>
              <w:t>冰箱的补充、更新是否选用具备医疗器械注册证的</w:t>
            </w:r>
            <w:r>
              <w:rPr>
                <w:rFonts w:hint="eastAsia" w:ascii="宋体" w:hAnsi="宋体" w:cs="宋体"/>
                <w:b/>
                <w:bCs/>
                <w:szCs w:val="21"/>
              </w:rPr>
              <w:t>医用冰箱；</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19" w:type="dxa"/>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6</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szCs w:val="21"/>
              </w:rPr>
              <w:t>在购进疫苗时，是否索取疫苗生产企业或疫苗配送企业提供的《生物制品批签发证明》复印件，进口疫苗《进口药品通关单》复印件，供货单位运输全过程疫苗温度自动监测记录单等资料；</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9" w:type="dxa"/>
            <w:noWrap w:val="0"/>
            <w:vAlign w:val="center"/>
          </w:tcPr>
          <w:p>
            <w:pPr>
              <w:spacing w:line="260" w:lineRule="exact"/>
              <w:jc w:val="center"/>
              <w:rPr>
                <w:rFonts w:hint="eastAsia" w:ascii="宋体" w:hAnsi="宋体" w:cs="宋体"/>
                <w:b/>
                <w:color w:val="000000"/>
                <w:szCs w:val="21"/>
              </w:rPr>
            </w:pPr>
            <w:r>
              <w:rPr>
                <w:rFonts w:hint="eastAsia" w:ascii="宋体" w:hAnsi="宋体" w:cs="宋体"/>
                <w:b/>
                <w:color w:val="000000"/>
                <w:szCs w:val="21"/>
              </w:rPr>
              <w:t>7</w:t>
            </w:r>
          </w:p>
        </w:tc>
        <w:tc>
          <w:tcPr>
            <w:tcW w:w="6685" w:type="dxa"/>
            <w:gridSpan w:val="2"/>
            <w:noWrap w:val="0"/>
            <w:vAlign w:val="center"/>
          </w:tcPr>
          <w:p>
            <w:pPr>
              <w:spacing w:line="260" w:lineRule="exact"/>
              <w:rPr>
                <w:rFonts w:hint="eastAsia" w:ascii="宋体" w:hAnsi="宋体" w:cs="宋体"/>
                <w:color w:val="000000"/>
                <w:szCs w:val="21"/>
              </w:rPr>
            </w:pPr>
            <w:r>
              <w:rPr>
                <w:rFonts w:hint="eastAsia" w:ascii="宋体" w:hAnsi="宋体" w:cs="宋体"/>
                <w:szCs w:val="21"/>
              </w:rPr>
              <w:t>是否按规定如实、规范记录疫苗储存、运输过程温度监测数据；</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8</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szCs w:val="21"/>
              </w:rPr>
              <w:t>在疫苗储存过程，在采取自动温度监测措施的基础上，是否对冷库、冰箱同时每天上午和下午至少在“冷链设备温度记录表”（见附件2）上各进行一次人工温度记录（间隔不少于 6小时）；</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szCs w:val="21"/>
              </w:rPr>
              <w:t>9</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szCs w:val="21"/>
              </w:rPr>
              <w:t>在疫苗运输过程，是否填写“疫苗运输温度记录表”，完整、规范、如实记录</w:t>
            </w:r>
            <w:r>
              <w:rPr>
                <w:rFonts w:hint="eastAsia" w:ascii="宋体" w:hAnsi="宋体" w:cs="宋体"/>
                <w:b/>
                <w:bCs/>
                <w:szCs w:val="21"/>
              </w:rPr>
              <w:t>“疫苗运输工具、疫苗冷藏方式、疫苗名称、生产企业、规格、批号、有效期、数量、用途、启运和到达时间、启运和到达时的疫苗储存温度和环境温度、启运至到达行驶里程、送/收疫苗单位、送/收疫苗人签名”</w:t>
            </w:r>
            <w:r>
              <w:rPr>
                <w:rFonts w:hint="eastAsia" w:ascii="宋体" w:hAnsi="宋体" w:cs="宋体"/>
                <w:szCs w:val="21"/>
              </w:rPr>
              <w:t>等内容；</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9" w:type="dxa"/>
            <w:noWrap w:val="0"/>
            <w:vAlign w:val="center"/>
          </w:tcPr>
          <w:p>
            <w:pPr>
              <w:spacing w:line="260" w:lineRule="exact"/>
              <w:jc w:val="center"/>
              <w:rPr>
                <w:rFonts w:hint="eastAsia" w:ascii="宋体" w:hAnsi="宋体" w:cs="宋体"/>
                <w:b/>
                <w:szCs w:val="21"/>
              </w:rPr>
            </w:pPr>
            <w:r>
              <w:rPr>
                <w:rFonts w:hint="eastAsia" w:ascii="宋体" w:hAnsi="宋体" w:cs="宋体"/>
                <w:b/>
                <w:kern w:val="0"/>
                <w:szCs w:val="21"/>
              </w:rPr>
              <w:t>10</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szCs w:val="21"/>
              </w:rPr>
              <w:t>疫苗出库，是否按</w:t>
            </w:r>
            <w:r>
              <w:rPr>
                <w:rFonts w:hint="eastAsia" w:ascii="宋体" w:hAnsi="宋体" w:cs="宋体"/>
                <w:b/>
                <w:bCs/>
                <w:szCs w:val="21"/>
              </w:rPr>
              <w:t>“先短效期，后长效期”</w:t>
            </w:r>
            <w:r>
              <w:rPr>
                <w:rFonts w:hint="eastAsia" w:ascii="宋体" w:hAnsi="宋体" w:cs="宋体"/>
                <w:szCs w:val="21"/>
              </w:rPr>
              <w:t>和同批疫苗“先入库、先出库”的原则供应、分发疫苗；</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9" w:type="dxa"/>
            <w:noWrap w:val="0"/>
            <w:vAlign w:val="center"/>
          </w:tcPr>
          <w:p>
            <w:pPr>
              <w:spacing w:line="260" w:lineRule="exact"/>
              <w:jc w:val="center"/>
              <w:rPr>
                <w:rFonts w:hint="eastAsia" w:ascii="宋体" w:hAnsi="宋体" w:cs="宋体"/>
                <w:b/>
                <w:kern w:val="0"/>
                <w:szCs w:val="21"/>
              </w:rPr>
            </w:pPr>
            <w:r>
              <w:rPr>
                <w:rFonts w:hint="eastAsia" w:ascii="宋体" w:hAnsi="宋体" w:cs="宋体"/>
                <w:b/>
                <w:kern w:val="0"/>
                <w:szCs w:val="21"/>
              </w:rPr>
              <w:t>11</w:t>
            </w:r>
          </w:p>
        </w:tc>
        <w:tc>
          <w:tcPr>
            <w:tcW w:w="6685" w:type="dxa"/>
            <w:gridSpan w:val="2"/>
            <w:noWrap w:val="0"/>
            <w:vAlign w:val="top"/>
          </w:tcPr>
          <w:p>
            <w:pPr>
              <w:pStyle w:val="5"/>
              <w:shd w:val="clear" w:color="auto" w:fill="FFFFFF"/>
              <w:spacing w:line="260" w:lineRule="exact"/>
              <w:rPr>
                <w:rFonts w:hint="eastAsia" w:ascii="宋体" w:hAnsi="宋体" w:cs="宋体"/>
                <w:sz w:val="21"/>
                <w:szCs w:val="21"/>
              </w:rPr>
            </w:pPr>
            <w:r>
              <w:rPr>
                <w:rFonts w:hint="eastAsia" w:ascii="宋体" w:hAnsi="宋体" w:cs="宋体"/>
                <w:color w:val="000000"/>
                <w:sz w:val="21"/>
                <w:szCs w:val="21"/>
              </w:rPr>
              <w:t>是否按要求审核疫苗的最小包装赋码情况，做到见码必扫，并及时将追溯信息上传到疫苗追溯协同服务平台。</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9" w:type="dxa"/>
            <w:noWrap w:val="0"/>
            <w:vAlign w:val="center"/>
          </w:tcPr>
          <w:p>
            <w:pPr>
              <w:spacing w:line="260" w:lineRule="exact"/>
              <w:jc w:val="center"/>
              <w:rPr>
                <w:rFonts w:hint="eastAsia" w:ascii="宋体" w:hAnsi="宋体" w:cs="宋体"/>
                <w:b/>
                <w:kern w:val="0"/>
                <w:szCs w:val="21"/>
              </w:rPr>
            </w:pPr>
            <w:r>
              <w:rPr>
                <w:rFonts w:hint="eastAsia" w:ascii="宋体" w:hAnsi="宋体" w:cs="宋体"/>
                <w:b/>
                <w:kern w:val="0"/>
                <w:szCs w:val="21"/>
              </w:rPr>
              <w:t>12</w:t>
            </w:r>
          </w:p>
        </w:tc>
        <w:tc>
          <w:tcPr>
            <w:tcW w:w="6685" w:type="dxa"/>
            <w:gridSpan w:val="2"/>
            <w:noWrap w:val="0"/>
            <w:vAlign w:val="top"/>
          </w:tcPr>
          <w:p>
            <w:pPr>
              <w:pStyle w:val="5"/>
              <w:shd w:val="clear" w:color="auto" w:fill="FFFFFF"/>
              <w:spacing w:line="260" w:lineRule="exact"/>
              <w:rPr>
                <w:rFonts w:hint="eastAsia" w:ascii="宋体" w:hAnsi="宋体" w:cs="宋体"/>
                <w:sz w:val="21"/>
                <w:szCs w:val="21"/>
              </w:rPr>
            </w:pPr>
            <w:r>
              <w:rPr>
                <w:rFonts w:hint="eastAsia" w:ascii="宋体" w:hAnsi="宋体" w:cs="宋体"/>
                <w:b/>
                <w:bCs/>
                <w:sz w:val="21"/>
                <w:szCs w:val="21"/>
              </w:rPr>
              <w:t>不合格疫苗处理程序</w:t>
            </w:r>
            <w:r>
              <w:rPr>
                <w:rFonts w:hint="eastAsia" w:ascii="宋体" w:hAnsi="宋体" w:cs="宋体"/>
                <w:sz w:val="21"/>
                <w:szCs w:val="21"/>
              </w:rPr>
              <w:t>、手续是否合规、规范，是否标注相应警示标志，是否实行统一管理、统一回收、如实登记，是否</w:t>
            </w:r>
            <w:r>
              <w:rPr>
                <w:rFonts w:hint="eastAsia" w:ascii="宋体" w:hAnsi="宋体" w:cs="宋体"/>
                <w:color w:val="333333"/>
                <w:sz w:val="21"/>
                <w:szCs w:val="21"/>
                <w:shd w:val="clear" w:color="auto" w:fill="FFFFFF"/>
              </w:rPr>
              <w:t>向所在地药品监督管理部门报告，并</w:t>
            </w:r>
            <w:r>
              <w:rPr>
                <w:rFonts w:hint="eastAsia" w:ascii="宋体" w:hAnsi="宋体" w:cs="宋体"/>
                <w:sz w:val="21"/>
                <w:szCs w:val="21"/>
              </w:rPr>
              <w:t>依法进行销毁处理；</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9" w:type="dxa"/>
            <w:noWrap w:val="0"/>
            <w:vAlign w:val="center"/>
          </w:tcPr>
          <w:p>
            <w:pPr>
              <w:spacing w:line="260" w:lineRule="exact"/>
              <w:jc w:val="center"/>
              <w:rPr>
                <w:rFonts w:hint="eastAsia" w:ascii="宋体" w:hAnsi="宋体" w:cs="宋体"/>
                <w:b/>
                <w:kern w:val="0"/>
                <w:szCs w:val="21"/>
              </w:rPr>
            </w:pPr>
            <w:r>
              <w:rPr>
                <w:rFonts w:hint="eastAsia" w:ascii="宋体" w:hAnsi="宋体" w:cs="宋体"/>
                <w:b/>
                <w:kern w:val="0"/>
                <w:szCs w:val="21"/>
              </w:rPr>
              <w:t>13</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kern w:val="0"/>
                <w:szCs w:val="21"/>
              </w:rPr>
              <w:t>是否建立并留取不合格疫苗登记表、报废清单、报废签批证明等相关资料，如实记录销毁情况，</w:t>
            </w:r>
            <w:r>
              <w:rPr>
                <w:rFonts w:hint="eastAsia" w:ascii="宋体" w:hAnsi="宋体" w:cs="宋体"/>
                <w:szCs w:val="21"/>
              </w:rPr>
              <w:t>销毁记录保存时间不得少于5年；</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9" w:type="dxa"/>
            <w:noWrap w:val="0"/>
            <w:vAlign w:val="center"/>
          </w:tcPr>
          <w:p>
            <w:pPr>
              <w:spacing w:line="260" w:lineRule="exact"/>
              <w:jc w:val="center"/>
              <w:rPr>
                <w:rFonts w:hint="eastAsia" w:ascii="宋体" w:hAnsi="宋体" w:cs="宋体"/>
                <w:b/>
                <w:kern w:val="0"/>
                <w:szCs w:val="21"/>
              </w:rPr>
            </w:pPr>
            <w:r>
              <w:rPr>
                <w:rFonts w:hint="eastAsia" w:ascii="宋体" w:hAnsi="宋体" w:cs="宋体"/>
                <w:b/>
                <w:kern w:val="0"/>
                <w:szCs w:val="21"/>
              </w:rPr>
              <w:t>14</w:t>
            </w:r>
          </w:p>
        </w:tc>
        <w:tc>
          <w:tcPr>
            <w:tcW w:w="6685" w:type="dxa"/>
            <w:gridSpan w:val="2"/>
            <w:noWrap w:val="0"/>
            <w:vAlign w:val="top"/>
          </w:tcPr>
          <w:p>
            <w:pPr>
              <w:spacing w:line="260" w:lineRule="exact"/>
              <w:rPr>
                <w:rFonts w:hint="eastAsia" w:ascii="宋体" w:hAnsi="宋体" w:cs="宋体"/>
                <w:color w:val="000000"/>
                <w:szCs w:val="21"/>
              </w:rPr>
            </w:pPr>
            <w:r>
              <w:rPr>
                <w:rFonts w:hint="eastAsia" w:ascii="宋体" w:hAnsi="宋体" w:cs="宋体"/>
                <w:kern w:val="0"/>
                <w:szCs w:val="21"/>
              </w:rPr>
              <w:t>是否留取</w:t>
            </w:r>
            <w:r>
              <w:rPr>
                <w:rFonts w:hint="eastAsia" w:ascii="宋体" w:hAnsi="宋体" w:cs="宋体"/>
                <w:szCs w:val="21"/>
              </w:rPr>
              <w:t>不合格疫苗毁型、</w:t>
            </w:r>
            <w:r>
              <w:rPr>
                <w:rFonts w:hint="eastAsia" w:ascii="宋体" w:hAnsi="宋体" w:cs="宋体"/>
                <w:kern w:val="0"/>
                <w:szCs w:val="21"/>
              </w:rPr>
              <w:t>销毁现场监管人员监督、</w:t>
            </w:r>
            <w:r>
              <w:rPr>
                <w:rFonts w:hint="eastAsia" w:ascii="宋体" w:hAnsi="宋体" w:cs="宋体"/>
                <w:szCs w:val="21"/>
              </w:rPr>
              <w:t>场景照片、视频，以及具备垃圾处理资质的企业出具的证明性材料等</w:t>
            </w:r>
            <w:r>
              <w:rPr>
                <w:rFonts w:hint="eastAsia" w:ascii="宋体" w:hAnsi="宋体" w:cs="宋体"/>
                <w:kern w:val="0"/>
                <w:szCs w:val="21"/>
              </w:rPr>
              <w:t>佐证资料；</w:t>
            </w:r>
          </w:p>
        </w:tc>
        <w:tc>
          <w:tcPr>
            <w:tcW w:w="1787" w:type="dxa"/>
            <w:noWrap w:val="0"/>
            <w:vAlign w:val="top"/>
          </w:tcPr>
          <w:p>
            <w:pPr>
              <w:spacing w:line="2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22" w:type="dxa"/>
            <w:gridSpan w:val="2"/>
            <w:noWrap w:val="0"/>
            <w:vAlign w:val="center"/>
          </w:tcPr>
          <w:p>
            <w:pPr>
              <w:spacing w:line="220" w:lineRule="exact"/>
              <w:rPr>
                <w:rFonts w:hint="eastAsia" w:ascii="宋体" w:hAnsi="宋体" w:cs="宋体"/>
                <w:color w:val="000000"/>
                <w:szCs w:val="21"/>
              </w:rPr>
            </w:pPr>
            <w:r>
              <w:rPr>
                <w:rFonts w:hint="eastAsia" w:ascii="宋体" w:hAnsi="宋体" w:cs="宋体"/>
                <w:szCs w:val="21"/>
              </w:rPr>
              <w:t>检查结论及处理意见（可另附表）</w:t>
            </w:r>
          </w:p>
        </w:tc>
        <w:tc>
          <w:tcPr>
            <w:tcW w:w="4869" w:type="dxa"/>
            <w:gridSpan w:val="2"/>
            <w:noWrap w:val="0"/>
            <w:vAlign w:val="center"/>
          </w:tcPr>
          <w:p>
            <w:pPr>
              <w:spacing w:line="220" w:lineRule="exact"/>
              <w:ind w:firstLine="88" w:firstLineChars="49"/>
              <w:rPr>
                <w:rFonts w:hint="eastAsia" w:ascii="宋体" w:hAnsi="宋体" w:cs="宋体"/>
                <w:color w:val="000000"/>
                <w:szCs w:val="21"/>
              </w:rPr>
            </w:pPr>
            <w:r>
              <w:rPr>
                <w:rFonts w:hint="eastAsia" w:ascii="宋体" w:hAnsi="宋体" w:cs="宋体"/>
                <w:sz w:val="18"/>
                <w:szCs w:val="18"/>
              </w:rPr>
              <w:t>□符合要求； □限期整改； □立案查处；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322" w:type="dxa"/>
            <w:gridSpan w:val="2"/>
            <w:noWrap w:val="0"/>
            <w:vAlign w:val="center"/>
          </w:tcPr>
          <w:p>
            <w:pPr>
              <w:spacing w:line="260" w:lineRule="exact"/>
              <w:ind w:firstLine="102" w:firstLineChars="49"/>
              <w:rPr>
                <w:rFonts w:hint="eastAsia" w:ascii="宋体" w:hAnsi="宋体" w:cs="宋体"/>
                <w:szCs w:val="21"/>
              </w:rPr>
            </w:pPr>
            <w:r>
              <w:rPr>
                <w:rFonts w:hint="eastAsia" w:ascii="宋体" w:hAnsi="宋体" w:cs="宋体"/>
                <w:szCs w:val="21"/>
              </w:rPr>
              <w:t>检查人员签名：</w:t>
            </w:r>
          </w:p>
          <w:p>
            <w:pPr>
              <w:spacing w:line="260" w:lineRule="exact"/>
              <w:ind w:firstLine="3147" w:firstLineChars="1499"/>
              <w:rPr>
                <w:rFonts w:hint="eastAsia" w:ascii="宋体" w:hAnsi="宋体" w:cs="宋体"/>
                <w:szCs w:val="21"/>
              </w:rPr>
            </w:pPr>
          </w:p>
          <w:p>
            <w:pPr>
              <w:spacing w:line="260" w:lineRule="exact"/>
              <w:ind w:firstLine="2730" w:firstLineChars="1300"/>
              <w:rPr>
                <w:rFonts w:hint="eastAsia" w:ascii="宋体" w:hAnsi="宋体" w:cs="宋体"/>
                <w:color w:val="000000"/>
                <w:szCs w:val="21"/>
              </w:rPr>
            </w:pPr>
            <w:r>
              <w:rPr>
                <w:rFonts w:hint="eastAsia" w:ascii="宋体" w:hAnsi="宋体" w:cs="宋体"/>
                <w:szCs w:val="21"/>
              </w:rPr>
              <w:t>年   月   日</w:t>
            </w:r>
          </w:p>
        </w:tc>
        <w:tc>
          <w:tcPr>
            <w:tcW w:w="4869" w:type="dxa"/>
            <w:gridSpan w:val="2"/>
            <w:noWrap w:val="0"/>
            <w:vAlign w:val="center"/>
          </w:tcPr>
          <w:p>
            <w:pPr>
              <w:spacing w:line="260" w:lineRule="exact"/>
              <w:ind w:firstLine="102" w:firstLineChars="49"/>
              <w:rPr>
                <w:rFonts w:hint="eastAsia" w:ascii="宋体" w:hAnsi="宋体" w:cs="宋体"/>
                <w:szCs w:val="21"/>
              </w:rPr>
            </w:pPr>
            <w:r>
              <w:rPr>
                <w:rFonts w:hint="eastAsia" w:ascii="宋体" w:hAnsi="宋体" w:cs="宋体"/>
                <w:szCs w:val="21"/>
              </w:rPr>
              <w:t>单位法人代表或其授权人签名：</w:t>
            </w:r>
          </w:p>
          <w:p>
            <w:pPr>
              <w:spacing w:line="260" w:lineRule="exact"/>
              <w:ind w:firstLine="102" w:firstLineChars="49"/>
              <w:rPr>
                <w:rFonts w:hint="eastAsia" w:ascii="宋体" w:hAnsi="宋体" w:cs="宋体"/>
                <w:szCs w:val="21"/>
              </w:rPr>
            </w:pPr>
            <w:r>
              <w:rPr>
                <w:rFonts w:hint="eastAsia" w:ascii="宋体" w:hAnsi="宋体" w:cs="宋体"/>
                <w:szCs w:val="21"/>
              </w:rPr>
              <w:t xml:space="preserve">                     </w:t>
            </w:r>
          </w:p>
          <w:p>
            <w:pPr>
              <w:spacing w:line="260" w:lineRule="exact"/>
              <w:ind w:firstLine="102" w:firstLineChars="49"/>
              <w:rPr>
                <w:rFonts w:hint="eastAsia" w:ascii="宋体" w:hAnsi="宋体" w:cs="宋体"/>
                <w:color w:val="000000"/>
                <w:szCs w:val="21"/>
              </w:rPr>
            </w:pPr>
            <w:r>
              <w:rPr>
                <w:rFonts w:hint="eastAsia" w:ascii="宋体" w:hAnsi="宋体" w:cs="宋体"/>
                <w:szCs w:val="21"/>
              </w:rPr>
              <w:t xml:space="preserve">                     年   月   日（章）</w:t>
            </w:r>
          </w:p>
        </w:tc>
      </w:tr>
    </w:tbl>
    <w:p>
      <w:pPr>
        <w:pStyle w:val="2"/>
        <w:ind w:left="0" w:leftChars="0" w:firstLine="0" w:firstLineChars="0"/>
      </w:pPr>
      <w:r>
        <w:rPr>
          <w:rFonts w:hint="eastAsia"/>
          <w:b/>
          <w:bCs/>
        </w:rPr>
        <w:t>备注：</w:t>
      </w:r>
      <w:r>
        <w:rPr>
          <w:rFonts w:hint="eastAsia" w:eastAsia="仿宋_GB2312"/>
          <w:color w:val="000000"/>
          <w:spacing w:val="-10"/>
          <w:kern w:val="0"/>
          <w:szCs w:val="21"/>
        </w:rPr>
        <w:t>此次现场检查发现的问题，不代表你单位存在的所有问题。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2C1B1397"/>
    <w:rsid w:val="2C1B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2022-06-15T01:27:00Z</dcterms:created>
  <dc:creator>心是重生的季节</dc:creator>
  <cp:lastModifiedBy>心是重生的季节</cp:lastModifiedBy>
  <dcterms:modified xsi:type="dcterms:W3CDTF">2022-06-15T01:28:21Z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D34D6FE1C2B544F9A2272CF8848109EA</vt:lpwstr>
  </property>
</Properties>
</file>