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医疗器械安全突发事件分级标准</w:t>
      </w:r>
      <w:bookmarkEnd w:id="0"/>
    </w:p>
    <w:tbl>
      <w:tblPr>
        <w:tblStyle w:val="3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事件类别</w:t>
            </w:r>
          </w:p>
        </w:tc>
        <w:tc>
          <w:tcPr>
            <w:tcW w:w="7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分级标准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特别重大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（Ⅰ级）</w:t>
            </w:r>
          </w:p>
        </w:tc>
        <w:tc>
          <w:tcPr>
            <w:tcW w:w="704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符合下列情形之一的与医疗器械质量相关事件：</w:t>
            </w:r>
          </w:p>
          <w:p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在相对集中的时间和区域内，批号相对集中的同一医疗器械引起临床表现相似的，且罕见的或非预期的不良事件的人数超过50人（含）；或者引起特别严重不良事件（可能对人体造成永久性伤残、对器官功能造成永久性损伤或危及生命）的人数超过10人（含）；</w:t>
            </w:r>
          </w:p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2.同一批号医疗器械短期内引起5人（含）以上患者死亡；</w:t>
            </w:r>
          </w:p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3.短期内2个以上省（区、市）因同一医疗器械发生重大医疗器械安全突发事件；</w:t>
            </w:r>
          </w:p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  <w:szCs w:val="24"/>
                <w:shd w:val="clear" w:color="auto" w:fill="FFFFFF"/>
              </w:rPr>
              <w:t>其他危害特别严重的医疗器械安全突发事件。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重大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（Ⅱ级）</w:t>
            </w:r>
          </w:p>
        </w:tc>
        <w:tc>
          <w:tcPr>
            <w:tcW w:w="704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符合下列情形之一的与医疗器械质量相关事件：</w:t>
            </w:r>
          </w:p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1.在相对集中的时间和区域内，批号相对集中的同一医疗器械引起临床表现相似的，且罕见的或非预期的不良事件的人数超过30人（含），少于50人；或者引起特别严重不良事件（可能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kern w:val="0"/>
                <w:sz w:val="24"/>
                <w:szCs w:val="24"/>
                <w:shd w:val="clear" w:color="auto" w:fill="FFFFFF"/>
              </w:rPr>
              <w:t>对人体造成永久性伤残、对器官功能造成永久性损伤或危及生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命）的人数超过5人（含）；</w:t>
            </w:r>
          </w:p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2.同一批号医疗器械短期内引起2人以上、5人以下患者死亡，且在同一区域内同时出现其他类似病例；</w:t>
            </w:r>
          </w:p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3.短期内1个省（区、市）内2个以上市(地)因同一医疗器械发生较大医疗器械安全突发事件；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4.其他危害严重的医疗器械安全突发事件。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较大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（Ⅲ级）</w:t>
            </w:r>
          </w:p>
        </w:tc>
        <w:tc>
          <w:tcPr>
            <w:tcW w:w="7047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  <w:szCs w:val="24"/>
                <w:shd w:val="clear" w:color="auto" w:fill="FFFFFF"/>
              </w:rPr>
              <w:t>合下列情形之一的与医疗器械质量相关事件：</w:t>
            </w:r>
          </w:p>
          <w:p>
            <w:pPr>
              <w:numPr>
                <w:ilvl w:val="0"/>
                <w:numId w:val="2"/>
              </w:numPr>
              <w:shd w:val="solid" w:color="FFFFFF" w:fill="auto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在相对集中的时间和区域内，批号相对集中的同一医疗器械引起临床表现相似的，且罕见的或非预期的不良事件的人数超过20人（含），少于30人；或者引起特别严重不良事件（可能对人体造成永久性伤残、对器官功能造成永久性损伤或危及生命）的人数超过3人（含）；</w:t>
            </w:r>
          </w:p>
          <w:p>
            <w:pPr>
              <w:numPr>
                <w:ilvl w:val="0"/>
                <w:numId w:val="2"/>
              </w:numPr>
              <w:shd w:val="solid" w:color="FFFFFF" w:fill="auto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同一批号医疗器械短期内引起2人（含）以下患者死亡，且在同一区域内同时出现其他类似病例；</w:t>
            </w:r>
          </w:p>
          <w:p>
            <w:pPr>
              <w:shd w:val="solid" w:color="FFFFFF" w:fill="auto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3.短期内1个市（地）内2个以上县（市、区）因同一医疗器械发生一般安全突发事件；</w:t>
            </w:r>
          </w:p>
          <w:p>
            <w:pPr>
              <w:shd w:val="solid" w:color="FFFFFF" w:fill="auto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4.其他危害较大的医疗器械安全突发事件。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一般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（Ⅳ级）</w:t>
            </w:r>
          </w:p>
        </w:tc>
        <w:tc>
          <w:tcPr>
            <w:tcW w:w="704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9"/>
                <w:kern w:val="0"/>
                <w:sz w:val="24"/>
                <w:szCs w:val="24"/>
                <w:shd w:val="clear" w:color="auto" w:fill="FFFFFF"/>
              </w:rPr>
              <w:t>合下列情形之一的与医疗器械质量相关事件：</w:t>
            </w:r>
          </w:p>
          <w:p>
            <w:pPr>
              <w:shd w:val="solid" w:color="FFFFFF" w:fill="auto"/>
              <w:autoSpaceDN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1.在相对集中的时间和区域内，批号相对集中的同一医疗器械引起临床表现相似的，且罕见的或非预期的不良事件的人数超过10人（含），少于20人；或者引起特别严重不良事件（可能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kern w:val="0"/>
                <w:sz w:val="24"/>
                <w:szCs w:val="24"/>
                <w:shd w:val="clear" w:color="auto" w:fill="FFFFFF"/>
              </w:rPr>
              <w:t>对人体造成永久性伤残、对器官功能造成永久性损伤或危及生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命）的人数超过2人（含）；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2.其他一般医疗器械安全突发事件。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F57C2"/>
    <w:multiLevelType w:val="singleLevel"/>
    <w:tmpl w:val="603F57C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5AA6D8"/>
    <w:multiLevelType w:val="singleLevel"/>
    <w:tmpl w:val="605AA6D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1CCE"/>
    <w:rsid w:val="52C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2021-09-22T03:15:00Z</dcterms:created>
  <dc:creator>黄月柔-</dc:creator>
  <cp:lastModifiedBy>黄月柔-</cp:lastModifiedBy>
  <dcterms:modified xsi:type="dcterms:W3CDTF">2021-09-22T03:15:36Z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7E2C2BCFE54646E2AB394CF847840F2C</vt:lpwstr>
  </property>
</Properties>
</file>