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28"/>
          <w:szCs w:val="28"/>
        </w:rPr>
      </w:pPr>
      <w:r>
        <w:rPr>
          <w:rFonts w:hint="eastAsia" w:ascii="黑体" w:hAnsi="黑体" w:eastAsia="黑体" w:cs="黑体"/>
          <w:sz w:val="28"/>
          <w:szCs w:val="28"/>
        </w:rPr>
        <w:t>附件2：</w:t>
      </w:r>
    </w:p>
    <w:p>
      <w:pPr>
        <w:spacing w:line="560" w:lineRule="exact"/>
        <w:jc w:val="center"/>
        <w:rPr>
          <w:rFonts w:hint="eastAsia" w:ascii="黑体" w:hAnsi="黑体" w:eastAsia="黑体" w:cs="黑体"/>
          <w:sz w:val="36"/>
          <w:szCs w:val="36"/>
        </w:rPr>
      </w:pPr>
      <w:bookmarkStart w:id="0" w:name="_GoBack"/>
      <w:r>
        <w:rPr>
          <w:rFonts w:hint="eastAsia" w:ascii="黑体" w:hAnsi="黑体" w:eastAsia="黑体" w:cs="黑体"/>
          <w:sz w:val="36"/>
          <w:szCs w:val="36"/>
        </w:rPr>
        <w:t>化妆品安全突发事件分级标准</w:t>
      </w:r>
    </w:p>
    <w:bookmarkEnd w:id="0"/>
    <w:tbl>
      <w:tblPr>
        <w:tblStyle w:val="3"/>
        <w:tblW w:w="8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6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26" w:type="dxa"/>
            <w:noWrap w:val="0"/>
            <w:vAlign w:val="center"/>
          </w:tcPr>
          <w:p>
            <w:pPr>
              <w:spacing w:line="400" w:lineRule="exact"/>
              <w:jc w:val="center"/>
              <w:rPr>
                <w:rFonts w:hint="eastAsia" w:ascii="仿宋_GB2312" w:hAnsi="仿宋_GB2312" w:eastAsia="仿宋_GB2312" w:cs="仿宋_GB2312"/>
                <w:b/>
                <w:bCs/>
                <w:sz w:val="24"/>
                <w:szCs w:val="24"/>
                <w:lang w:val="zh-CN"/>
              </w:rPr>
            </w:pPr>
            <w:r>
              <w:rPr>
                <w:rFonts w:hint="eastAsia" w:ascii="仿宋_GB2312" w:hAnsi="仿宋_GB2312" w:eastAsia="仿宋_GB2312" w:cs="仿宋_GB2312"/>
                <w:b/>
                <w:bCs/>
                <w:sz w:val="24"/>
                <w:szCs w:val="24"/>
                <w:lang w:val="zh-CN"/>
              </w:rPr>
              <w:t>事件类别</w:t>
            </w:r>
          </w:p>
        </w:tc>
        <w:tc>
          <w:tcPr>
            <w:tcW w:w="6859" w:type="dxa"/>
            <w:noWrap w:val="0"/>
            <w:vAlign w:val="center"/>
          </w:tcPr>
          <w:p>
            <w:pPr>
              <w:spacing w:line="400" w:lineRule="exact"/>
              <w:jc w:val="center"/>
              <w:rPr>
                <w:rFonts w:hint="eastAsia" w:ascii="仿宋_GB2312" w:hAnsi="仿宋_GB2312" w:eastAsia="仿宋_GB2312" w:cs="仿宋_GB2312"/>
                <w:b/>
                <w:bCs/>
                <w:sz w:val="24"/>
                <w:szCs w:val="24"/>
                <w:lang w:val="zh-CN"/>
              </w:rPr>
            </w:pPr>
            <w:r>
              <w:rPr>
                <w:rFonts w:hint="eastAsia" w:ascii="仿宋_GB2312" w:hAnsi="仿宋_GB2312" w:eastAsia="仿宋_GB2312" w:cs="仿宋_GB2312"/>
                <w:b/>
                <w:bCs/>
                <w:sz w:val="24"/>
                <w:szCs w:val="24"/>
                <w:lang w:val="zh-CN"/>
              </w:rPr>
              <w:t>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noWrap w:val="0"/>
            <w:vAlign w:val="center"/>
          </w:tcPr>
          <w:p>
            <w:pPr>
              <w:spacing w:line="30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特别重大</w:t>
            </w:r>
          </w:p>
          <w:p>
            <w:pPr>
              <w:spacing w:line="300" w:lineRule="exact"/>
              <w:jc w:val="center"/>
              <w:rPr>
                <w:rFonts w:hint="eastAsia" w:ascii="仿宋_GB2312" w:hAnsi="仿宋_GB2312" w:eastAsia="仿宋_GB2312" w:cs="仿宋_GB2312"/>
                <w:b/>
                <w:bCs/>
                <w:kern w:val="0"/>
                <w:sz w:val="24"/>
                <w:szCs w:val="24"/>
                <w:lang w:val="zh-CN"/>
              </w:rPr>
            </w:pPr>
            <w:r>
              <w:rPr>
                <w:rFonts w:hint="eastAsia" w:ascii="仿宋_GB2312" w:hAnsi="仿宋_GB2312" w:eastAsia="仿宋_GB2312" w:cs="仿宋_GB2312"/>
                <w:b/>
                <w:bCs/>
                <w:kern w:val="0"/>
                <w:sz w:val="24"/>
                <w:szCs w:val="24"/>
              </w:rPr>
              <w:t>（Ⅰ级）</w:t>
            </w:r>
          </w:p>
        </w:tc>
        <w:tc>
          <w:tcPr>
            <w:tcW w:w="6859" w:type="dxa"/>
            <w:noWrap w:val="0"/>
            <w:vAlign w:val="top"/>
          </w:tcPr>
          <w:p>
            <w:pPr>
              <w:spacing w:line="400" w:lineRule="exac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符合下列情形之一的事件：</w:t>
            </w:r>
          </w:p>
          <w:p>
            <w:pPr>
              <w:spacing w:line="400" w:lineRule="exac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1.有证据表明因使用化妆品而导致1人（含）及以上死亡的；</w:t>
            </w:r>
          </w:p>
          <w:p>
            <w:pPr>
              <w:spacing w:line="400" w:lineRule="exac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2.在相对集中的时间，因使用同一注册人、备案人的化妆品在2个（含）以上省份引发重大化妆品安全突发事件的；</w:t>
            </w:r>
          </w:p>
          <w:p>
            <w:pPr>
              <w:spacing w:line="400" w:lineRule="exac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3.同一注册人、备案人的化妆品因质量安全引发舆情事件、国务院领导批示的化妆品安全突发事件。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noWrap w:val="0"/>
            <w:vAlign w:val="center"/>
          </w:tcPr>
          <w:p>
            <w:pPr>
              <w:spacing w:line="30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重大</w:t>
            </w:r>
          </w:p>
          <w:p>
            <w:pPr>
              <w:spacing w:line="300" w:lineRule="exact"/>
              <w:jc w:val="center"/>
              <w:rPr>
                <w:rFonts w:hint="eastAsia" w:ascii="仿宋_GB2312" w:hAnsi="仿宋_GB2312" w:eastAsia="仿宋_GB2312" w:cs="仿宋_GB2312"/>
                <w:b/>
                <w:bCs/>
                <w:kern w:val="0"/>
                <w:sz w:val="24"/>
                <w:szCs w:val="24"/>
                <w:lang w:val="zh-CN"/>
              </w:rPr>
            </w:pPr>
            <w:r>
              <w:rPr>
                <w:rFonts w:hint="eastAsia" w:ascii="仿宋_GB2312" w:hAnsi="仿宋_GB2312" w:eastAsia="仿宋_GB2312" w:cs="仿宋_GB2312"/>
                <w:b/>
                <w:bCs/>
                <w:kern w:val="0"/>
                <w:sz w:val="24"/>
                <w:szCs w:val="24"/>
              </w:rPr>
              <w:t>（Ⅱ级）</w:t>
            </w:r>
          </w:p>
        </w:tc>
        <w:tc>
          <w:tcPr>
            <w:tcW w:w="6859" w:type="dxa"/>
            <w:noWrap w:val="0"/>
            <w:vAlign w:val="top"/>
          </w:tcPr>
          <w:p>
            <w:pPr>
              <w:spacing w:line="400" w:lineRule="exac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符合下列情形之一的事件：</w:t>
            </w:r>
          </w:p>
          <w:p>
            <w:pPr>
              <w:spacing w:line="400" w:lineRule="exac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1.在相对集中的时间，经医疗机构确认，因使用同一品牌的化妆品而导致30例消费者产生严重不良反应、未出现死亡的；</w:t>
            </w:r>
          </w:p>
          <w:p>
            <w:pPr>
              <w:spacing w:line="400" w:lineRule="exac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2.在相对集中的时间和区域，因使用同一注册人、备案人的化妆品在1个省（直辖市、自治区）内2个（含）以上市（地）引发较大化妆品安全突发事件的；</w:t>
            </w:r>
          </w:p>
          <w:p>
            <w:pPr>
              <w:spacing w:line="400" w:lineRule="exac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3.同一注册人、备案人的化妆品因质量安全引发国家级媒体关注报道且引发社会广泛关注的舆情事件；</w:t>
            </w:r>
          </w:p>
          <w:p>
            <w:pPr>
              <w:spacing w:line="400" w:lineRule="exac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4.省级药品监管部门认为应采取Ⅱ级应急响应措施的化妆品安全突发事件。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noWrap w:val="0"/>
            <w:vAlign w:val="center"/>
          </w:tcPr>
          <w:p>
            <w:pPr>
              <w:spacing w:line="30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较大</w:t>
            </w:r>
          </w:p>
          <w:p>
            <w:pPr>
              <w:spacing w:line="300" w:lineRule="exact"/>
              <w:jc w:val="center"/>
              <w:rPr>
                <w:rFonts w:hint="eastAsia" w:ascii="仿宋_GB2312" w:hAnsi="仿宋_GB2312" w:eastAsia="仿宋_GB2312" w:cs="仿宋_GB2312"/>
                <w:b/>
                <w:bCs/>
                <w:kern w:val="0"/>
                <w:sz w:val="24"/>
                <w:szCs w:val="24"/>
                <w:lang w:val="zh-CN"/>
              </w:rPr>
            </w:pPr>
            <w:r>
              <w:rPr>
                <w:rFonts w:hint="eastAsia" w:ascii="仿宋_GB2312" w:hAnsi="仿宋_GB2312" w:eastAsia="仿宋_GB2312" w:cs="仿宋_GB2312"/>
                <w:b/>
                <w:bCs/>
                <w:kern w:val="0"/>
                <w:sz w:val="24"/>
                <w:szCs w:val="24"/>
              </w:rPr>
              <w:t>（Ⅲ级）</w:t>
            </w:r>
          </w:p>
        </w:tc>
        <w:tc>
          <w:tcPr>
            <w:tcW w:w="6859" w:type="dxa"/>
            <w:noWrap w:val="0"/>
            <w:vAlign w:val="top"/>
          </w:tcPr>
          <w:p>
            <w:pPr>
              <w:spacing w:line="400" w:lineRule="exac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符合下列情形之一的事件：</w:t>
            </w:r>
          </w:p>
          <w:p>
            <w:pPr>
              <w:spacing w:line="400" w:lineRule="exac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1.在相对集中的时间和区域，经医疗机构确认，因使用同一品牌的化妆品而导致20例消费者产生严重不良反应、未出现死亡的；</w:t>
            </w:r>
          </w:p>
          <w:p>
            <w:pPr>
              <w:spacing w:line="400" w:lineRule="exac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2.在相对集中时间，因使用同一注册人、备案人的化妆品在1个市（地）内2个（含）以上市（县）引发一般化妆品安全突发事件的；</w:t>
            </w:r>
          </w:p>
          <w:p>
            <w:pPr>
              <w:spacing w:line="400" w:lineRule="exac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3.属地监管部门认为应采取Ⅲ级应急响应措施的化妆品安全突发事件。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noWrap w:val="0"/>
            <w:vAlign w:val="center"/>
          </w:tcPr>
          <w:p>
            <w:pPr>
              <w:spacing w:line="30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一般</w:t>
            </w:r>
          </w:p>
          <w:p>
            <w:pPr>
              <w:spacing w:line="300" w:lineRule="exact"/>
              <w:jc w:val="center"/>
              <w:rPr>
                <w:rFonts w:hint="eastAsia" w:ascii="仿宋_GB2312" w:hAnsi="仿宋_GB2312" w:eastAsia="仿宋_GB2312" w:cs="仿宋_GB2312"/>
                <w:b/>
                <w:bCs/>
                <w:kern w:val="0"/>
                <w:sz w:val="24"/>
                <w:szCs w:val="24"/>
                <w:lang w:val="zh-CN"/>
              </w:rPr>
            </w:pPr>
            <w:r>
              <w:rPr>
                <w:rFonts w:hint="eastAsia" w:ascii="仿宋_GB2312" w:hAnsi="仿宋_GB2312" w:eastAsia="仿宋_GB2312" w:cs="仿宋_GB2312"/>
                <w:b/>
                <w:bCs/>
                <w:kern w:val="0"/>
                <w:sz w:val="24"/>
                <w:szCs w:val="24"/>
              </w:rPr>
              <w:t>（Ⅳ级）</w:t>
            </w:r>
          </w:p>
        </w:tc>
        <w:tc>
          <w:tcPr>
            <w:tcW w:w="6859" w:type="dxa"/>
            <w:noWrap w:val="0"/>
            <w:vAlign w:val="top"/>
          </w:tcPr>
          <w:p>
            <w:pPr>
              <w:spacing w:line="400" w:lineRule="exac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符合下列情形之一的与药品质量相关事件：</w:t>
            </w:r>
          </w:p>
          <w:p>
            <w:pPr>
              <w:spacing w:line="400" w:lineRule="exac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1.在相对集中的时间，经医疗机构确认，因使用同一品牌的化妆品在本辖区内导致10例消费者产生严重不良反应、未出现死亡的；</w:t>
            </w:r>
          </w:p>
          <w:p>
            <w:pPr>
              <w:spacing w:line="400" w:lineRule="exac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2.属地监管部门认为应采取Ⅳ级应急响应措施的化妆品安全突发事件。</w:t>
            </w:r>
          </w:p>
        </w:tc>
      </w:tr>
    </w:tbl>
    <w:p/>
    <w:sectPr>
      <w:pgSz w:w="11906" w:h="16838"/>
      <w:pgMar w:top="1134" w:right="1134" w:bottom="1134"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290A76"/>
    <w:rsid w:val="1E290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240" w:lineRule="atLeast"/>
      <w:ind w:firstLine="420"/>
    </w:pPr>
    <w:rPr>
      <w:rFonts w:ascii="Verdana" w:hAnsi="Verdana" w:eastAsia="仿宋_GB2312" w:cs="宋体"/>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2021-09-22T03:14:00Z</dcterms:created>
  <dc:creator>黄月柔-</dc:creator>
  <cp:lastModifiedBy>黄月柔-</cp:lastModifiedBy>
  <dcterms:modified xsi:type="dcterms:W3CDTF">2021-09-22T03:15:08Z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A4A65BE8F71548B9A78E589B7C574EEE</vt:lpwstr>
  </property>
</Properties>
</file>