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widowControl/>
        <w:shd w:val="clear" w:color="auto" w:fill="FFFFFF"/>
        <w:spacing w:line="420" w:lineRule="atLeast"/>
        <w:jc w:val="center"/>
        <w:rPr>
          <w:rFonts w:ascii="黑体" w:hAnsi="黑体" w:eastAsia="黑体"/>
          <w:color w:val="333333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</w:rPr>
        <w:t>药品安全突发事件分级标准</w:t>
      </w:r>
    </w:p>
    <w:bookmarkEnd w:id="0"/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851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67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1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级 别</w:t>
            </w:r>
          </w:p>
        </w:tc>
        <w:tc>
          <w:tcPr>
            <w:tcW w:w="67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标  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9" w:hRule="atLeast"/>
          <w:jc w:val="center"/>
        </w:trPr>
        <w:tc>
          <w:tcPr>
            <w:tcW w:w="18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特别重大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（Ⅰ级）</w:t>
            </w:r>
          </w:p>
        </w:tc>
        <w:tc>
          <w:tcPr>
            <w:tcW w:w="67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50人（含）；或者引起特别严重不良事件（可能对人体造成永久性伤残、对器官功能造成永久性损伤或危及生命）的人数超过10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（2）同一批号药品短期内引起3例（含）以上患者死亡；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（3）短期内2个以上省（区、市）因同一药品发生Ⅱ级药品安全突发事件；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（4）其他危害特别严重的药品安全突发事件。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4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重大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（Ⅱ级）</w:t>
            </w:r>
          </w:p>
        </w:tc>
        <w:tc>
          <w:tcPr>
            <w:tcW w:w="6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30人（含），少于50人；或者引起特别严重不良事件（可能对人体造成永久性伤残、对器官功能造成永久性损伤或危及生命），涉及人数超过5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（2）同一批号药品短期内引起1至2例患者死亡，且在同一区域内同时出现其他类似病例；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（3）短期内1个省（区、市）内2个以上市(地)因同一药品发生Ⅲ级药品安全突发事件；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（4）其他危害严重的重大药品安全突发事件。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较大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（Ⅲ级）</w:t>
            </w:r>
          </w:p>
        </w:tc>
        <w:tc>
          <w:tcPr>
            <w:tcW w:w="6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20人（含），少于30人；或者引起特别严重不良事件（可能对人体造成永久性伤残、对器官功能造成永久性损伤或危及生命），涉及人数超过3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（2）短期内1个市（地）内2个以上县（市）因同一药品发生Ⅳ级药品安全突发事件；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（3）其他危害较大的药品安全突发事件。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 w:hRule="atLeast"/>
          <w:jc w:val="center"/>
        </w:trPr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（Ⅳ级）</w:t>
            </w:r>
          </w:p>
        </w:tc>
        <w:tc>
          <w:tcPr>
            <w:tcW w:w="6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1）在相对集中的时间和（或）区域内，批号相对集中的同一药品引起临床表现相似的，且罕见的或非预期的不良事件的人数超过10人（含），少于20人；或者引起特别严重不良事件（可能对人体造成永久性伤残、对器官功能造成永久性损伤或危及生命），涉及人数超过2人（含）；</w:t>
            </w:r>
          </w:p>
          <w:p>
            <w:pPr>
              <w:widowControl/>
              <w:spacing w:line="3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（2）其他一般药品安全突发事件。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317A6"/>
    <w:rsid w:val="0DE3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240" w:lineRule="atLeast"/>
      <w:ind w:firstLine="420"/>
    </w:pPr>
    <w:rPr>
      <w:rFonts w:ascii="Verdana" w:hAnsi="Verdana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2021-09-22T03:13:00Z</dcterms:created>
  <dc:creator>黄月柔-</dc:creator>
  <cp:lastModifiedBy>黄月柔-</cp:lastModifiedBy>
  <dcterms:modified xsi:type="dcterms:W3CDTF">2021-09-22T03:14:08Z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C7D064D80E704F148BC0D1C83097D115</vt:lpwstr>
  </property>
</Properties>
</file>