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right="0"/>
        <w:jc w:val="center"/>
        <w:textAlignment w:val="auto"/>
        <w:rPr>
          <w:rFonts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民政局2020年政</w:t>
      </w:r>
      <w:bookmarkStart w:id="0" w:name="_GoBack"/>
      <w:bookmarkEnd w:id="0"/>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府信息公开工作年度报告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jc w:val="both"/>
        <w:textAlignment w:val="auto"/>
        <w:rPr>
          <w:rFonts w:ascii="仿宋_GB2312" w:hAnsi="宋体" w:eastAsia="仿宋_GB2312" w:cs="仿宋_GB2312"/>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jc w:val="both"/>
        <w:textAlignment w:val="auto"/>
        <w:rPr>
          <w:rFonts w:hint="eastAsia" w:ascii="宋体" w:hAnsi="宋体" w:eastAsia="宋体" w:cs="宋体"/>
          <w:i w:val="0"/>
          <w:iCs w:val="0"/>
          <w:caps w:val="0"/>
          <w:color w:val="333333"/>
          <w:spacing w:val="0"/>
          <w:sz w:val="24"/>
          <w:szCs w:val="24"/>
        </w:rPr>
      </w:pPr>
      <w:r>
        <w:rPr>
          <w:rFonts w:ascii="仿宋_GB2312" w:hAnsi="宋体" w:eastAsia="仿宋_GB2312" w:cs="仿宋_GB2312"/>
          <w:i w:val="0"/>
          <w:iCs w:val="0"/>
          <w:caps w:val="0"/>
          <w:color w:val="333333"/>
          <w:spacing w:val="0"/>
          <w:kern w:val="0"/>
          <w:sz w:val="32"/>
          <w:szCs w:val="32"/>
          <w:shd w:val="clear" w:fill="FFFFFF"/>
          <w:lang w:val="en-US" w:eastAsia="zh-CN" w:bidi="ar"/>
        </w:rPr>
        <w:t>本年度报告根据《中华人民共和国政府信息公开条例》（以下简称《条例》）以及</w:t>
      </w:r>
      <w:r>
        <w:rPr>
          <w:rFonts w:hint="eastAsia" w:ascii="仿宋_GB2312" w:hAnsi="宋体" w:eastAsia="仿宋_GB2312" w:cs="仿宋_GB2312"/>
          <w:i w:val="0"/>
          <w:iCs w:val="0"/>
          <w:caps w:val="0"/>
          <w:color w:val="333333"/>
          <w:spacing w:val="0"/>
          <w:kern w:val="0"/>
          <w:sz w:val="32"/>
          <w:szCs w:val="32"/>
          <w:shd w:val="clear" w:fill="FFFFFF"/>
          <w:lang w:val="en-US" w:eastAsia="zh-CN" w:bidi="ar"/>
        </w:rPr>
        <w:t>宁化县人民政府要求组织编制。本报告包括本单位政府信息公开总体情况、政务公开标准化规范化建设工作情况、主动公开政府信息情况、收到和处理政府信息公开申请情况、政府信息公开行政复议和行政诉讼情况、存在的主要问题及改进情况、其他需要报告的事项等。本年度统计数据时限为2020年1月1日至2020年12月31日。本年度报告在宁化县人民政府门户网站公开，如对本年度报告有疑问，请与宁化县民政局办公室联系，电话：0598-6822087，电子邮箱：nh6822087@163.com。</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right="0" w:firstLine="640" w:firstLineChars="200"/>
        <w:jc w:val="both"/>
        <w:textAlignment w:val="auto"/>
        <w:rPr>
          <w:rFonts w:hint="eastAsia" w:ascii="宋体" w:hAnsi="宋体" w:eastAsia="宋体" w:cs="宋体"/>
          <w:i w:val="0"/>
          <w:iCs w:val="0"/>
          <w:caps w:val="0"/>
          <w:color w:val="333333"/>
          <w:spacing w:val="0"/>
          <w:sz w:val="24"/>
          <w:szCs w:val="24"/>
        </w:rPr>
      </w:pPr>
      <w:r>
        <w:rPr>
          <w:rFonts w:ascii="黑体" w:hAnsi="宋体" w:eastAsia="黑体" w:cs="黑体"/>
          <w:i w:val="0"/>
          <w:iCs w:val="0"/>
          <w:caps w:val="0"/>
          <w:color w:val="333333"/>
          <w:spacing w:val="0"/>
          <w:kern w:val="0"/>
          <w:sz w:val="32"/>
          <w:szCs w:val="32"/>
          <w:shd w:val="clear" w:fill="FFFFFF"/>
          <w:lang w:val="en-US" w:eastAsia="zh-CN" w:bidi="ar"/>
        </w:rPr>
        <w:t>一、</w:t>
      </w:r>
      <w:r>
        <w:rPr>
          <w:rFonts w:hint="eastAsia" w:ascii="黑体" w:hAnsi="宋体" w:eastAsia="黑体" w:cs="黑体"/>
          <w:i w:val="0"/>
          <w:iCs w:val="0"/>
          <w:caps w:val="0"/>
          <w:color w:val="333333"/>
          <w:spacing w:val="0"/>
          <w:kern w:val="0"/>
          <w:sz w:val="32"/>
          <w:szCs w:val="32"/>
          <w:shd w:val="clear" w:fill="FFFFFF"/>
          <w:lang w:val="en-US" w:eastAsia="zh-CN" w:bidi="ar"/>
        </w:rPr>
        <w:t>总体情况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jc w:val="both"/>
        <w:textAlignment w:val="auto"/>
        <w:rPr>
          <w:rFonts w:hint="eastAsia" w:ascii="宋体" w:hAnsi="宋体" w:eastAsia="宋体" w:cs="宋体"/>
          <w:i w:val="0"/>
          <w:iCs w:val="0"/>
          <w:caps w:val="0"/>
          <w:color w:val="333333"/>
          <w:spacing w:val="0"/>
          <w:sz w:val="24"/>
          <w:szCs w:val="24"/>
        </w:rPr>
      </w:pPr>
      <w:r>
        <w:rPr>
          <w:rFonts w:ascii="楷体_GB2312" w:hAnsi="宋体" w:eastAsia="楷体_GB2312" w:cs="楷体_GB2312"/>
          <w:i w:val="0"/>
          <w:iCs w:val="0"/>
          <w:caps w:val="0"/>
          <w:color w:val="333333"/>
          <w:spacing w:val="0"/>
          <w:kern w:val="0"/>
          <w:sz w:val="32"/>
          <w:szCs w:val="32"/>
          <w:shd w:val="clear" w:fill="FFFFFF"/>
          <w:lang w:val="en-US" w:eastAsia="zh-CN" w:bidi="ar"/>
        </w:rPr>
        <w:t>（一）</w:t>
      </w:r>
      <w:r>
        <w:rPr>
          <w:rFonts w:hint="eastAsia" w:ascii="楷体_GB2312" w:hAnsi="宋体" w:eastAsia="楷体_GB2312" w:cs="楷体_GB2312"/>
          <w:i w:val="0"/>
          <w:iCs w:val="0"/>
          <w:caps w:val="0"/>
          <w:color w:val="333333"/>
          <w:spacing w:val="0"/>
          <w:kern w:val="0"/>
          <w:sz w:val="32"/>
          <w:szCs w:val="32"/>
          <w:shd w:val="clear" w:fill="FFFFFF"/>
          <w:lang w:val="en-US" w:eastAsia="zh-CN" w:bidi="ar"/>
        </w:rPr>
        <w:t>2020年贯彻落实新条例情况以及主动公开情况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jc w:val="both"/>
        <w:textAlignment w:val="auto"/>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b/>
          <w:bCs/>
          <w:i w:val="0"/>
          <w:iCs w:val="0"/>
          <w:caps w:val="0"/>
          <w:color w:val="333333"/>
          <w:spacing w:val="0"/>
          <w:kern w:val="0"/>
          <w:sz w:val="32"/>
          <w:szCs w:val="32"/>
          <w:shd w:val="clear" w:fill="FFFFFF"/>
          <w:lang w:val="en-US" w:eastAsia="zh-CN" w:bidi="ar"/>
        </w:rPr>
        <w:t>一是贯彻落实新条例情况。</w:t>
      </w:r>
      <w:r>
        <w:rPr>
          <w:rFonts w:hint="eastAsia" w:ascii="仿宋_GB2312" w:hAnsi="宋体" w:eastAsia="仿宋_GB2312" w:cs="仿宋_GB2312"/>
          <w:i w:val="0"/>
          <w:iCs w:val="0"/>
          <w:caps w:val="0"/>
          <w:color w:val="333333"/>
          <w:spacing w:val="0"/>
          <w:kern w:val="0"/>
          <w:sz w:val="32"/>
          <w:szCs w:val="32"/>
          <w:shd w:val="clear" w:fill="FFFFFF"/>
          <w:lang w:val="en-US" w:eastAsia="zh-CN" w:bidi="ar"/>
        </w:rPr>
        <w:t>我局在县委县政府的正确领导下，以贯彻《</w:t>
      </w:r>
      <w:r>
        <w:rPr>
          <w:rFonts w:ascii="仿宋_GB2312" w:hAnsi="宋体" w:eastAsia="仿宋_GB2312" w:cs="仿宋_GB2312"/>
          <w:i w:val="0"/>
          <w:iCs w:val="0"/>
          <w:caps w:val="0"/>
          <w:color w:val="333333"/>
          <w:spacing w:val="0"/>
          <w:kern w:val="0"/>
          <w:sz w:val="32"/>
          <w:szCs w:val="32"/>
          <w:shd w:val="clear" w:fill="FFFFFF"/>
          <w:lang w:val="en-US" w:eastAsia="zh-CN" w:bidi="ar"/>
        </w:rPr>
        <w:t>中华人民共和国政府信息公开条例</w:t>
      </w:r>
      <w:r>
        <w:rPr>
          <w:rFonts w:hint="eastAsia" w:ascii="仿宋_GB2312" w:hAnsi="宋体" w:eastAsia="仿宋_GB2312" w:cs="仿宋_GB2312"/>
          <w:i w:val="0"/>
          <w:iCs w:val="0"/>
          <w:caps w:val="0"/>
          <w:color w:val="333333"/>
          <w:spacing w:val="0"/>
          <w:kern w:val="0"/>
          <w:sz w:val="32"/>
          <w:szCs w:val="32"/>
          <w:shd w:val="clear" w:fill="FFFFFF"/>
          <w:lang w:val="en-US" w:eastAsia="zh-CN" w:bidi="ar"/>
        </w:rPr>
        <w:t>》为契机，坚持“公开为常态、不公开为例外”“谁发布谁负责”的原则，加强组织领导，坚持主要领导亲自挂帅，分管领导全力抓，各业务股室配合抓，办公室具体抓的工作格局，形成了职责明确、任务细化的分工责任机制，扎实推进我局相关信息公开工作，</w:t>
      </w:r>
      <w:r>
        <w:rPr>
          <w:rFonts w:hint="eastAsia" w:ascii="仿宋_GB2312" w:hAnsi="宋体" w:eastAsia="仿宋_GB2312" w:cs="仿宋_GB2312"/>
          <w:i w:val="0"/>
          <w:iCs w:val="0"/>
          <w:caps w:val="0"/>
          <w:color w:val="333333"/>
          <w:spacing w:val="0"/>
          <w:kern w:val="0"/>
          <w:sz w:val="32"/>
          <w:szCs w:val="32"/>
          <w:shd w:val="clear" w:fill="FFFFFF"/>
          <w:lang w:val="en-US" w:eastAsia="zh-CN" w:bidi="ar"/>
        </w:rPr>
        <w:t>在主动公开的信息中，包括机构职能、行政权力、社会救助、其他应主动公开的信息等。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jc w:val="both"/>
        <w:textAlignment w:val="auto"/>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kern w:val="0"/>
          <w:sz w:val="32"/>
          <w:szCs w:val="32"/>
          <w:shd w:val="clear" w:fill="FFFFFF"/>
          <w:lang w:val="en-US" w:eastAsia="zh-CN" w:bidi="ar"/>
        </w:rPr>
        <w:t>二是主动公开情况。</w:t>
      </w:r>
      <w:r>
        <w:rPr>
          <w:rFonts w:hint="eastAsia" w:ascii="仿宋_GB2312" w:hAnsi="宋体" w:eastAsia="仿宋_GB2312" w:cs="仿宋_GB2312"/>
          <w:i w:val="0"/>
          <w:iCs w:val="0"/>
          <w:caps w:val="0"/>
          <w:color w:val="333333"/>
          <w:spacing w:val="0"/>
          <w:kern w:val="0"/>
          <w:sz w:val="32"/>
          <w:szCs w:val="32"/>
          <w:shd w:val="clear" w:fill="FFFFFF"/>
          <w:lang w:val="en-US" w:eastAsia="zh-CN" w:bidi="ar"/>
        </w:rPr>
        <w:t>我局严格按照上级要求，准确做好各季度重点领域的政府信息公开工作，</w:t>
      </w:r>
      <w:r>
        <w:rPr>
          <w:rFonts w:hint="eastAsia" w:ascii="仿宋_GB2312" w:hAnsi="宋体" w:eastAsia="仿宋_GB2312" w:cs="仿宋_GB2312"/>
          <w:i w:val="0"/>
          <w:iCs w:val="0"/>
          <w:caps w:val="0"/>
          <w:color w:val="333333"/>
          <w:spacing w:val="0"/>
          <w:kern w:val="0"/>
          <w:sz w:val="32"/>
          <w:szCs w:val="32"/>
          <w:shd w:val="clear" w:fill="FFFFFF"/>
          <w:lang w:val="en-US" w:eastAsia="zh-CN" w:bidi="ar"/>
        </w:rPr>
        <w:t>2020年1-12月，我局主动公开政务信息共36条，其中：发布机构职能信息6条次、发布行政权力信息13条次、发布社会救助信息9条次、发布其他应主动公开的信息8条次。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jc w:val="both"/>
        <w:textAlignment w:val="auto"/>
        <w:rPr>
          <w:rFonts w:hint="eastAsia" w:ascii="宋体" w:hAnsi="宋体" w:eastAsia="宋体" w:cs="宋体"/>
          <w:i w:val="0"/>
          <w:iCs w:val="0"/>
          <w:caps w:val="0"/>
          <w:color w:val="333333"/>
          <w:spacing w:val="0"/>
          <w:sz w:val="24"/>
          <w:szCs w:val="24"/>
        </w:rPr>
      </w:pPr>
      <w:r>
        <w:rPr>
          <w:rFonts w:hint="eastAsia" w:ascii="楷体_GB2312" w:hAnsi="宋体" w:eastAsia="楷体_GB2312" w:cs="楷体_GB2312"/>
          <w:i w:val="0"/>
          <w:iCs w:val="0"/>
          <w:caps w:val="0"/>
          <w:color w:val="333333"/>
          <w:spacing w:val="0"/>
          <w:kern w:val="0"/>
          <w:sz w:val="32"/>
          <w:szCs w:val="32"/>
          <w:shd w:val="clear" w:fill="FFFFFF"/>
          <w:lang w:val="en-US" w:eastAsia="zh-CN" w:bidi="ar"/>
        </w:rPr>
        <w:t>（二）2020年政务公开标准化规范化建设工作情况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jc w:val="both"/>
        <w:textAlignment w:val="auto"/>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今年以来，我局依托政务公开标准化规范化建设工作专栏，围绕老年人护理补贴、高龄补贴、城乡低保、临时救助等事项，加大了养老服务领域、社会救助领域信息的公开力度。2020年，我局主动公开养老服务领域信息4条，社会救助领域信息16条，其中城乡低保方面，从7月起，农村低保标准640元/人月，城市低保标准640元/人月，截至2020年12月，我县共有农村低保对象2454户5637人，全年累计发放农村低保金2973.53万元；城市低保对象270户442人，全年累计发放城市低保金265.84万元。有效保障了城乡居民基本生活，促进了社会的和谐与稳定。特困人员救助方面，截止12月底，我县共有特困人员567人，全年发放特困人员供养资金928.62万元，为低保和特困人员发放物价补贴200.44万元。临时救助方面，全年共落实临时救助10057人次，支出临时救助资金432.7万元。加大流浪乞讨人员救助力度，全年救助生活无着流浪乞讨人员222人次，使用救助经费2.29万元。社会各界和公众可通过访问宁化县政府网站政务公开标准化规范化建设工作专栏，了解一系列养老服务、社会救助政策相关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jc w:val="both"/>
        <w:textAlignment w:val="auto"/>
        <w:rPr>
          <w:rFonts w:hint="eastAsia" w:ascii="宋体" w:hAnsi="宋体" w:eastAsia="宋体" w:cs="宋体"/>
          <w:i w:val="0"/>
          <w:iCs w:val="0"/>
          <w:caps w:val="0"/>
          <w:color w:val="333333"/>
          <w:spacing w:val="0"/>
          <w:sz w:val="24"/>
          <w:szCs w:val="24"/>
        </w:rPr>
      </w:pPr>
      <w:r>
        <w:rPr>
          <w:rFonts w:hint="eastAsia" w:ascii="楷体_GB2312" w:hAnsi="宋体" w:eastAsia="楷体_GB2312" w:cs="楷体_GB2312"/>
          <w:i w:val="0"/>
          <w:iCs w:val="0"/>
          <w:caps w:val="0"/>
          <w:color w:val="333333"/>
          <w:spacing w:val="0"/>
          <w:kern w:val="0"/>
          <w:sz w:val="32"/>
          <w:szCs w:val="32"/>
          <w:shd w:val="clear" w:fill="FFFFFF"/>
          <w:lang w:val="en-US" w:eastAsia="zh-CN" w:bidi="ar"/>
        </w:rPr>
        <w:t>（三）2020年政府信息公开依申请公开情况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jc w:val="both"/>
        <w:textAlignment w:val="auto"/>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本年度我局未收到政府信息公开申请。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jc w:val="both"/>
        <w:textAlignment w:val="auto"/>
        <w:rPr>
          <w:rFonts w:hint="eastAsia" w:ascii="宋体" w:hAnsi="宋体" w:eastAsia="宋体" w:cs="宋体"/>
          <w:i w:val="0"/>
          <w:iCs w:val="0"/>
          <w:caps w:val="0"/>
          <w:color w:val="333333"/>
          <w:spacing w:val="0"/>
          <w:sz w:val="24"/>
          <w:szCs w:val="24"/>
        </w:rPr>
      </w:pPr>
      <w:r>
        <w:rPr>
          <w:rFonts w:hint="eastAsia" w:ascii="楷体_GB2312" w:hAnsi="宋体" w:eastAsia="楷体_GB2312" w:cs="楷体_GB2312"/>
          <w:i w:val="0"/>
          <w:iCs w:val="0"/>
          <w:caps w:val="0"/>
          <w:color w:val="333333"/>
          <w:spacing w:val="0"/>
          <w:kern w:val="0"/>
          <w:sz w:val="32"/>
          <w:szCs w:val="32"/>
          <w:shd w:val="clear" w:fill="FFFFFF"/>
          <w:lang w:val="en-US" w:eastAsia="zh-CN" w:bidi="ar"/>
        </w:rPr>
        <w:t>（四）2020年政府信息管理情况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jc w:val="both"/>
        <w:textAlignment w:val="auto"/>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我局积极贯彻落实《条例》，做好政府信息公开工作领导小组成员的调整，形成以县民政局</w:t>
      </w:r>
      <w:r>
        <w:rPr>
          <w:rFonts w:hint="eastAsia" w:ascii="仿宋_GB2312" w:hAnsi="宋体" w:eastAsia="仿宋_GB2312" w:cs="仿宋_GB2312"/>
          <w:i w:val="0"/>
          <w:iCs w:val="0"/>
          <w:caps w:val="0"/>
          <w:color w:val="333333"/>
          <w:spacing w:val="0"/>
          <w:kern w:val="0"/>
          <w:sz w:val="32"/>
          <w:szCs w:val="32"/>
          <w:shd w:val="clear" w:fill="FFFFFF"/>
          <w:lang w:val="en-US" w:eastAsia="zh-CN" w:bidi="ar"/>
        </w:rPr>
        <w:t>局长为组长，分管领导为副组长，相关股室负责人为成员的工作体系</w:t>
      </w:r>
      <w:r>
        <w:rPr>
          <w:rFonts w:hint="eastAsia" w:ascii="仿宋_GB2312" w:hAnsi="宋体" w:eastAsia="仿宋_GB2312" w:cs="仿宋_GB2312"/>
          <w:i w:val="0"/>
          <w:iCs w:val="0"/>
          <w:caps w:val="0"/>
          <w:color w:val="333333"/>
          <w:spacing w:val="0"/>
          <w:kern w:val="0"/>
          <w:sz w:val="32"/>
          <w:szCs w:val="32"/>
          <w:shd w:val="clear" w:fill="FFFFFF"/>
          <w:lang w:val="en-US" w:eastAsia="zh-CN" w:bidi="ar"/>
        </w:rPr>
        <w:t>，切实加强政府信息公开工作的领导。我局明确政府信息公开工作由组长主要负责，分管领导组织实施和推进，各股室负责人积极配合信息提供和申请受理工作，切实将工作责任落实到相关股室、人员。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jc w:val="both"/>
        <w:textAlignment w:val="auto"/>
        <w:rPr>
          <w:rFonts w:hint="eastAsia" w:ascii="宋体" w:hAnsi="宋体" w:eastAsia="宋体" w:cs="宋体"/>
          <w:i w:val="0"/>
          <w:iCs w:val="0"/>
          <w:caps w:val="0"/>
          <w:color w:val="333333"/>
          <w:spacing w:val="0"/>
          <w:sz w:val="24"/>
          <w:szCs w:val="24"/>
        </w:rPr>
      </w:pPr>
      <w:r>
        <w:rPr>
          <w:rFonts w:hint="eastAsia" w:ascii="楷体_GB2312" w:hAnsi="宋体" w:eastAsia="楷体_GB2312" w:cs="楷体_GB2312"/>
          <w:i w:val="0"/>
          <w:iCs w:val="0"/>
          <w:caps w:val="0"/>
          <w:color w:val="333333"/>
          <w:spacing w:val="0"/>
          <w:kern w:val="0"/>
          <w:sz w:val="32"/>
          <w:szCs w:val="32"/>
          <w:shd w:val="clear" w:fill="FFFFFF"/>
          <w:lang w:val="en-US" w:eastAsia="zh-CN" w:bidi="ar"/>
        </w:rPr>
        <w:t>（五）平台建设情况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jc w:val="both"/>
        <w:textAlignment w:val="auto"/>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我局高度重视政府门户网站，将其作为政府信息公开的第一平台，及时通过该平台发布各季度我局应公开的政府信息。同时我局逐步加强组织领导、建立健全</w:t>
      </w:r>
      <w:r>
        <w:rPr>
          <w:rFonts w:hint="eastAsia" w:ascii="仿宋_GB2312" w:hAnsi="宋体" w:eastAsia="仿宋_GB2312" w:cs="仿宋_GB2312"/>
          <w:i w:val="0"/>
          <w:iCs w:val="0"/>
          <w:caps w:val="0"/>
          <w:color w:val="333333"/>
          <w:spacing w:val="0"/>
          <w:kern w:val="0"/>
          <w:sz w:val="32"/>
          <w:szCs w:val="32"/>
          <w:shd w:val="clear" w:fill="FFFFFF"/>
          <w:lang w:val="en-US" w:eastAsia="zh-CN" w:bidi="ar"/>
        </w:rPr>
        <w:t>政府信息公开有关</w:t>
      </w:r>
      <w:r>
        <w:rPr>
          <w:rFonts w:hint="eastAsia" w:ascii="仿宋_GB2312" w:hAnsi="宋体" w:eastAsia="仿宋_GB2312" w:cs="仿宋_GB2312"/>
          <w:i w:val="0"/>
          <w:iCs w:val="0"/>
          <w:caps w:val="0"/>
          <w:color w:val="333333"/>
          <w:spacing w:val="0"/>
          <w:kern w:val="0"/>
          <w:sz w:val="32"/>
          <w:szCs w:val="32"/>
          <w:shd w:val="clear" w:fill="FFFFFF"/>
          <w:lang w:val="en-US" w:eastAsia="zh-CN" w:bidi="ar"/>
        </w:rPr>
        <w:t>工作制度，根据上级政务公开要求并结合我局实际做好各季度相关政务信息的公开。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jc w:val="both"/>
        <w:textAlignment w:val="auto"/>
        <w:rPr>
          <w:rFonts w:hint="eastAsia" w:ascii="楷体_GB2312" w:hAnsi="宋体" w:eastAsia="楷体_GB2312" w:cs="楷体_GB2312"/>
          <w:i w:val="0"/>
          <w:iCs w:val="0"/>
          <w:caps w:val="0"/>
          <w:color w:val="333333"/>
          <w:spacing w:val="0"/>
          <w:kern w:val="0"/>
          <w:sz w:val="32"/>
          <w:szCs w:val="32"/>
          <w:shd w:val="clear" w:fill="FFFFFF"/>
          <w:lang w:val="en-US" w:eastAsia="zh-CN" w:bidi="ar"/>
        </w:rPr>
      </w:pPr>
      <w:r>
        <w:rPr>
          <w:rFonts w:hint="eastAsia" w:ascii="楷体_GB2312" w:hAnsi="宋体" w:eastAsia="楷体_GB2312" w:cs="楷体_GB2312"/>
          <w:i w:val="0"/>
          <w:iCs w:val="0"/>
          <w:caps w:val="0"/>
          <w:color w:val="333333"/>
          <w:spacing w:val="0"/>
          <w:kern w:val="0"/>
          <w:sz w:val="32"/>
          <w:szCs w:val="32"/>
          <w:shd w:val="clear" w:fill="FFFFFF"/>
          <w:lang w:val="en-US" w:eastAsia="zh-CN" w:bidi="ar"/>
        </w:rPr>
        <w:t>（六）监督保障情况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jc w:val="both"/>
        <w:textAlignment w:val="auto"/>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我局严格执行季度公开制度和信息审核制度，各季度应公开的信息均通过科室负责人、分管领导等审核后才予以发布，大大增强了公开信息的有效性和权威性。同时我局对所公开的内容进行动态管理，</w:t>
      </w:r>
      <w:r>
        <w:rPr>
          <w:rFonts w:hint="eastAsia" w:ascii="仿宋_GB2312" w:hAnsi="宋体" w:eastAsia="仿宋_GB2312" w:cs="仿宋_GB2312"/>
          <w:i w:val="0"/>
          <w:iCs w:val="0"/>
          <w:caps w:val="0"/>
          <w:color w:val="333333"/>
          <w:spacing w:val="0"/>
          <w:kern w:val="0"/>
          <w:sz w:val="32"/>
          <w:szCs w:val="32"/>
          <w:shd w:val="clear" w:fill="FFFFFF"/>
          <w:lang w:val="en-US" w:eastAsia="zh-CN" w:bidi="ar"/>
        </w:rPr>
        <w:t>通过</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12345平台、</w:t>
      </w:r>
      <w:r>
        <w:rPr>
          <w:rFonts w:hint="eastAsia" w:ascii="仿宋_GB2312" w:hAnsi="宋体" w:eastAsia="仿宋_GB2312" w:cs="仿宋_GB2312"/>
          <w:i w:val="0"/>
          <w:iCs w:val="0"/>
          <w:caps w:val="0"/>
          <w:color w:val="333333"/>
          <w:spacing w:val="0"/>
          <w:kern w:val="0"/>
          <w:sz w:val="32"/>
          <w:szCs w:val="32"/>
          <w:shd w:val="clear" w:fill="FFFFFF"/>
          <w:lang w:val="en-US" w:eastAsia="zh-CN" w:bidi="ar"/>
        </w:rPr>
        <w:t>宁化</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民政微信公众号</w:t>
      </w:r>
      <w:r>
        <w:rPr>
          <w:rFonts w:hint="eastAsia" w:ascii="仿宋_GB2312" w:hAnsi="宋体" w:eastAsia="仿宋_GB2312" w:cs="仿宋_GB2312"/>
          <w:i w:val="0"/>
          <w:iCs w:val="0"/>
          <w:caps w:val="0"/>
          <w:color w:val="333333"/>
          <w:spacing w:val="0"/>
          <w:kern w:val="0"/>
          <w:sz w:val="32"/>
          <w:szCs w:val="32"/>
          <w:shd w:val="clear" w:fill="FFFFFF"/>
          <w:lang w:val="en-US" w:eastAsia="zh-CN" w:bidi="ar"/>
        </w:rPr>
        <w:t>等平台接受群众的监督，及时对不足之处做出整改，确保信息公开的规范性，有力地促进政务公开正常运行</w:t>
      </w:r>
      <w:r>
        <w:rPr>
          <w:rFonts w:hint="eastAsia" w:ascii="仿宋_GB2312" w:hAnsi="宋体" w:eastAsia="仿宋_GB2312" w:cs="仿宋_GB2312"/>
          <w:i w:val="0"/>
          <w:iCs w:val="0"/>
          <w:caps w:val="0"/>
          <w:color w:val="333333"/>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jc w:val="both"/>
        <w:textAlignment w:val="auto"/>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二、主动公开政府信息情况</w:t>
      </w:r>
    </w:p>
    <w:tbl>
      <w:tblPr>
        <w:tblStyle w:val="3"/>
        <w:tblW w:w="8401" w:type="dxa"/>
        <w:jc w:val="center"/>
        <w:shd w:val="clear" w:color="auto" w:fill="auto"/>
        <w:tblLayout w:type="autofit"/>
        <w:tblCellMar>
          <w:top w:w="0" w:type="dxa"/>
          <w:left w:w="0" w:type="dxa"/>
          <w:bottom w:w="0" w:type="dxa"/>
          <w:right w:w="0" w:type="dxa"/>
        </w:tblCellMar>
      </w:tblPr>
      <w:tblGrid>
        <w:gridCol w:w="2714"/>
        <w:gridCol w:w="2000"/>
        <w:gridCol w:w="1650"/>
        <w:gridCol w:w="2037"/>
      </w:tblGrid>
      <w:tr>
        <w:tblPrEx>
          <w:shd w:val="clear" w:color="auto" w:fill="auto"/>
          <w:tblCellMar>
            <w:top w:w="0" w:type="dxa"/>
            <w:left w:w="0" w:type="dxa"/>
            <w:bottom w:w="0" w:type="dxa"/>
            <w:right w:w="0" w:type="dxa"/>
          </w:tblCellMar>
        </w:tblPrEx>
        <w:trPr>
          <w:trHeight w:val="533" w:hRule="atLeast"/>
          <w:jc w:val="center"/>
        </w:trPr>
        <w:tc>
          <w:tcPr>
            <w:tcW w:w="8401"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第二十条第（一）项</w:t>
            </w:r>
          </w:p>
        </w:tc>
      </w:tr>
      <w:tr>
        <w:tblPrEx>
          <w:tblCellMar>
            <w:top w:w="0" w:type="dxa"/>
            <w:left w:w="0" w:type="dxa"/>
            <w:bottom w:w="0" w:type="dxa"/>
            <w:right w:w="0" w:type="dxa"/>
          </w:tblCellMar>
        </w:tblPrEx>
        <w:trPr>
          <w:trHeight w:val="90"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信息内容</w:t>
            </w:r>
          </w:p>
        </w:tc>
        <w:tc>
          <w:tcPr>
            <w:tcW w:w="2000"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本年新</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制作数量</w:t>
            </w:r>
          </w:p>
        </w:tc>
        <w:tc>
          <w:tcPr>
            <w:tcW w:w="1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本年新</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公开数量</w:t>
            </w:r>
          </w:p>
        </w:tc>
        <w:tc>
          <w:tcPr>
            <w:tcW w:w="203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对外公开总数量</w:t>
            </w:r>
          </w:p>
        </w:tc>
      </w:tr>
      <w:tr>
        <w:tblPrEx>
          <w:tblCellMar>
            <w:top w:w="0" w:type="dxa"/>
            <w:left w:w="0" w:type="dxa"/>
            <w:bottom w:w="0" w:type="dxa"/>
            <w:right w:w="0" w:type="dxa"/>
          </w:tblCellMar>
        </w:tblPrEx>
        <w:trPr>
          <w:trHeight w:val="590"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规章</w:t>
            </w:r>
          </w:p>
        </w:tc>
        <w:tc>
          <w:tcPr>
            <w:tcW w:w="200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16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203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CellMar>
            <w:top w:w="0" w:type="dxa"/>
            <w:left w:w="0" w:type="dxa"/>
            <w:bottom w:w="0" w:type="dxa"/>
            <w:right w:w="0" w:type="dxa"/>
          </w:tblCellMar>
        </w:tblPrEx>
        <w:trPr>
          <w:trHeight w:val="553"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规范性文件</w:t>
            </w:r>
          </w:p>
        </w:tc>
        <w:tc>
          <w:tcPr>
            <w:tcW w:w="200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16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203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0（2019年起）</w:t>
            </w:r>
          </w:p>
        </w:tc>
      </w:tr>
      <w:tr>
        <w:tblPrEx>
          <w:tblCellMar>
            <w:top w:w="0" w:type="dxa"/>
            <w:left w:w="0" w:type="dxa"/>
            <w:bottom w:w="0" w:type="dxa"/>
            <w:right w:w="0" w:type="dxa"/>
          </w:tblCellMar>
        </w:tblPrEx>
        <w:trPr>
          <w:trHeight w:val="480" w:hRule="atLeast"/>
          <w:jc w:val="center"/>
        </w:trPr>
        <w:tc>
          <w:tcPr>
            <w:tcW w:w="8401"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第二十条第（五）项</w:t>
            </w:r>
          </w:p>
        </w:tc>
      </w:tr>
      <w:tr>
        <w:tblPrEx>
          <w:tblCellMar>
            <w:top w:w="0" w:type="dxa"/>
            <w:left w:w="0" w:type="dxa"/>
            <w:bottom w:w="0" w:type="dxa"/>
            <w:right w:w="0" w:type="dxa"/>
          </w:tblCellMar>
        </w:tblPrEx>
        <w:trPr>
          <w:trHeight w:val="634"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信息内容</w:t>
            </w:r>
          </w:p>
        </w:tc>
        <w:tc>
          <w:tcPr>
            <w:tcW w:w="2000"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上一年项目数量</w:t>
            </w:r>
          </w:p>
        </w:tc>
        <w:tc>
          <w:tcPr>
            <w:tcW w:w="1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本年增/减</w:t>
            </w:r>
          </w:p>
        </w:tc>
        <w:tc>
          <w:tcPr>
            <w:tcW w:w="203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处理决定数量</w:t>
            </w:r>
          </w:p>
        </w:tc>
      </w:tr>
      <w:tr>
        <w:tblPrEx>
          <w:tblCellMar>
            <w:top w:w="0" w:type="dxa"/>
            <w:left w:w="0" w:type="dxa"/>
            <w:bottom w:w="0" w:type="dxa"/>
            <w:right w:w="0" w:type="dxa"/>
          </w:tblCellMar>
        </w:tblPrEx>
        <w:trPr>
          <w:trHeight w:val="528"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行政许可</w:t>
            </w:r>
          </w:p>
        </w:tc>
        <w:tc>
          <w:tcPr>
            <w:tcW w:w="200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16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10</w:t>
            </w:r>
          </w:p>
        </w:tc>
        <w:tc>
          <w:tcPr>
            <w:tcW w:w="203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10</w:t>
            </w:r>
          </w:p>
        </w:tc>
      </w:tr>
      <w:tr>
        <w:tblPrEx>
          <w:tblCellMar>
            <w:top w:w="0" w:type="dxa"/>
            <w:left w:w="0" w:type="dxa"/>
            <w:bottom w:w="0" w:type="dxa"/>
            <w:right w:w="0" w:type="dxa"/>
          </w:tblCellMar>
        </w:tblPrEx>
        <w:trPr>
          <w:trHeight w:val="550"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其他对外管理服务事项</w:t>
            </w:r>
          </w:p>
        </w:tc>
        <w:tc>
          <w:tcPr>
            <w:tcW w:w="200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12</w:t>
            </w:r>
          </w:p>
        </w:tc>
        <w:tc>
          <w:tcPr>
            <w:tcW w:w="16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10</w:t>
            </w:r>
          </w:p>
        </w:tc>
        <w:tc>
          <w:tcPr>
            <w:tcW w:w="203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w:t>
            </w:r>
          </w:p>
        </w:tc>
      </w:tr>
      <w:tr>
        <w:tblPrEx>
          <w:tblCellMar>
            <w:top w:w="0" w:type="dxa"/>
            <w:left w:w="0" w:type="dxa"/>
            <w:bottom w:w="0" w:type="dxa"/>
            <w:right w:w="0" w:type="dxa"/>
          </w:tblCellMar>
        </w:tblPrEx>
        <w:trPr>
          <w:trHeight w:val="564" w:hRule="atLeast"/>
          <w:jc w:val="center"/>
        </w:trPr>
        <w:tc>
          <w:tcPr>
            <w:tcW w:w="8401"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第二十条第（六）项</w:t>
            </w:r>
          </w:p>
        </w:tc>
      </w:tr>
      <w:tr>
        <w:tblPrEx>
          <w:tblCellMar>
            <w:top w:w="0" w:type="dxa"/>
            <w:left w:w="0" w:type="dxa"/>
            <w:bottom w:w="0" w:type="dxa"/>
            <w:right w:w="0" w:type="dxa"/>
          </w:tblCellMar>
        </w:tblPrEx>
        <w:trPr>
          <w:trHeight w:val="634"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信息内容</w:t>
            </w:r>
          </w:p>
        </w:tc>
        <w:tc>
          <w:tcPr>
            <w:tcW w:w="2000"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上一年项目数量</w:t>
            </w:r>
          </w:p>
        </w:tc>
        <w:tc>
          <w:tcPr>
            <w:tcW w:w="1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本年增/减</w:t>
            </w:r>
          </w:p>
        </w:tc>
        <w:tc>
          <w:tcPr>
            <w:tcW w:w="203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处理决定数量</w:t>
            </w:r>
          </w:p>
        </w:tc>
      </w:tr>
      <w:tr>
        <w:tblPrEx>
          <w:tblCellMar>
            <w:top w:w="0" w:type="dxa"/>
            <w:left w:w="0" w:type="dxa"/>
            <w:bottom w:w="0" w:type="dxa"/>
            <w:right w:w="0" w:type="dxa"/>
          </w:tblCellMar>
        </w:tblPrEx>
        <w:trPr>
          <w:trHeight w:val="430"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行政处罚</w:t>
            </w:r>
          </w:p>
        </w:tc>
        <w:tc>
          <w:tcPr>
            <w:tcW w:w="200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16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203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CellMar>
            <w:top w:w="0" w:type="dxa"/>
            <w:left w:w="0" w:type="dxa"/>
            <w:bottom w:w="0" w:type="dxa"/>
            <w:right w:w="0" w:type="dxa"/>
          </w:tblCellMar>
        </w:tblPrEx>
        <w:trPr>
          <w:trHeight w:val="594"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行政强制</w:t>
            </w:r>
          </w:p>
        </w:tc>
        <w:tc>
          <w:tcPr>
            <w:tcW w:w="200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16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203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CellMar>
            <w:top w:w="0" w:type="dxa"/>
            <w:left w:w="0" w:type="dxa"/>
            <w:bottom w:w="0" w:type="dxa"/>
            <w:right w:w="0" w:type="dxa"/>
          </w:tblCellMar>
        </w:tblPrEx>
        <w:trPr>
          <w:trHeight w:val="669" w:hRule="atLeast"/>
          <w:jc w:val="center"/>
        </w:trPr>
        <w:tc>
          <w:tcPr>
            <w:tcW w:w="8401"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第二十条第（八）项</w:t>
            </w:r>
          </w:p>
        </w:tc>
      </w:tr>
      <w:tr>
        <w:tblPrEx>
          <w:tblCellMar>
            <w:top w:w="0" w:type="dxa"/>
            <w:left w:w="0" w:type="dxa"/>
            <w:bottom w:w="0" w:type="dxa"/>
            <w:right w:w="0" w:type="dxa"/>
          </w:tblCellMar>
        </w:tblPrEx>
        <w:trPr>
          <w:trHeight w:val="270"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信息内容</w:t>
            </w:r>
          </w:p>
        </w:tc>
        <w:tc>
          <w:tcPr>
            <w:tcW w:w="200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上一年项目数量</w:t>
            </w:r>
          </w:p>
        </w:tc>
        <w:tc>
          <w:tcPr>
            <w:tcW w:w="3687"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本年增/减</w:t>
            </w:r>
          </w:p>
        </w:tc>
      </w:tr>
      <w:tr>
        <w:tblPrEx>
          <w:tblCellMar>
            <w:top w:w="0" w:type="dxa"/>
            <w:left w:w="0" w:type="dxa"/>
            <w:bottom w:w="0" w:type="dxa"/>
            <w:right w:w="0" w:type="dxa"/>
          </w:tblCellMar>
        </w:tblPrEx>
        <w:trPr>
          <w:trHeight w:val="551"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行政事业性收费</w:t>
            </w:r>
          </w:p>
        </w:tc>
        <w:tc>
          <w:tcPr>
            <w:tcW w:w="200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3687"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CellMar>
            <w:top w:w="0" w:type="dxa"/>
            <w:left w:w="0" w:type="dxa"/>
            <w:bottom w:w="0" w:type="dxa"/>
            <w:right w:w="0" w:type="dxa"/>
          </w:tblCellMar>
        </w:tblPrEx>
        <w:trPr>
          <w:trHeight w:val="476" w:hRule="atLeast"/>
          <w:jc w:val="center"/>
        </w:trPr>
        <w:tc>
          <w:tcPr>
            <w:tcW w:w="8401"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第二十条第（九）项</w:t>
            </w:r>
          </w:p>
        </w:tc>
      </w:tr>
      <w:tr>
        <w:tblPrEx>
          <w:tblCellMar>
            <w:top w:w="0" w:type="dxa"/>
            <w:left w:w="0" w:type="dxa"/>
            <w:bottom w:w="0" w:type="dxa"/>
            <w:right w:w="0" w:type="dxa"/>
          </w:tblCellMar>
        </w:tblPrEx>
        <w:trPr>
          <w:trHeight w:val="585"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信息内容</w:t>
            </w:r>
          </w:p>
        </w:tc>
        <w:tc>
          <w:tcPr>
            <w:tcW w:w="200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采购项目数量</w:t>
            </w:r>
          </w:p>
        </w:tc>
        <w:tc>
          <w:tcPr>
            <w:tcW w:w="3687"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采购总金额</w:t>
            </w:r>
          </w:p>
        </w:tc>
      </w:tr>
      <w:tr>
        <w:tblPrEx>
          <w:tblCellMar>
            <w:top w:w="0" w:type="dxa"/>
            <w:left w:w="0" w:type="dxa"/>
            <w:bottom w:w="0" w:type="dxa"/>
            <w:right w:w="0" w:type="dxa"/>
          </w:tblCellMar>
        </w:tblPrEx>
        <w:trPr>
          <w:trHeight w:val="539"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政府集中采购</w:t>
            </w:r>
          </w:p>
        </w:tc>
        <w:tc>
          <w:tcPr>
            <w:tcW w:w="200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3687"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shd w:val="clear" w:fill="FFFFFF"/>
        </w:rPr>
        <w:t>三、收到和处理政府信息公开申请情况</w:t>
      </w:r>
    </w:p>
    <w:tbl>
      <w:tblPr>
        <w:tblStyle w:val="3"/>
        <w:tblW w:w="9071" w:type="dxa"/>
        <w:jc w:val="center"/>
        <w:shd w:val="clear" w:color="auto" w:fill="auto"/>
        <w:tblLayout w:type="autofit"/>
        <w:tblCellMar>
          <w:top w:w="0" w:type="dxa"/>
          <w:left w:w="0" w:type="dxa"/>
          <w:bottom w:w="0" w:type="dxa"/>
          <w:right w:w="0" w:type="dxa"/>
        </w:tblCellMar>
      </w:tblPr>
      <w:tblGrid>
        <w:gridCol w:w="696"/>
        <w:gridCol w:w="936"/>
        <w:gridCol w:w="2023"/>
        <w:gridCol w:w="798"/>
        <w:gridCol w:w="742"/>
        <w:gridCol w:w="742"/>
        <w:gridCol w:w="798"/>
        <w:gridCol w:w="951"/>
        <w:gridCol w:w="701"/>
        <w:gridCol w:w="684"/>
      </w:tblGrid>
      <w:tr>
        <w:tblPrEx>
          <w:shd w:val="clear" w:color="auto" w:fill="auto"/>
          <w:tblCellMar>
            <w:top w:w="0" w:type="dxa"/>
            <w:left w:w="0" w:type="dxa"/>
            <w:bottom w:w="0" w:type="dxa"/>
            <w:right w:w="0" w:type="dxa"/>
          </w:tblCellMar>
        </w:tblPrEx>
        <w:trPr>
          <w:jc w:val="center"/>
        </w:trPr>
        <w:tc>
          <w:tcPr>
            <w:tcW w:w="3479"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（本列数据的勾稽关系为：第一项加第二项之和，等于第三项加第四项之和）</w:t>
            </w:r>
          </w:p>
        </w:tc>
        <w:tc>
          <w:tcPr>
            <w:tcW w:w="5592"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申请人情况</w:t>
            </w:r>
          </w:p>
        </w:tc>
      </w:tr>
      <w:tr>
        <w:tblPrEx>
          <w:tblCellMar>
            <w:top w:w="0" w:type="dxa"/>
            <w:left w:w="0" w:type="dxa"/>
            <w:bottom w:w="0" w:type="dxa"/>
            <w:right w:w="0" w:type="dxa"/>
          </w:tblCellMar>
        </w:tblPrEx>
        <w:trPr>
          <w:jc w:val="center"/>
        </w:trPr>
        <w:tc>
          <w:tcPr>
            <w:tcW w:w="3479"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before="0" w:line="560" w:lineRule="exact"/>
              <w:textAlignment w:val="auto"/>
              <w:rPr>
                <w:rFonts w:hint="eastAsia" w:ascii="宋体" w:hAnsi="宋体" w:eastAsia="宋体" w:cs="宋体"/>
                <w:sz w:val="24"/>
                <w:szCs w:val="24"/>
              </w:rPr>
            </w:pPr>
          </w:p>
        </w:tc>
        <w:tc>
          <w:tcPr>
            <w:tcW w:w="82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自然人</w:t>
            </w:r>
          </w:p>
        </w:tc>
        <w:tc>
          <w:tcPr>
            <w:tcW w:w="406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法人或其他组织</w:t>
            </w:r>
          </w:p>
        </w:tc>
        <w:tc>
          <w:tcPr>
            <w:tcW w:w="702"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总计</w:t>
            </w:r>
          </w:p>
        </w:tc>
      </w:tr>
      <w:tr>
        <w:tblPrEx>
          <w:tblCellMar>
            <w:top w:w="0" w:type="dxa"/>
            <w:left w:w="0" w:type="dxa"/>
            <w:bottom w:w="0" w:type="dxa"/>
            <w:right w:w="0" w:type="dxa"/>
          </w:tblCellMar>
        </w:tblPrEx>
        <w:trPr>
          <w:trHeight w:val="1287" w:hRule="atLeast"/>
          <w:jc w:val="center"/>
        </w:trPr>
        <w:tc>
          <w:tcPr>
            <w:tcW w:w="3479"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before="0" w:line="560" w:lineRule="exact"/>
              <w:textAlignment w:val="auto"/>
              <w:rPr>
                <w:rFonts w:hint="eastAsia" w:ascii="宋体" w:hAnsi="宋体" w:eastAsia="宋体" w:cs="宋体"/>
                <w:sz w:val="24"/>
                <w:szCs w:val="24"/>
              </w:rPr>
            </w:pPr>
          </w:p>
        </w:tc>
        <w:tc>
          <w:tcPr>
            <w:tcW w:w="82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before="0" w:line="560" w:lineRule="exact"/>
              <w:textAlignment w:val="auto"/>
              <w:rPr>
                <w:rFonts w:hint="eastAsia" w:ascii="宋体" w:hAnsi="宋体" w:eastAsia="宋体" w:cs="宋体"/>
                <w:sz w:val="24"/>
                <w:szCs w:val="24"/>
              </w:rPr>
            </w:pP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商业企业</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科研机构</w:t>
            </w:r>
          </w:p>
        </w:tc>
        <w:tc>
          <w:tcPr>
            <w:tcW w:w="82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社会公益组织</w:t>
            </w:r>
          </w:p>
        </w:tc>
        <w:tc>
          <w:tcPr>
            <w:tcW w:w="99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法律服务机构</w:t>
            </w:r>
          </w:p>
        </w:tc>
        <w:tc>
          <w:tcPr>
            <w:tcW w:w="72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w:t>
            </w:r>
          </w:p>
        </w:tc>
        <w:tc>
          <w:tcPr>
            <w:tcW w:w="702"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before="0" w:line="560" w:lineRule="exact"/>
              <w:textAlignment w:val="auto"/>
              <w:rPr>
                <w:rFonts w:hint="eastAsia" w:ascii="宋体" w:hAnsi="宋体" w:eastAsia="宋体" w:cs="宋体"/>
                <w:sz w:val="24"/>
                <w:szCs w:val="24"/>
              </w:rPr>
            </w:pPr>
          </w:p>
        </w:tc>
      </w:tr>
      <w:tr>
        <w:tblPrEx>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一、本年新收政府信息公开申请数量</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二、上年结转政府信息公开申请数量</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CellMar>
            <w:top w:w="0" w:type="dxa"/>
            <w:left w:w="0" w:type="dxa"/>
            <w:bottom w:w="0" w:type="dxa"/>
            <w:right w:w="0" w:type="dxa"/>
          </w:tblCellMar>
        </w:tblPrEx>
        <w:trPr>
          <w:jc w:val="center"/>
        </w:trPr>
        <w:tc>
          <w:tcPr>
            <w:tcW w:w="49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三、本年度办理结果</w:t>
            </w: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ascii="楷体" w:hAnsi="楷体" w:eastAsia="楷体" w:cs="楷体"/>
                <w:kern w:val="0"/>
                <w:sz w:val="24"/>
                <w:szCs w:val="24"/>
                <w:lang w:val="en-US" w:eastAsia="zh-CN" w:bidi="ar"/>
              </w:rPr>
              <w:t>（一）予以公开</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0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before="0" w:line="560" w:lineRule="exact"/>
              <w:textAlignment w:val="auto"/>
              <w:rPr>
                <w:rFonts w:hint="eastAsia" w:ascii="宋体" w:hAnsi="宋体" w:eastAsia="宋体" w:cs="宋体"/>
                <w:sz w:val="24"/>
                <w:szCs w:val="24"/>
              </w:rPr>
            </w:pP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楷体" w:hAnsi="楷体" w:eastAsia="楷体" w:cs="楷体"/>
                <w:kern w:val="0"/>
                <w:sz w:val="24"/>
                <w:szCs w:val="24"/>
                <w:lang w:val="en-US" w:eastAsia="zh-CN" w:bidi="ar"/>
              </w:rPr>
              <w:t>（二）部分公开（区分处理的，只计这一情形，不计其他情形）</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before="0" w:line="560" w:lineRule="exact"/>
              <w:textAlignment w:val="auto"/>
              <w:rPr>
                <w:rFonts w:hint="eastAsia" w:ascii="宋体" w:hAnsi="宋体" w:eastAsia="宋体" w:cs="宋体"/>
                <w:sz w:val="24"/>
                <w:szCs w:val="24"/>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楷体" w:hAnsi="楷体" w:eastAsia="楷体" w:cs="楷体"/>
                <w:kern w:val="0"/>
                <w:sz w:val="24"/>
                <w:szCs w:val="24"/>
                <w:lang w:val="en-US" w:eastAsia="zh-CN" w:bidi="ar"/>
              </w:rPr>
              <w:t>（三）不予公开</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楷体" w:hAnsi="楷体" w:eastAsia="楷体" w:cs="楷体"/>
                <w:kern w:val="0"/>
                <w:sz w:val="24"/>
                <w:szCs w:val="24"/>
                <w:lang w:val="en-US" w:eastAsia="zh-CN" w:bidi="ar"/>
              </w:rPr>
              <w:t>1.属于国家秘密</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0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CellMar>
            <w:top w:w="0" w:type="dxa"/>
            <w:left w:w="0" w:type="dxa"/>
            <w:bottom w:w="0" w:type="dxa"/>
            <w:right w:w="0" w:type="dxa"/>
          </w:tblCellMar>
        </w:tblPrEx>
        <w:trPr>
          <w:trHeight w:val="755" w:hRule="atLeast"/>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before="0" w:line="560" w:lineRule="exact"/>
              <w:textAlignment w:val="auto"/>
              <w:rPr>
                <w:rFonts w:hint="eastAsia" w:ascii="宋体" w:hAnsi="宋体" w:eastAsia="宋体" w:cs="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before="0" w:line="560" w:lineRule="exact"/>
              <w:textAlignment w:val="auto"/>
              <w:rPr>
                <w:rFonts w:hint="eastAsia" w:ascii="宋体" w:hAnsi="宋体" w:eastAsia="宋体" w:cs="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楷体" w:hAnsi="楷体" w:eastAsia="楷体" w:cs="楷体"/>
                <w:kern w:val="0"/>
                <w:sz w:val="24"/>
                <w:szCs w:val="24"/>
                <w:lang w:val="en-US" w:eastAsia="zh-CN" w:bidi="ar"/>
              </w:rPr>
              <w:t>2.其他法律行政法规禁止公开</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before="0" w:line="560" w:lineRule="exact"/>
              <w:textAlignment w:val="auto"/>
              <w:rPr>
                <w:rFonts w:hint="eastAsia" w:ascii="宋体" w:hAnsi="宋体" w:eastAsia="宋体" w:cs="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before="0" w:line="560" w:lineRule="exact"/>
              <w:textAlignment w:val="auto"/>
              <w:rPr>
                <w:rFonts w:hint="eastAsia" w:ascii="宋体" w:hAnsi="宋体" w:eastAsia="宋体" w:cs="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楷体" w:hAnsi="楷体" w:eastAsia="楷体" w:cs="楷体"/>
                <w:kern w:val="0"/>
                <w:sz w:val="24"/>
                <w:szCs w:val="24"/>
                <w:lang w:val="en-US" w:eastAsia="zh-CN" w:bidi="ar"/>
              </w:rPr>
              <w:t>3.危及“三安全一稳定”</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before="0" w:line="560" w:lineRule="exact"/>
              <w:textAlignment w:val="auto"/>
              <w:rPr>
                <w:rFonts w:hint="eastAsia" w:ascii="宋体" w:hAnsi="宋体" w:eastAsia="宋体" w:cs="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before="0" w:line="560" w:lineRule="exact"/>
              <w:textAlignment w:val="auto"/>
              <w:rPr>
                <w:rFonts w:hint="eastAsia" w:ascii="宋体" w:hAnsi="宋体" w:eastAsia="宋体" w:cs="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楷体" w:hAnsi="楷体" w:eastAsia="楷体" w:cs="楷体"/>
                <w:kern w:val="0"/>
                <w:sz w:val="24"/>
                <w:szCs w:val="24"/>
                <w:lang w:val="en-US" w:eastAsia="zh-CN" w:bidi="ar"/>
              </w:rPr>
              <w:t>4.保护第三方合法权益</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before="0" w:line="560" w:lineRule="exact"/>
              <w:textAlignment w:val="auto"/>
              <w:rPr>
                <w:rFonts w:hint="eastAsia" w:ascii="宋体" w:hAnsi="宋体" w:eastAsia="宋体" w:cs="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before="0" w:line="560" w:lineRule="exact"/>
              <w:textAlignment w:val="auto"/>
              <w:rPr>
                <w:rFonts w:hint="eastAsia" w:ascii="宋体" w:hAnsi="宋体" w:eastAsia="宋体" w:cs="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楷体" w:hAnsi="楷体" w:eastAsia="楷体" w:cs="楷体"/>
                <w:kern w:val="0"/>
                <w:sz w:val="24"/>
                <w:szCs w:val="24"/>
                <w:lang w:val="en-US" w:eastAsia="zh-CN" w:bidi="ar"/>
              </w:rPr>
              <w:t>5.属于三类内部事务信息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CellMar>
            <w:top w:w="0" w:type="dxa"/>
            <w:left w:w="0" w:type="dxa"/>
            <w:bottom w:w="0" w:type="dxa"/>
            <w:right w:w="0" w:type="dxa"/>
          </w:tblCellMar>
        </w:tblPrEx>
        <w:trPr>
          <w:trHeight w:val="793" w:hRule="atLeast"/>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before="0" w:line="560" w:lineRule="exact"/>
              <w:textAlignment w:val="auto"/>
              <w:rPr>
                <w:rFonts w:hint="eastAsia" w:ascii="宋体" w:hAnsi="宋体" w:eastAsia="宋体" w:cs="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before="0" w:line="560" w:lineRule="exact"/>
              <w:textAlignment w:val="auto"/>
              <w:rPr>
                <w:rFonts w:hint="eastAsia" w:ascii="宋体" w:hAnsi="宋体" w:eastAsia="宋体" w:cs="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楷体" w:hAnsi="楷体" w:eastAsia="楷体" w:cs="楷体"/>
                <w:kern w:val="0"/>
                <w:sz w:val="24"/>
                <w:szCs w:val="24"/>
                <w:lang w:val="en-US" w:eastAsia="zh-CN" w:bidi="ar"/>
              </w:rPr>
              <w:t>6.属于四类过程性信息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CellMar>
            <w:top w:w="0" w:type="dxa"/>
            <w:left w:w="0" w:type="dxa"/>
            <w:bottom w:w="0" w:type="dxa"/>
            <w:right w:w="0" w:type="dxa"/>
          </w:tblCellMar>
        </w:tblPrEx>
        <w:trPr>
          <w:trHeight w:val="1169" w:hRule="atLeast"/>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before="0" w:line="560" w:lineRule="exact"/>
              <w:textAlignment w:val="auto"/>
              <w:rPr>
                <w:rFonts w:hint="eastAsia" w:ascii="宋体" w:hAnsi="宋体" w:eastAsia="宋体" w:cs="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before="0" w:line="560" w:lineRule="exact"/>
              <w:textAlignment w:val="auto"/>
              <w:rPr>
                <w:rFonts w:hint="eastAsia" w:ascii="宋体" w:hAnsi="宋体" w:eastAsia="宋体" w:cs="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楷体" w:hAnsi="楷体" w:eastAsia="楷体" w:cs="楷体"/>
                <w:kern w:val="0"/>
                <w:sz w:val="24"/>
                <w:szCs w:val="24"/>
                <w:lang w:val="en-US" w:eastAsia="zh-CN" w:bidi="ar"/>
              </w:rPr>
              <w:t>7.属于行政执法案卷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CellMar>
            <w:top w:w="0" w:type="dxa"/>
            <w:left w:w="0" w:type="dxa"/>
            <w:bottom w:w="0" w:type="dxa"/>
            <w:right w:w="0" w:type="dxa"/>
          </w:tblCellMar>
        </w:tblPrEx>
        <w:trPr>
          <w:trHeight w:val="90" w:hRule="atLeast"/>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before="0" w:line="560" w:lineRule="exact"/>
              <w:textAlignment w:val="auto"/>
              <w:rPr>
                <w:rFonts w:hint="eastAsia" w:ascii="宋体" w:hAnsi="宋体" w:eastAsia="宋体" w:cs="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before="0" w:line="560" w:lineRule="exact"/>
              <w:textAlignment w:val="auto"/>
              <w:rPr>
                <w:rFonts w:hint="eastAsia" w:ascii="宋体" w:hAnsi="宋体" w:eastAsia="宋体" w:cs="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楷体" w:hAnsi="楷体" w:eastAsia="楷体" w:cs="楷体"/>
                <w:kern w:val="0"/>
                <w:sz w:val="24"/>
                <w:szCs w:val="24"/>
                <w:lang w:val="en-US" w:eastAsia="zh-CN" w:bidi="ar"/>
              </w:rPr>
              <w:t>8.属于行政查询事项</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before="0" w:line="560" w:lineRule="exact"/>
              <w:textAlignment w:val="auto"/>
              <w:rPr>
                <w:rFonts w:hint="eastAsia" w:ascii="宋体" w:hAnsi="宋体" w:eastAsia="宋体" w:cs="宋体"/>
                <w:sz w:val="24"/>
                <w:szCs w:val="24"/>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楷体" w:hAnsi="楷体" w:eastAsia="楷体" w:cs="楷体"/>
                <w:kern w:val="0"/>
                <w:sz w:val="24"/>
                <w:szCs w:val="24"/>
                <w:lang w:val="en-US" w:eastAsia="zh-CN" w:bidi="ar"/>
              </w:rPr>
              <w:t>（四）无法提供</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楷体" w:hAnsi="楷体" w:eastAsia="楷体" w:cs="楷体"/>
                <w:kern w:val="0"/>
                <w:sz w:val="24"/>
                <w:szCs w:val="24"/>
                <w:lang w:val="en-US" w:eastAsia="zh-CN" w:bidi="ar"/>
              </w:rPr>
              <w:t>1.本机关不掌握相关政府信息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before="0" w:line="560" w:lineRule="exact"/>
              <w:textAlignment w:val="auto"/>
              <w:rPr>
                <w:rFonts w:hint="eastAsia" w:ascii="宋体" w:hAnsi="宋体" w:eastAsia="宋体" w:cs="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before="0" w:line="560" w:lineRule="exact"/>
              <w:textAlignment w:val="auto"/>
              <w:rPr>
                <w:rFonts w:hint="eastAsia" w:ascii="宋体" w:hAnsi="宋体" w:eastAsia="宋体" w:cs="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楷体" w:hAnsi="楷体" w:eastAsia="楷体" w:cs="楷体"/>
                <w:kern w:val="0"/>
                <w:sz w:val="24"/>
                <w:szCs w:val="24"/>
                <w:lang w:val="en-US" w:eastAsia="zh-CN" w:bidi="ar"/>
              </w:rPr>
              <w:t>2.没有现成信息需要另行制作</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before="0" w:line="560" w:lineRule="exact"/>
              <w:textAlignment w:val="auto"/>
              <w:rPr>
                <w:rFonts w:hint="eastAsia" w:ascii="宋体" w:hAnsi="宋体" w:eastAsia="宋体" w:cs="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before="0" w:line="560" w:lineRule="exact"/>
              <w:textAlignment w:val="auto"/>
              <w:rPr>
                <w:rFonts w:hint="eastAsia" w:ascii="宋体" w:hAnsi="宋体" w:eastAsia="宋体" w:cs="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楷体" w:hAnsi="楷体" w:eastAsia="楷体" w:cs="楷体"/>
                <w:kern w:val="0"/>
                <w:sz w:val="24"/>
                <w:szCs w:val="24"/>
                <w:lang w:val="en-US" w:eastAsia="zh-CN" w:bidi="ar"/>
              </w:rPr>
              <w:t>3.补正后申请内容仍不明确</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before="0" w:line="560" w:lineRule="exact"/>
              <w:textAlignment w:val="auto"/>
              <w:rPr>
                <w:rFonts w:hint="eastAsia" w:ascii="宋体" w:hAnsi="宋体" w:eastAsia="宋体" w:cs="宋体"/>
                <w:sz w:val="24"/>
                <w:szCs w:val="24"/>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楷体" w:hAnsi="楷体" w:eastAsia="楷体" w:cs="楷体"/>
                <w:kern w:val="0"/>
                <w:sz w:val="24"/>
                <w:szCs w:val="24"/>
                <w:lang w:val="en-US" w:eastAsia="zh-CN" w:bidi="ar"/>
              </w:rPr>
              <w:t>（五）不予处理</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楷体" w:hAnsi="楷体" w:eastAsia="楷体" w:cs="楷体"/>
                <w:kern w:val="0"/>
                <w:sz w:val="24"/>
                <w:szCs w:val="24"/>
                <w:lang w:val="en-US" w:eastAsia="zh-CN" w:bidi="ar"/>
              </w:rPr>
              <w:t>1.信访举报投诉类申请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before="0" w:line="560" w:lineRule="exact"/>
              <w:textAlignment w:val="auto"/>
              <w:rPr>
                <w:rFonts w:hint="eastAsia" w:ascii="宋体" w:hAnsi="宋体" w:eastAsia="宋体" w:cs="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before="0" w:line="560" w:lineRule="exact"/>
              <w:textAlignment w:val="auto"/>
              <w:rPr>
                <w:rFonts w:hint="eastAsia" w:ascii="宋体" w:hAnsi="宋体" w:eastAsia="宋体" w:cs="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楷体" w:hAnsi="楷体" w:eastAsia="楷体" w:cs="楷体"/>
                <w:kern w:val="0"/>
                <w:sz w:val="24"/>
                <w:szCs w:val="24"/>
                <w:lang w:val="en-US" w:eastAsia="zh-CN" w:bidi="ar"/>
              </w:rPr>
              <w:t>2.重复申请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before="0" w:line="560" w:lineRule="exact"/>
              <w:textAlignment w:val="auto"/>
              <w:rPr>
                <w:rFonts w:hint="eastAsia" w:ascii="宋体" w:hAnsi="宋体" w:eastAsia="宋体" w:cs="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before="0" w:line="560" w:lineRule="exact"/>
              <w:textAlignment w:val="auto"/>
              <w:rPr>
                <w:rFonts w:hint="eastAsia" w:ascii="宋体" w:hAnsi="宋体" w:eastAsia="宋体" w:cs="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楷体" w:hAnsi="楷体" w:eastAsia="楷体" w:cs="楷体"/>
                <w:kern w:val="0"/>
                <w:sz w:val="24"/>
                <w:szCs w:val="24"/>
                <w:lang w:val="en-US" w:eastAsia="zh-CN" w:bidi="ar"/>
              </w:rPr>
              <w:t>3.要求提供公开出版物</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CellMar>
            <w:top w:w="0" w:type="dxa"/>
            <w:left w:w="0" w:type="dxa"/>
            <w:bottom w:w="0" w:type="dxa"/>
            <w:right w:w="0" w:type="dxa"/>
          </w:tblCellMar>
        </w:tblPrEx>
        <w:trPr>
          <w:trHeight w:val="811" w:hRule="atLeast"/>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before="0" w:line="560" w:lineRule="exact"/>
              <w:textAlignment w:val="auto"/>
              <w:rPr>
                <w:rFonts w:hint="eastAsia" w:ascii="宋体" w:hAnsi="宋体" w:eastAsia="宋体" w:cs="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before="0" w:line="560" w:lineRule="exact"/>
              <w:textAlignment w:val="auto"/>
              <w:rPr>
                <w:rFonts w:hint="eastAsia" w:ascii="宋体" w:hAnsi="宋体" w:eastAsia="宋体" w:cs="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楷体" w:hAnsi="楷体" w:eastAsia="楷体" w:cs="楷体"/>
                <w:kern w:val="0"/>
                <w:sz w:val="24"/>
                <w:szCs w:val="24"/>
                <w:lang w:val="en-US" w:eastAsia="zh-CN" w:bidi="ar"/>
              </w:rPr>
              <w:t>4.无正当理由大量反复申请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before="0" w:line="560" w:lineRule="exact"/>
              <w:textAlignment w:val="auto"/>
              <w:rPr>
                <w:rFonts w:hint="eastAsia" w:ascii="宋体" w:hAnsi="宋体" w:eastAsia="宋体" w:cs="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before="0" w:line="560" w:lineRule="exact"/>
              <w:textAlignment w:val="auto"/>
              <w:rPr>
                <w:rFonts w:hint="eastAsia" w:ascii="宋体" w:hAnsi="宋体" w:eastAsia="宋体" w:cs="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楷体" w:hAnsi="楷体" w:eastAsia="楷体" w:cs="楷体"/>
                <w:kern w:val="0"/>
                <w:sz w:val="24"/>
                <w:szCs w:val="24"/>
                <w:lang w:val="en-US" w:eastAsia="zh-CN" w:bidi="ar"/>
              </w:rPr>
              <w:t>5.要求行政机关确认或重新出具已获取信息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before="0" w:line="560" w:lineRule="exact"/>
              <w:textAlignment w:val="auto"/>
              <w:rPr>
                <w:rFonts w:hint="eastAsia" w:ascii="宋体" w:hAnsi="宋体" w:eastAsia="宋体" w:cs="宋体"/>
                <w:sz w:val="24"/>
                <w:szCs w:val="24"/>
              </w:rPr>
            </w:pP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楷体" w:hAnsi="楷体" w:eastAsia="楷体" w:cs="楷体"/>
                <w:kern w:val="0"/>
                <w:sz w:val="24"/>
                <w:szCs w:val="24"/>
                <w:lang w:val="en-US" w:eastAsia="zh-CN" w:bidi="ar"/>
              </w:rPr>
              <w:t>（六）其他处理</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before="0" w:line="560" w:lineRule="exact"/>
              <w:textAlignment w:val="auto"/>
              <w:rPr>
                <w:rFonts w:hint="eastAsia" w:ascii="宋体" w:hAnsi="宋体" w:eastAsia="宋体" w:cs="宋体"/>
                <w:sz w:val="24"/>
                <w:szCs w:val="24"/>
              </w:rPr>
            </w:pP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楷体" w:hAnsi="楷体" w:eastAsia="楷体" w:cs="楷体"/>
                <w:kern w:val="0"/>
                <w:sz w:val="24"/>
                <w:szCs w:val="24"/>
                <w:lang w:val="en-US" w:eastAsia="zh-CN" w:bidi="ar"/>
              </w:rPr>
              <w:t>（七）总计</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CellMar>
            <w:top w:w="0" w:type="dxa"/>
            <w:left w:w="0" w:type="dxa"/>
            <w:bottom w:w="0" w:type="dxa"/>
            <w:right w:w="0" w:type="dxa"/>
          </w:tblCellMar>
        </w:tblPrEx>
        <w:trPr>
          <w:trHeight w:val="704" w:hRule="atLeast"/>
          <w:jc w:val="center"/>
        </w:trPr>
        <w:tc>
          <w:tcPr>
            <w:tcW w:w="347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四、结转下年度继续办理</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shd w:val="clear" w:fill="FFFFFF"/>
        </w:rPr>
        <w:t>四、政府信息公开行政复议、行政诉讼情况</w:t>
      </w:r>
    </w:p>
    <w:tbl>
      <w:tblPr>
        <w:tblStyle w:val="3"/>
        <w:tblW w:w="0" w:type="auto"/>
        <w:jc w:val="center"/>
        <w:shd w:val="clear" w:color="auto" w:fill="auto"/>
        <w:tblLayout w:type="autofit"/>
        <w:tblCellMar>
          <w:top w:w="0" w:type="dxa"/>
          <w:left w:w="0" w:type="dxa"/>
          <w:bottom w:w="0" w:type="dxa"/>
          <w:right w:w="0" w:type="dxa"/>
        </w:tblCellMar>
      </w:tblPr>
      <w:tblGrid>
        <w:gridCol w:w="567"/>
        <w:gridCol w:w="567"/>
        <w:gridCol w:w="567"/>
        <w:gridCol w:w="567"/>
        <w:gridCol w:w="567"/>
        <w:gridCol w:w="567"/>
        <w:gridCol w:w="567"/>
        <w:gridCol w:w="567"/>
        <w:gridCol w:w="567"/>
        <w:gridCol w:w="567"/>
        <w:gridCol w:w="567"/>
        <w:gridCol w:w="567"/>
        <w:gridCol w:w="567"/>
        <w:gridCol w:w="567"/>
        <w:gridCol w:w="567"/>
      </w:tblGrid>
      <w:tr>
        <w:tblPrEx>
          <w:shd w:val="clear" w:color="auto" w:fill="auto"/>
          <w:tblCellMar>
            <w:top w:w="0" w:type="dxa"/>
            <w:left w:w="0" w:type="dxa"/>
            <w:bottom w:w="0" w:type="dxa"/>
            <w:right w:w="0" w:type="dxa"/>
          </w:tblCellMar>
        </w:tblPrEx>
        <w:trPr>
          <w:jc w:val="center"/>
        </w:trPr>
        <w:tc>
          <w:tcPr>
            <w:tcW w:w="283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行政复议</w:t>
            </w:r>
          </w:p>
        </w:tc>
        <w:tc>
          <w:tcPr>
            <w:tcW w:w="5670"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行政诉讼</w:t>
            </w:r>
          </w:p>
        </w:tc>
      </w:tr>
      <w:tr>
        <w:tblPrEx>
          <w:tblCellMar>
            <w:top w:w="0" w:type="dxa"/>
            <w:left w:w="0" w:type="dxa"/>
            <w:bottom w:w="0" w:type="dxa"/>
            <w:right w:w="0" w:type="dxa"/>
          </w:tblCellMar>
        </w:tblPrEx>
        <w:trPr>
          <w:trHeight w:val="355" w:hRule="atLeast"/>
          <w:jc w:val="center"/>
        </w:trPr>
        <w:tc>
          <w:tcPr>
            <w:tcW w:w="567"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结果维持</w:t>
            </w:r>
          </w:p>
        </w:tc>
        <w:tc>
          <w:tcPr>
            <w:tcW w:w="56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结果纠正</w:t>
            </w:r>
          </w:p>
        </w:tc>
        <w:tc>
          <w:tcPr>
            <w:tcW w:w="567"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其他结果</w:t>
            </w:r>
          </w:p>
        </w:tc>
        <w:tc>
          <w:tcPr>
            <w:tcW w:w="567"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尚未审结</w:t>
            </w:r>
          </w:p>
        </w:tc>
        <w:tc>
          <w:tcPr>
            <w:tcW w:w="567"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总计</w:t>
            </w:r>
          </w:p>
        </w:tc>
        <w:tc>
          <w:tcPr>
            <w:tcW w:w="283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未经复议直接起诉</w:t>
            </w:r>
          </w:p>
        </w:tc>
        <w:tc>
          <w:tcPr>
            <w:tcW w:w="283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复议后起诉</w:t>
            </w:r>
          </w:p>
        </w:tc>
      </w:tr>
      <w:tr>
        <w:tblPrEx>
          <w:tblCellMar>
            <w:top w:w="0" w:type="dxa"/>
            <w:left w:w="0" w:type="dxa"/>
            <w:bottom w:w="0" w:type="dxa"/>
            <w:right w:w="0" w:type="dxa"/>
          </w:tblCellMar>
        </w:tblPrEx>
        <w:trPr>
          <w:jc w:val="center"/>
        </w:trPr>
        <w:tc>
          <w:tcPr>
            <w:tcW w:w="56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before="0" w:line="560" w:lineRule="exact"/>
              <w:textAlignment w:val="auto"/>
              <w:rPr>
                <w:rFonts w:hint="eastAsia" w:ascii="宋体" w:hAnsi="宋体" w:eastAsia="宋体" w:cs="宋体"/>
                <w:sz w:val="24"/>
                <w:szCs w:val="24"/>
              </w:rPr>
            </w:pPr>
          </w:p>
        </w:tc>
        <w:tc>
          <w:tcPr>
            <w:tcW w:w="56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before="0" w:line="560" w:lineRule="exact"/>
              <w:textAlignment w:val="auto"/>
              <w:rPr>
                <w:rFonts w:hint="eastAsia" w:ascii="宋体" w:hAnsi="宋体" w:eastAsia="宋体" w:cs="宋体"/>
                <w:sz w:val="24"/>
                <w:szCs w:val="24"/>
              </w:rPr>
            </w:pPr>
          </w:p>
        </w:tc>
        <w:tc>
          <w:tcPr>
            <w:tcW w:w="567"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before="0" w:line="560" w:lineRule="exact"/>
              <w:textAlignment w:val="auto"/>
              <w:rPr>
                <w:rFonts w:hint="eastAsia" w:ascii="宋体" w:hAnsi="宋体" w:eastAsia="宋体" w:cs="宋体"/>
                <w:sz w:val="24"/>
                <w:szCs w:val="24"/>
              </w:rPr>
            </w:pPr>
          </w:p>
        </w:tc>
        <w:tc>
          <w:tcPr>
            <w:tcW w:w="567"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before="0" w:line="560" w:lineRule="exact"/>
              <w:textAlignment w:val="auto"/>
              <w:rPr>
                <w:rFonts w:hint="eastAsia" w:ascii="宋体" w:hAnsi="宋体" w:eastAsia="宋体" w:cs="宋体"/>
                <w:sz w:val="24"/>
                <w:szCs w:val="24"/>
              </w:rPr>
            </w:pPr>
          </w:p>
        </w:tc>
        <w:tc>
          <w:tcPr>
            <w:tcW w:w="567"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before="0" w:line="560" w:lineRule="exact"/>
              <w:textAlignment w:val="auto"/>
              <w:rPr>
                <w:rFonts w:hint="eastAsia" w:ascii="宋体" w:hAnsi="宋体" w:eastAsia="宋体" w:cs="宋体"/>
                <w:sz w:val="24"/>
                <w:szCs w:val="24"/>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结果维持</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结果纠正</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其他结果</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尚未审结</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总计</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结果维持</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结果纠正</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其他结果</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尚未审结</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总计</w:t>
            </w:r>
          </w:p>
        </w:tc>
      </w:tr>
      <w:tr>
        <w:tblPrEx>
          <w:tblCellMar>
            <w:top w:w="0" w:type="dxa"/>
            <w:left w:w="0" w:type="dxa"/>
            <w:bottom w:w="0" w:type="dxa"/>
            <w:right w:w="0" w:type="dxa"/>
          </w:tblCellMar>
        </w:tblPrEx>
        <w:trPr>
          <w:trHeight w:val="660" w:hRule="atLeast"/>
          <w:jc w:val="center"/>
        </w:trPr>
        <w:tc>
          <w:tcPr>
            <w:tcW w:w="5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shd w:val="clear" w:fill="FFFFFF"/>
        </w:rPr>
        <w:t>五、存在的主要问题及改进情况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宋体" w:hAnsi="宋体" w:eastAsia="宋体" w:cs="宋体"/>
          <w:i w:val="0"/>
          <w:iCs w:val="0"/>
          <w:caps w:val="0"/>
          <w:color w:val="333333"/>
          <w:spacing w:val="0"/>
          <w:sz w:val="24"/>
          <w:szCs w:val="24"/>
        </w:rPr>
      </w:pPr>
      <w:r>
        <w:rPr>
          <w:rFonts w:hint="eastAsia" w:ascii="楷体_GB2312" w:hAnsi="宋体" w:eastAsia="楷体_GB2312" w:cs="楷体_GB2312"/>
          <w:i w:val="0"/>
          <w:iCs w:val="0"/>
          <w:caps w:val="0"/>
          <w:color w:val="333333"/>
          <w:spacing w:val="0"/>
          <w:sz w:val="32"/>
          <w:szCs w:val="32"/>
          <w:shd w:val="clear" w:fill="FFFFFF"/>
        </w:rPr>
        <w:t>（一）工作中存在的主要问题和困难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jc w:val="both"/>
        <w:textAlignment w:val="auto"/>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政务信息公开力度有待进一步加大，部分工作人员对政务公开的理解不够深刻、政务公开工作推进较为缓慢，民生保障方面的公开还不够全面、政策解读不到位。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right="0" w:firstLine="640" w:firstLineChars="200"/>
        <w:jc w:val="both"/>
        <w:textAlignment w:val="auto"/>
        <w:rPr>
          <w:rFonts w:hint="eastAsia" w:ascii="宋体" w:hAnsi="宋体" w:eastAsia="宋体" w:cs="宋体"/>
          <w:i w:val="0"/>
          <w:iCs w:val="0"/>
          <w:caps w:val="0"/>
          <w:color w:val="333333"/>
          <w:spacing w:val="0"/>
          <w:sz w:val="24"/>
          <w:szCs w:val="24"/>
        </w:rPr>
      </w:pPr>
      <w:r>
        <w:rPr>
          <w:rFonts w:hint="eastAsia" w:ascii="楷体_GB2312" w:hAnsi="宋体" w:eastAsia="楷体_GB2312" w:cs="楷体_GB2312"/>
          <w:i w:val="0"/>
          <w:iCs w:val="0"/>
          <w:caps w:val="0"/>
          <w:color w:val="333333"/>
          <w:spacing w:val="0"/>
          <w:kern w:val="0"/>
          <w:sz w:val="32"/>
          <w:szCs w:val="32"/>
          <w:shd w:val="clear" w:fill="FFFFFF"/>
          <w:lang w:val="en-US" w:eastAsia="zh-CN" w:bidi="ar"/>
        </w:rPr>
        <w:t>（二）具体的解决办法和改进措施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jc w:val="both"/>
        <w:textAlignment w:val="auto"/>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针对上述问题，我局将继续大力推进政府信息公开工作，重点做好以下几个方面的工作：</w:t>
      </w:r>
      <w:r>
        <w:rPr>
          <w:rFonts w:ascii="仿宋_GB2312" w:hAnsi="å®‹ä½“" w:eastAsia="仿宋_GB2312" w:cs="仿宋_GB2312"/>
          <w:b/>
          <w:bCs/>
          <w:i w:val="0"/>
          <w:iCs w:val="0"/>
          <w:caps w:val="0"/>
          <w:color w:val="333333"/>
          <w:spacing w:val="0"/>
          <w:sz w:val="32"/>
          <w:szCs w:val="32"/>
        </w:rPr>
        <w:t>一是</w:t>
      </w:r>
      <w:r>
        <w:rPr>
          <w:rFonts w:hint="eastAsia" w:ascii="仿宋_GB2312" w:hAnsi="宋体" w:eastAsia="仿宋_GB2312" w:cs="仿宋_GB2312"/>
          <w:i w:val="0"/>
          <w:iCs w:val="0"/>
          <w:caps w:val="0"/>
          <w:color w:val="333333"/>
          <w:spacing w:val="0"/>
          <w:kern w:val="0"/>
          <w:sz w:val="32"/>
          <w:szCs w:val="32"/>
          <w:shd w:val="clear" w:fill="FFFFFF"/>
          <w:lang w:val="en-US" w:eastAsia="zh-CN" w:bidi="ar"/>
        </w:rPr>
        <w:t>进一步做好公开和免予公开两类政府信息的界定，完善主动公开的政府信息目录。</w:t>
      </w:r>
      <w:r>
        <w:rPr>
          <w:rFonts w:hint="eastAsia" w:ascii="仿宋_GB2312" w:hAnsi="宋体" w:eastAsia="仿宋_GB2312" w:cs="仿宋_GB2312"/>
          <w:b/>
          <w:bCs/>
          <w:i w:val="0"/>
          <w:iCs w:val="0"/>
          <w:caps w:val="0"/>
          <w:color w:val="333333"/>
          <w:spacing w:val="0"/>
          <w:sz w:val="32"/>
          <w:szCs w:val="32"/>
        </w:rPr>
        <w:t>二是</w:t>
      </w:r>
      <w:r>
        <w:rPr>
          <w:rFonts w:hint="eastAsia" w:ascii="仿宋_GB2312" w:hAnsi="宋体" w:eastAsia="仿宋_GB2312" w:cs="仿宋_GB2312"/>
          <w:i w:val="0"/>
          <w:iCs w:val="0"/>
          <w:caps w:val="0"/>
          <w:color w:val="333333"/>
          <w:spacing w:val="0"/>
          <w:kern w:val="0"/>
          <w:sz w:val="32"/>
          <w:szCs w:val="32"/>
          <w:shd w:val="clear" w:fill="FFFFFF"/>
          <w:lang w:val="en-US" w:eastAsia="zh-CN" w:bidi="ar"/>
        </w:rPr>
        <w:t>加强政务公开相关学习，进一步加强政府信息公开内容、格式的培训，提高每一位工作人员的思想认识和工作技能，不断增强政府信息公开工作的能力。</w:t>
      </w:r>
      <w:r>
        <w:rPr>
          <w:rFonts w:hint="eastAsia" w:ascii="仿宋_GB2312" w:hAnsi="宋体" w:eastAsia="仿宋_GB2312" w:cs="仿宋_GB2312"/>
          <w:b/>
          <w:bCs/>
          <w:i w:val="0"/>
          <w:iCs w:val="0"/>
          <w:caps w:val="0"/>
          <w:color w:val="333333"/>
          <w:spacing w:val="0"/>
          <w:sz w:val="32"/>
          <w:szCs w:val="32"/>
        </w:rPr>
        <w:t>三是</w:t>
      </w:r>
      <w:r>
        <w:rPr>
          <w:rFonts w:hint="eastAsia" w:ascii="仿宋_GB2312" w:hAnsi="宋体" w:eastAsia="仿宋_GB2312" w:cs="仿宋_GB2312"/>
          <w:i w:val="0"/>
          <w:iCs w:val="0"/>
          <w:caps w:val="0"/>
          <w:color w:val="333333"/>
          <w:spacing w:val="0"/>
          <w:kern w:val="0"/>
          <w:sz w:val="32"/>
          <w:szCs w:val="32"/>
          <w:shd w:val="clear" w:fill="FFFFFF"/>
          <w:lang w:val="en-US" w:eastAsia="zh-CN" w:bidi="ar"/>
        </w:rPr>
        <w:t>充分利用好网络这一平台，及时发布依法应主动公开的政府信息，按规定做好重要政策的政策解读，切实提高办事透明度、为公众提供更便利的服务。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shd w:val="clear" w:fill="FFFFFF"/>
        </w:rPr>
        <w:t>六、其他需要报告的事项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640"/>
        <w:jc w:val="both"/>
        <w:textAlignment w:val="auto"/>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没有需要说明的其他事项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0"/>
        <w:jc w:val="right"/>
        <w:textAlignment w:val="auto"/>
        <w:rPr>
          <w:rFonts w:hint="eastAsia" w:ascii="仿宋_GB2312" w:hAnsi="宋体" w:eastAsia="仿宋_GB2312" w:cs="仿宋_GB2312"/>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0"/>
        <w:jc w:val="right"/>
        <w:textAlignment w:val="auto"/>
        <w:rPr>
          <w:rFonts w:hint="eastAsia" w:ascii="仿宋_GB2312" w:hAnsi="宋体" w:eastAsia="仿宋_GB2312" w:cs="仿宋_GB2312"/>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0"/>
        <w:jc w:val="right"/>
        <w:textAlignment w:val="auto"/>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宁化县民政局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0"/>
        <w:jc w:val="right"/>
        <w:textAlignment w:val="auto"/>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2021年1月15日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å®‹ä½“">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F40030"/>
    <w:rsid w:val="0E852A54"/>
    <w:rsid w:val="10FE61FC"/>
    <w:rsid w:val="1110666F"/>
    <w:rsid w:val="28E9590E"/>
    <w:rsid w:val="2BD01551"/>
    <w:rsid w:val="33AE4525"/>
    <w:rsid w:val="36E801D6"/>
    <w:rsid w:val="37F41448"/>
    <w:rsid w:val="397734B4"/>
    <w:rsid w:val="39C26CDB"/>
    <w:rsid w:val="406D0FCE"/>
    <w:rsid w:val="41EC3BF7"/>
    <w:rsid w:val="4EC25200"/>
    <w:rsid w:val="6AE61F82"/>
    <w:rsid w:val="6F5D1AF2"/>
    <w:rsid w:val="76077A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2021-04-20T01:02:55Z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D2574F2EA9AB4715AD0DA89A687FE7C0</vt:lpwstr>
  </property>
</Properties>
</file>