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2"/>
        <w:shd w:val="clear" w:color="auto" w:fill="auto"/>
        <w:ind w:left="0" w:leftChars="0" w:firstLine="0" w:firstLineChars="0"/>
        <w:jc w:val="both"/>
        <w:rPr>
          <w:rFonts w:hint="default" w:ascii="方正小标宋简体" w:hAnsi="Calibri" w:eastAsia="方正小标宋简体" w:cs="Times New Roman"/>
          <w:color w:val="000000"/>
          <w:spacing w:val="0"/>
          <w:w w:val="100"/>
          <w:kern w:val="2"/>
          <w:position w:val="0"/>
          <w:sz w:val="36"/>
          <w:szCs w:val="36"/>
          <w:u w:val="none"/>
          <w:shd w:val="clear" w:color="auto" w:fill="auto"/>
          <w:lang w:val="en-US" w:eastAsia="zh-CN" w:bidi="ar-SA"/>
        </w:rPr>
      </w:pPr>
    </w:p>
    <w:p>
      <w:pPr>
        <w:pStyle w:val="2"/>
        <w:shd w:val="clear" w:color="auto" w:fill="auto"/>
        <w:ind w:left="0" w:leftChars="0" w:firstLine="0" w:firstLineChars="0"/>
        <w:jc w:val="center"/>
        <w:rPr>
          <w:rFonts w:hint="default" w:ascii="方正小标宋简体" w:hAnsi="Calibri" w:eastAsia="方正小标宋简体" w:cs="Times New Roman"/>
          <w:color w:val="000000"/>
          <w:spacing w:val="0"/>
          <w:w w:val="100"/>
          <w:kern w:val="2"/>
          <w:position w:val="0"/>
          <w:sz w:val="36"/>
          <w:szCs w:val="36"/>
          <w:u w:val="none"/>
          <w:shd w:val="clear" w:color="auto" w:fill="auto"/>
          <w:lang w:val="en-US" w:eastAsia="zh-CN" w:bidi="ar-SA"/>
        </w:rPr>
      </w:pPr>
      <w:bookmarkStart w:id="0" w:name="_GoBack"/>
      <w:r>
        <w:rPr>
          <w:rFonts w:hint="default" w:ascii="方正小标宋简体" w:hAnsi="Calibri" w:eastAsia="方正小标宋简体" w:cs="Times New Roman"/>
          <w:color w:val="000000"/>
          <w:spacing w:val="0"/>
          <w:w w:val="100"/>
          <w:kern w:val="2"/>
          <w:position w:val="0"/>
          <w:sz w:val="36"/>
          <w:szCs w:val="36"/>
          <w:u w:val="none"/>
          <w:shd w:val="clear" w:color="auto" w:fill="auto"/>
          <w:lang w:val="en-US" w:eastAsia="zh-CN" w:bidi="ar-SA"/>
        </w:rPr>
        <w:t>常见安全生产违法违规行为执法清单</w:t>
      </w:r>
    </w:p>
    <w:bookmarkEnd w:id="0"/>
    <w:tbl>
      <w:tblPr>
        <w:tblStyle w:val="4"/>
        <w:tblW w:w="0" w:type="auto"/>
        <w:jc w:val="center"/>
        <w:tblLayout w:type="fixed"/>
        <w:tblCellMar>
          <w:top w:w="0" w:type="dxa"/>
          <w:left w:w="10" w:type="dxa"/>
          <w:bottom w:w="0" w:type="dxa"/>
          <w:right w:w="10" w:type="dxa"/>
        </w:tblCellMar>
      </w:tblPr>
      <w:tblGrid>
        <w:gridCol w:w="1102"/>
        <w:gridCol w:w="497"/>
        <w:gridCol w:w="2412"/>
        <w:gridCol w:w="6149"/>
        <w:gridCol w:w="1836"/>
        <w:gridCol w:w="1937"/>
      </w:tblGrid>
      <w:tr>
        <w:tblPrEx>
          <w:tblCellMar>
            <w:top w:w="0" w:type="dxa"/>
            <w:left w:w="10" w:type="dxa"/>
            <w:bottom w:w="0" w:type="dxa"/>
            <w:right w:w="10" w:type="dxa"/>
          </w:tblCellMar>
        </w:tblPrEx>
        <w:trPr>
          <w:trHeight w:val="691" w:hRule="exact"/>
          <w:jc w:val="center"/>
        </w:trPr>
        <w:tc>
          <w:tcPr>
            <w:tcW w:w="0" w:type="auto"/>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责任主体</w:t>
            </w:r>
          </w:p>
        </w:tc>
        <w:tc>
          <w:tcPr>
            <w:tcW w:w="0" w:type="auto"/>
            <w:tcBorders>
              <w:top w:val="single" w:color="auto" w:sz="4" w:space="0"/>
              <w:left w:val="single" w:color="auto" w:sz="4" w:space="0"/>
            </w:tcBorders>
            <w:shd w:val="clear" w:color="auto" w:fill="FFFFFF"/>
            <w:noWrap w:val="0"/>
            <w:vAlign w:val="bottom"/>
          </w:tcPr>
          <w:p>
            <w:pPr>
              <w:pStyle w:val="7"/>
              <w:keepNext w:val="0"/>
              <w:keepLines w:val="0"/>
              <w:widowControl w:val="0"/>
              <w:shd w:val="clear" w:color="auto" w:fill="auto"/>
              <w:bidi w:val="0"/>
              <w:spacing w:before="0" w:after="0" w:line="240" w:lineRule="auto"/>
              <w:ind w:left="0" w:leftChars="0" w:right="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0" w:type="auto"/>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违法违规行为</w:t>
            </w:r>
          </w:p>
        </w:tc>
        <w:tc>
          <w:tcPr>
            <w:tcW w:w="6149"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违反条款</w:t>
            </w:r>
          </w:p>
        </w:tc>
        <w:tc>
          <w:tcPr>
            <w:tcW w:w="18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处罚依据</w:t>
            </w:r>
          </w:p>
        </w:tc>
        <w:tc>
          <w:tcPr>
            <w:tcW w:w="1937"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8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执法措施</w:t>
            </w:r>
          </w:p>
        </w:tc>
      </w:tr>
      <w:tr>
        <w:tblPrEx>
          <w:tblCellMar>
            <w:top w:w="0" w:type="dxa"/>
            <w:left w:w="10" w:type="dxa"/>
            <w:bottom w:w="0" w:type="dxa"/>
            <w:right w:w="10" w:type="dxa"/>
          </w:tblCellMar>
        </w:tblPrEx>
        <w:trPr>
          <w:trHeight w:val="1330" w:hRule="exact"/>
          <w:jc w:val="center"/>
        </w:trPr>
        <w:tc>
          <w:tcPr>
            <w:tcW w:w="0" w:type="auto"/>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0" w:lineRule="exact"/>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建设单位 (业主)</w:t>
            </w:r>
          </w:p>
        </w:tc>
        <w:tc>
          <w:tcPr>
            <w:tcW w:w="0" w:type="auto"/>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w:t>
            </w:r>
          </w:p>
        </w:tc>
        <w:tc>
          <w:tcPr>
            <w:tcW w:w="0" w:type="auto"/>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1"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未将小散工程委托具有相应资质条件的施工单位进行施工的</w:t>
            </w:r>
          </w:p>
        </w:tc>
        <w:tc>
          <w:tcPr>
            <w:tcW w:w="6149" w:type="dxa"/>
            <w:tcBorders>
              <w:top w:val="single" w:color="auto" w:sz="4" w:space="0"/>
              <w:left w:val="single" w:color="auto" w:sz="4" w:space="0"/>
            </w:tcBorders>
            <w:shd w:val="clear" w:color="auto" w:fill="FFFFFF"/>
            <w:noWrap w:val="0"/>
            <w:vAlign w:val="top"/>
          </w:tcPr>
          <w:p>
            <w:pPr>
              <w:pStyle w:val="6"/>
              <w:keepNext w:val="0"/>
              <w:keepLines w:val="0"/>
              <w:widowControl w:val="0"/>
              <w:shd w:val="clear" w:color="auto" w:fill="auto"/>
              <w:bidi w:val="0"/>
              <w:spacing w:before="80" w:after="0" w:line="240"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第五十五条</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违反本条例的规定，建设单位有下列行为之一的，责令限期改正，处20万元以上50万元以下的罚款；造成重大安全事故</w:t>
            </w:r>
            <w:r>
              <w:rPr>
                <w:rFonts w:hint="eastAsia" w:ascii="仿宋" w:hAnsi="仿宋" w:eastAsia="仿宋" w:cs="仿宋"/>
                <w:color w:val="000000"/>
                <w:spacing w:val="0"/>
                <w:w w:val="100"/>
                <w:position w:val="0"/>
                <w:sz w:val="24"/>
                <w:szCs w:val="24"/>
                <w:lang w:eastAsia="zh-CN"/>
              </w:rPr>
              <w:t>，</w:t>
            </w:r>
            <w:r>
              <w:rPr>
                <w:rFonts w:hint="eastAsia" w:ascii="仿宋" w:hAnsi="仿宋" w:eastAsia="仿宋" w:cs="仿宋"/>
                <w:color w:val="000000"/>
                <w:spacing w:val="0"/>
                <w:w w:val="100"/>
                <w:position w:val="0"/>
                <w:sz w:val="24"/>
                <w:szCs w:val="24"/>
              </w:rPr>
              <w:t>构成犯罪的</w:t>
            </w:r>
            <w:r>
              <w:rPr>
                <w:rFonts w:hint="eastAsia" w:ascii="仿宋" w:hAnsi="仿宋" w:eastAsia="仿宋" w:cs="仿宋"/>
                <w:color w:val="000000"/>
                <w:spacing w:val="0"/>
                <w:w w:val="100"/>
                <w:position w:val="0"/>
                <w:sz w:val="24"/>
                <w:szCs w:val="24"/>
                <w:lang w:eastAsia="zh-CN"/>
              </w:rPr>
              <w:t>，</w:t>
            </w:r>
            <w:r>
              <w:rPr>
                <w:rFonts w:hint="eastAsia" w:ascii="仿宋" w:hAnsi="仿宋" w:eastAsia="仿宋" w:cs="仿宋"/>
                <w:color w:val="000000"/>
                <w:spacing w:val="0"/>
                <w:w w:val="100"/>
                <w:position w:val="0"/>
                <w:sz w:val="24"/>
                <w:szCs w:val="24"/>
              </w:rPr>
              <w:t>对直接责任人员，依照刑法有关规定追究刑事责任；造成损失的，依法承担赔偿责任：将拆除工程发包给不具有相应资质等级的施工单位的。</w:t>
            </w:r>
          </w:p>
        </w:tc>
        <w:tc>
          <w:tcPr>
            <w:tcW w:w="18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8"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《建设工程安全生产管理条例》第五十五条</w:t>
            </w:r>
          </w:p>
        </w:tc>
        <w:tc>
          <w:tcPr>
            <w:tcW w:w="1937"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numPr>
                <w:ilvl w:val="0"/>
                <w:numId w:val="0"/>
              </w:numPr>
              <w:shd w:val="clear" w:color="auto" w:fill="auto"/>
              <w:tabs>
                <w:tab w:val="left" w:pos="180"/>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责令限期改正；</w:t>
            </w:r>
          </w:p>
          <w:p>
            <w:pPr>
              <w:pStyle w:val="6"/>
              <w:keepNext w:val="0"/>
              <w:keepLines w:val="0"/>
              <w:widowControl w:val="0"/>
              <w:numPr>
                <w:ilvl w:val="0"/>
                <w:numId w:val="0"/>
              </w:numPr>
              <w:shd w:val="clear" w:color="auto" w:fill="auto"/>
              <w:tabs>
                <w:tab w:val="left" w:pos="187"/>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处以罚款。</w:t>
            </w:r>
          </w:p>
        </w:tc>
      </w:tr>
      <w:tr>
        <w:tblPrEx>
          <w:tblCellMar>
            <w:top w:w="0" w:type="dxa"/>
            <w:left w:w="10" w:type="dxa"/>
            <w:bottom w:w="0" w:type="dxa"/>
            <w:right w:w="10" w:type="dxa"/>
          </w:tblCellMar>
        </w:tblPrEx>
        <w:trPr>
          <w:trHeight w:val="1825" w:hRule="exact"/>
          <w:jc w:val="center"/>
        </w:trPr>
        <w:tc>
          <w:tcPr>
            <w:tcW w:w="0" w:type="auto"/>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0" w:type="auto"/>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2</w:t>
            </w:r>
          </w:p>
        </w:tc>
        <w:tc>
          <w:tcPr>
            <w:tcW w:w="0" w:type="auto"/>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1"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对施工单位提出不符合安全生产法律、法规和强制性标准规定的要求的</w:t>
            </w:r>
          </w:p>
        </w:tc>
        <w:tc>
          <w:tcPr>
            <w:tcW w:w="6149" w:type="dxa"/>
            <w:tcBorders>
              <w:top w:val="single" w:color="auto" w:sz="4" w:space="0"/>
              <w:left w:val="single" w:color="auto" w:sz="4" w:space="0"/>
            </w:tcBorders>
            <w:shd w:val="clear" w:color="auto" w:fill="FFFFFF"/>
            <w:noWrap w:val="0"/>
            <w:vAlign w:val="top"/>
          </w:tcPr>
          <w:p>
            <w:pPr>
              <w:pStyle w:val="6"/>
              <w:keepNext w:val="0"/>
              <w:keepLines w:val="0"/>
              <w:widowControl w:val="0"/>
              <w:shd w:val="clear" w:color="auto" w:fill="auto"/>
              <w:bidi w:val="0"/>
              <w:spacing w:before="80" w:after="0" w:line="240" w:lineRule="exact"/>
              <w:ind w:left="0" w:right="0" w:firstLine="0"/>
              <w:jc w:val="both"/>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第五十五条 违反本条例的规定，建设单位有下列行为之一的，责令限期改正，处20万元以上50万元以下的罚款；造成重大安全事故，构成犯罪的，对直接贲任人员，依照刑法有关规定追究刑事责任；造成损失的，依法承担赔偿责任：</w:t>
            </w:r>
          </w:p>
          <w:p>
            <w:pPr>
              <w:pStyle w:val="6"/>
              <w:keepNext w:val="0"/>
              <w:keepLines w:val="0"/>
              <w:widowControl w:val="0"/>
              <w:shd w:val="clear" w:color="auto" w:fill="auto"/>
              <w:bidi w:val="0"/>
              <w:spacing w:before="80" w:after="0" w:line="240"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rPr>
              <w:t>(-)</w:t>
            </w:r>
            <w:r>
              <w:rPr>
                <w:rFonts w:hint="eastAsia" w:ascii="仿宋" w:hAnsi="仿宋" w:eastAsia="仿宋" w:cs="仿宋"/>
                <w:color w:val="000000"/>
                <w:spacing w:val="0"/>
                <w:w w:val="100"/>
                <w:position w:val="0"/>
                <w:sz w:val="24"/>
                <w:szCs w:val="24"/>
              </w:rPr>
              <w:t>对施工单位提出不符合安全生产法律、法规和强制性标准规定的要求的。</w:t>
            </w:r>
          </w:p>
        </w:tc>
        <w:tc>
          <w:tcPr>
            <w:tcW w:w="1836"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0"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《建设工程安全生产管理条例》第五十五条</w:t>
            </w:r>
          </w:p>
        </w:tc>
        <w:tc>
          <w:tcPr>
            <w:tcW w:w="1937"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numPr>
                <w:ilvl w:val="0"/>
                <w:numId w:val="0"/>
              </w:numPr>
              <w:shd w:val="clear" w:color="auto" w:fill="auto"/>
              <w:tabs>
                <w:tab w:val="left" w:pos="173"/>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责令限期改正；</w:t>
            </w:r>
          </w:p>
          <w:p>
            <w:pPr>
              <w:pStyle w:val="6"/>
              <w:keepNext w:val="0"/>
              <w:keepLines w:val="0"/>
              <w:widowControl w:val="0"/>
              <w:numPr>
                <w:ilvl w:val="0"/>
                <w:numId w:val="0"/>
              </w:numPr>
              <w:shd w:val="clear" w:color="auto" w:fill="auto"/>
              <w:tabs>
                <w:tab w:val="left" w:pos="187"/>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处以罚款。</w:t>
            </w:r>
          </w:p>
        </w:tc>
      </w:tr>
      <w:tr>
        <w:tblPrEx>
          <w:tblCellMar>
            <w:top w:w="0" w:type="dxa"/>
            <w:left w:w="10" w:type="dxa"/>
            <w:bottom w:w="0" w:type="dxa"/>
            <w:right w:w="10" w:type="dxa"/>
          </w:tblCellMar>
        </w:tblPrEx>
        <w:trPr>
          <w:trHeight w:val="1813" w:hRule="exact"/>
          <w:jc w:val="center"/>
        </w:trPr>
        <w:tc>
          <w:tcPr>
            <w:tcW w:w="0" w:type="auto"/>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施工单位</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3</w:t>
            </w:r>
          </w:p>
        </w:tc>
        <w:tc>
          <w:tcPr>
            <w:tcW w:w="0" w:type="auto"/>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5"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超越本单位资质等级或未取得资质证书承揽小散工程</w:t>
            </w:r>
          </w:p>
        </w:tc>
        <w:tc>
          <w:tcPr>
            <w:tcW w:w="614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3"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第六十条</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违反本条例规定，施工单位超越本单位资质等级承揽工程的，责令停止违法行为，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w:t>
            </w:r>
          </w:p>
        </w:tc>
        <w:tc>
          <w:tcPr>
            <w:tcW w:w="1836"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5" w:lineRule="exact"/>
              <w:ind w:left="0" w:leftChars="0" w:right="0" w:firstLine="0" w:firstLine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《建设工程质量管理条例》第六十条</w:t>
            </w:r>
          </w:p>
        </w:tc>
        <w:tc>
          <w:tcPr>
            <w:tcW w:w="193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6"/>
              <w:keepNext w:val="0"/>
              <w:keepLines w:val="0"/>
              <w:widowControl w:val="0"/>
              <w:numPr>
                <w:ilvl w:val="0"/>
                <w:numId w:val="0"/>
              </w:numPr>
              <w:shd w:val="clear" w:color="auto" w:fill="auto"/>
              <w:tabs>
                <w:tab w:val="left" w:pos="187"/>
              </w:tabs>
              <w:bidi w:val="0"/>
              <w:spacing w:before="0" w:after="0" w:line="252" w:lineRule="exact"/>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责令停止违法行为；</w:t>
            </w:r>
          </w:p>
          <w:p>
            <w:pPr>
              <w:pStyle w:val="6"/>
              <w:keepNext w:val="0"/>
              <w:keepLines w:val="0"/>
              <w:widowControl w:val="0"/>
              <w:numPr>
                <w:ilvl w:val="0"/>
                <w:numId w:val="0"/>
              </w:numPr>
              <w:shd w:val="clear" w:color="auto" w:fill="auto"/>
              <w:tabs>
                <w:tab w:val="left" w:pos="187"/>
              </w:tabs>
              <w:bidi w:val="0"/>
              <w:spacing w:before="0" w:after="0" w:line="252" w:lineRule="exact"/>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罚款；</w:t>
            </w:r>
          </w:p>
          <w:p>
            <w:pPr>
              <w:pStyle w:val="6"/>
              <w:keepNext w:val="0"/>
              <w:keepLines w:val="0"/>
              <w:widowControl w:val="0"/>
              <w:numPr>
                <w:ilvl w:val="0"/>
                <w:numId w:val="0"/>
              </w:numPr>
              <w:shd w:val="clear" w:color="auto" w:fill="auto"/>
              <w:tabs>
                <w:tab w:val="left" w:pos="187"/>
              </w:tabs>
              <w:bidi w:val="0"/>
              <w:spacing w:before="0" w:after="0" w:line="252" w:lineRule="exact"/>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贲令停业整顿，</w:t>
            </w:r>
          </w:p>
          <w:p>
            <w:pPr>
              <w:pStyle w:val="6"/>
              <w:keepNext w:val="0"/>
              <w:keepLines w:val="0"/>
              <w:widowControl w:val="0"/>
              <w:numPr>
                <w:ilvl w:val="0"/>
                <w:numId w:val="0"/>
              </w:numPr>
              <w:shd w:val="clear" w:color="auto" w:fill="auto"/>
              <w:tabs>
                <w:tab w:val="left" w:pos="194"/>
              </w:tabs>
              <w:bidi w:val="0"/>
              <w:spacing w:before="0" w:after="0" w:line="252" w:lineRule="exact"/>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4.</w:t>
            </w:r>
            <w:r>
              <w:rPr>
                <w:rFonts w:hint="eastAsia" w:ascii="仿宋" w:hAnsi="仿宋" w:eastAsia="仿宋" w:cs="仿宋"/>
                <w:color w:val="000000"/>
                <w:spacing w:val="0"/>
                <w:w w:val="100"/>
                <w:position w:val="0"/>
                <w:sz w:val="24"/>
                <w:szCs w:val="24"/>
              </w:rPr>
              <w:t>降低资质等级；</w:t>
            </w:r>
          </w:p>
          <w:p>
            <w:pPr>
              <w:pStyle w:val="6"/>
              <w:keepNext w:val="0"/>
              <w:keepLines w:val="0"/>
              <w:widowControl w:val="0"/>
              <w:numPr>
                <w:ilvl w:val="0"/>
                <w:numId w:val="0"/>
              </w:numPr>
              <w:shd w:val="clear" w:color="auto" w:fill="auto"/>
              <w:tabs>
                <w:tab w:val="left" w:pos="202"/>
              </w:tabs>
              <w:bidi w:val="0"/>
              <w:spacing w:before="0" w:after="60" w:line="252" w:lineRule="exact"/>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5.</w:t>
            </w:r>
            <w:r>
              <w:rPr>
                <w:rFonts w:hint="eastAsia" w:ascii="仿宋" w:hAnsi="仿宋" w:eastAsia="仿宋" w:cs="仿宋"/>
                <w:color w:val="000000"/>
                <w:spacing w:val="0"/>
                <w:w w:val="100"/>
                <w:position w:val="0"/>
                <w:sz w:val="24"/>
                <w:szCs w:val="24"/>
              </w:rPr>
              <w:t>吊销资质证书；</w:t>
            </w:r>
          </w:p>
          <w:p>
            <w:pPr>
              <w:pStyle w:val="6"/>
              <w:keepNext w:val="0"/>
              <w:keepLines w:val="0"/>
              <w:widowControl w:val="0"/>
              <w:numPr>
                <w:ilvl w:val="0"/>
                <w:numId w:val="0"/>
              </w:numPr>
              <w:shd w:val="clear" w:color="auto" w:fill="auto"/>
              <w:tabs>
                <w:tab w:val="left" w:pos="187"/>
              </w:tabs>
              <w:bidi w:val="0"/>
              <w:spacing w:before="0" w:after="40" w:line="252" w:lineRule="exact"/>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6.</w:t>
            </w:r>
            <w:r>
              <w:rPr>
                <w:rFonts w:hint="eastAsia" w:ascii="仿宋" w:hAnsi="仿宋" w:eastAsia="仿宋" w:cs="仿宋"/>
                <w:color w:val="000000"/>
                <w:spacing w:val="0"/>
                <w:w w:val="100"/>
                <w:position w:val="0"/>
                <w:sz w:val="24"/>
                <w:szCs w:val="24"/>
              </w:rPr>
              <w:t>没收违法所得。</w:t>
            </w:r>
          </w:p>
        </w:tc>
      </w:tr>
    </w:tbl>
    <w:p>
      <w:pPr>
        <w:pStyle w:val="2"/>
        <w:shd w:val="clear" w:color="auto" w:fill="auto"/>
        <w:ind w:left="0" w:leftChars="0" w:firstLine="0" w:firstLineChars="0"/>
        <w:jc w:val="both"/>
        <w:rPr>
          <w:rFonts w:hint="default" w:ascii="方正小标宋简体" w:hAnsi="Calibri" w:eastAsia="方正小标宋简体" w:cs="Times New Roman"/>
          <w:color w:val="000000"/>
          <w:spacing w:val="0"/>
          <w:w w:val="100"/>
          <w:kern w:val="2"/>
          <w:position w:val="0"/>
          <w:sz w:val="36"/>
          <w:szCs w:val="36"/>
          <w:u w:val="none"/>
          <w:shd w:val="clear" w:color="auto" w:fill="auto"/>
          <w:lang w:val="en-US" w:eastAsia="zh-CN" w:bidi="ar-SA"/>
        </w:rPr>
      </w:pPr>
    </w:p>
    <w:p>
      <w:pPr>
        <w:pStyle w:val="2"/>
        <w:shd w:val="clear" w:color="auto" w:fill="auto"/>
        <w:ind w:left="0" w:leftChars="0" w:firstLine="0" w:firstLineChars="0"/>
        <w:jc w:val="both"/>
        <w:rPr>
          <w:rFonts w:hint="default" w:ascii="方正小标宋简体" w:hAnsi="Calibri" w:eastAsia="方正小标宋简体" w:cs="Times New Roman"/>
          <w:color w:val="000000"/>
          <w:spacing w:val="0"/>
          <w:w w:val="100"/>
          <w:kern w:val="2"/>
          <w:position w:val="0"/>
          <w:sz w:val="36"/>
          <w:szCs w:val="36"/>
          <w:u w:val="none"/>
          <w:shd w:val="clear" w:color="auto" w:fill="auto"/>
          <w:lang w:val="en-US" w:eastAsia="zh-CN" w:bidi="ar-SA"/>
        </w:rPr>
      </w:pPr>
    </w:p>
    <w:tbl>
      <w:tblPr>
        <w:tblStyle w:val="4"/>
        <w:tblW w:w="0" w:type="auto"/>
        <w:jc w:val="center"/>
        <w:tblLayout w:type="fixed"/>
        <w:tblCellMar>
          <w:top w:w="0" w:type="dxa"/>
          <w:left w:w="10" w:type="dxa"/>
          <w:bottom w:w="0" w:type="dxa"/>
          <w:right w:w="10" w:type="dxa"/>
        </w:tblCellMar>
      </w:tblPr>
      <w:tblGrid>
        <w:gridCol w:w="1007"/>
        <w:gridCol w:w="465"/>
        <w:gridCol w:w="2684"/>
        <w:gridCol w:w="6229"/>
        <w:gridCol w:w="1930"/>
        <w:gridCol w:w="1916"/>
      </w:tblGrid>
      <w:tr>
        <w:tblPrEx>
          <w:tblCellMar>
            <w:top w:w="0" w:type="dxa"/>
            <w:left w:w="10" w:type="dxa"/>
            <w:bottom w:w="0" w:type="dxa"/>
            <w:right w:w="10" w:type="dxa"/>
          </w:tblCellMar>
        </w:tblPrEx>
        <w:trPr>
          <w:trHeight w:val="598" w:hRule="exact"/>
          <w:jc w:val="center"/>
        </w:trPr>
        <w:tc>
          <w:tcPr>
            <w:tcW w:w="1007"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责任主体</w:t>
            </w:r>
          </w:p>
        </w:tc>
        <w:tc>
          <w:tcPr>
            <w:tcW w:w="465" w:type="dxa"/>
            <w:tcBorders>
              <w:top w:val="single" w:color="auto" w:sz="4" w:space="0"/>
              <w:left w:val="single" w:color="auto" w:sz="4" w:space="0"/>
            </w:tcBorders>
            <w:shd w:val="clear" w:color="auto" w:fill="FFFFFF"/>
            <w:noWrap w:val="0"/>
            <w:vAlign w:val="bottom"/>
          </w:tcPr>
          <w:p>
            <w:pPr>
              <w:pStyle w:val="7"/>
              <w:keepNext w:val="0"/>
              <w:keepLines w:val="0"/>
              <w:widowControl w:val="0"/>
              <w:shd w:val="clear" w:color="auto" w:fill="auto"/>
              <w:bidi w:val="0"/>
              <w:spacing w:before="0" w:after="0" w:line="240" w:lineRule="auto"/>
              <w:ind w:right="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26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违法违规行为</w:t>
            </w:r>
          </w:p>
        </w:tc>
        <w:tc>
          <w:tcPr>
            <w:tcW w:w="6229"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违反条款</w:t>
            </w:r>
          </w:p>
        </w:tc>
        <w:tc>
          <w:tcPr>
            <w:tcW w:w="193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处罚依据</w:t>
            </w:r>
          </w:p>
        </w:tc>
        <w:tc>
          <w:tcPr>
            <w:tcW w:w="1916"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38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执法措施</w:t>
            </w:r>
          </w:p>
        </w:tc>
      </w:tr>
      <w:tr>
        <w:tblPrEx>
          <w:tblCellMar>
            <w:top w:w="0" w:type="dxa"/>
            <w:left w:w="10" w:type="dxa"/>
            <w:bottom w:w="0" w:type="dxa"/>
            <w:right w:w="10" w:type="dxa"/>
          </w:tblCellMar>
        </w:tblPrEx>
        <w:trPr>
          <w:trHeight w:val="1269" w:hRule="exact"/>
          <w:jc w:val="center"/>
        </w:trPr>
        <w:tc>
          <w:tcPr>
            <w:tcW w:w="1007"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施工单位</w:t>
            </w:r>
          </w:p>
        </w:tc>
        <w:tc>
          <w:tcPr>
            <w:tcW w:w="46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4</w:t>
            </w:r>
          </w:p>
        </w:tc>
        <w:tc>
          <w:tcPr>
            <w:tcW w:w="26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52"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存在出借资质证书等违法行为承揽小散工程</w:t>
            </w:r>
          </w:p>
        </w:tc>
        <w:tc>
          <w:tcPr>
            <w:tcW w:w="6229"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第六十一条</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违反本条例规定，施工单位允许其他单位或者个人以本单位名义承揽工程的，責令改正，没收违法所得，对施工单位处工程合同价款百分之二以上百分之四以下的罚款；可以责令停业整顿，降低资质等级；情节严重的，吊销资质证书。</w:t>
            </w:r>
          </w:p>
        </w:tc>
        <w:tc>
          <w:tcPr>
            <w:tcW w:w="193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8" w:lineRule="exact"/>
              <w:ind w:left="0" w:leftChars="0" w:right="0" w:firstLine="0" w:firstLine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《建设工程质量管理条例》第六十一条</w:t>
            </w:r>
          </w:p>
        </w:tc>
        <w:tc>
          <w:tcPr>
            <w:tcW w:w="1916"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numPr>
                <w:ilvl w:val="0"/>
                <w:numId w:val="0"/>
              </w:numPr>
              <w:shd w:val="clear" w:color="auto" w:fill="auto"/>
              <w:tabs>
                <w:tab w:val="left" w:pos="173"/>
              </w:tabs>
              <w:bidi w:val="0"/>
              <w:spacing w:before="0" w:after="6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责令改正；</w:t>
            </w:r>
          </w:p>
          <w:p>
            <w:pPr>
              <w:pStyle w:val="6"/>
              <w:keepNext w:val="0"/>
              <w:keepLines w:val="0"/>
              <w:widowControl w:val="0"/>
              <w:numPr>
                <w:ilvl w:val="0"/>
                <w:numId w:val="0"/>
              </w:numPr>
              <w:shd w:val="clear" w:color="auto" w:fill="auto"/>
              <w:tabs>
                <w:tab w:val="left" w:pos="180"/>
              </w:tabs>
              <w:bidi w:val="0"/>
              <w:spacing w:before="0" w:after="6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没收违法所得；</w:t>
            </w:r>
          </w:p>
          <w:p>
            <w:pPr>
              <w:pStyle w:val="6"/>
              <w:keepNext w:val="0"/>
              <w:keepLines w:val="0"/>
              <w:widowControl w:val="0"/>
              <w:numPr>
                <w:ilvl w:val="0"/>
                <w:numId w:val="0"/>
              </w:numPr>
              <w:shd w:val="clear" w:color="auto" w:fill="auto"/>
              <w:tabs>
                <w:tab w:val="left" w:pos="180"/>
              </w:tabs>
              <w:bidi w:val="0"/>
              <w:spacing w:before="0" w:after="6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罚款；</w:t>
            </w:r>
          </w:p>
        </w:tc>
      </w:tr>
      <w:tr>
        <w:tblPrEx>
          <w:tblCellMar>
            <w:top w:w="0" w:type="dxa"/>
            <w:left w:w="10" w:type="dxa"/>
            <w:bottom w:w="0" w:type="dxa"/>
            <w:right w:w="10" w:type="dxa"/>
          </w:tblCellMar>
        </w:tblPrEx>
        <w:trPr>
          <w:trHeight w:val="1159" w:hRule="exact"/>
          <w:jc w:val="center"/>
        </w:trPr>
        <w:tc>
          <w:tcPr>
            <w:tcW w:w="1007"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46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5</w:t>
            </w:r>
          </w:p>
        </w:tc>
        <w:tc>
          <w:tcPr>
            <w:tcW w:w="26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转包或违法分包小散工程</w:t>
            </w:r>
          </w:p>
        </w:tc>
        <w:tc>
          <w:tcPr>
            <w:tcW w:w="6229"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5"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第六十二条</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违反本条例规定，承包单位将承包的工程转包或者违法分包的，责令改正，没收违法所得，对施工单位处工程合同价款百分之零点五以上百分之一以下的罚款；可以责令停业整顿，降低资质等级；情节严重的，吊销资质证书。</w:t>
            </w:r>
          </w:p>
        </w:tc>
        <w:tc>
          <w:tcPr>
            <w:tcW w:w="193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5" w:lineRule="exact"/>
              <w:ind w:left="0" w:leftChars="0" w:right="0" w:firstLine="0" w:firstLine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《建设工程质量管理条例》第六十二条</w:t>
            </w:r>
          </w:p>
        </w:tc>
        <w:tc>
          <w:tcPr>
            <w:tcW w:w="1916" w:type="dxa"/>
            <w:tcBorders>
              <w:top w:val="single" w:color="auto" w:sz="4" w:space="0"/>
              <w:left w:val="single" w:color="auto" w:sz="4" w:space="0"/>
              <w:right w:val="single" w:color="auto" w:sz="4" w:space="0"/>
            </w:tcBorders>
            <w:shd w:val="clear" w:color="auto" w:fill="FFFFFF"/>
            <w:noWrap w:val="0"/>
            <w:vAlign w:val="top"/>
          </w:tcPr>
          <w:p>
            <w:pPr>
              <w:pStyle w:val="6"/>
              <w:keepNext w:val="0"/>
              <w:keepLines w:val="0"/>
              <w:widowControl w:val="0"/>
              <w:numPr>
                <w:ilvl w:val="0"/>
                <w:numId w:val="0"/>
              </w:numPr>
              <w:shd w:val="clear" w:color="auto" w:fill="auto"/>
              <w:tabs>
                <w:tab w:val="left" w:pos="173"/>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责令改正；</w:t>
            </w:r>
          </w:p>
          <w:p>
            <w:pPr>
              <w:pStyle w:val="6"/>
              <w:keepNext w:val="0"/>
              <w:keepLines w:val="0"/>
              <w:widowControl w:val="0"/>
              <w:numPr>
                <w:ilvl w:val="0"/>
                <w:numId w:val="0"/>
              </w:numPr>
              <w:shd w:val="clear" w:color="auto" w:fill="auto"/>
              <w:tabs>
                <w:tab w:val="left" w:pos="180"/>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没收违法所得；</w:t>
            </w:r>
          </w:p>
          <w:p>
            <w:pPr>
              <w:pStyle w:val="6"/>
              <w:keepNext w:val="0"/>
              <w:keepLines w:val="0"/>
              <w:widowControl w:val="0"/>
              <w:numPr>
                <w:ilvl w:val="0"/>
                <w:numId w:val="0"/>
              </w:numPr>
              <w:shd w:val="clear" w:color="auto" w:fill="auto"/>
              <w:tabs>
                <w:tab w:val="left" w:pos="180"/>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罚款；</w:t>
            </w:r>
          </w:p>
        </w:tc>
      </w:tr>
      <w:tr>
        <w:tblPrEx>
          <w:tblCellMar>
            <w:top w:w="0" w:type="dxa"/>
            <w:left w:w="10" w:type="dxa"/>
            <w:bottom w:w="0" w:type="dxa"/>
            <w:right w:w="10" w:type="dxa"/>
          </w:tblCellMar>
        </w:tblPrEx>
        <w:trPr>
          <w:trHeight w:val="1247" w:hRule="exact"/>
          <w:jc w:val="center"/>
        </w:trPr>
        <w:tc>
          <w:tcPr>
            <w:tcW w:w="1007"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46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6</w:t>
            </w:r>
          </w:p>
        </w:tc>
        <w:tc>
          <w:tcPr>
            <w:tcW w:w="26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0"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安全生产许可证有效期满未办理延期手续，继续从事建筑施工活动的</w:t>
            </w:r>
          </w:p>
        </w:tc>
        <w:tc>
          <w:tcPr>
            <w:tcW w:w="6229"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8"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第二十五条 违反本规定，安全生产许可证有效期满未办理延期手续，继续从事建筑施工活动的，贲令其在建项目停止施工，限期补办延期手续，没收违法所得，并处5万元以上10万元以下的罚款；逾期仍不办理延期手续，继续从事建筑施工活动的，依照本规定第二十四条的规定处罚。</w:t>
            </w:r>
          </w:p>
        </w:tc>
        <w:tc>
          <w:tcPr>
            <w:tcW w:w="193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4" w:lineRule="exact"/>
              <w:ind w:left="0" w:leftChars="0" w:right="0" w:firstLine="0" w:firstLine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《建筑施工企业安全生产许可证管理规定》第二十五条</w:t>
            </w:r>
          </w:p>
        </w:tc>
        <w:tc>
          <w:tcPr>
            <w:tcW w:w="1916"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numPr>
                <w:ilvl w:val="0"/>
                <w:numId w:val="0"/>
              </w:numPr>
              <w:shd w:val="clear" w:color="auto" w:fill="auto"/>
              <w:tabs>
                <w:tab w:val="left" w:pos="173"/>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责令停止施工；</w:t>
            </w:r>
          </w:p>
          <w:p>
            <w:pPr>
              <w:pStyle w:val="6"/>
              <w:keepNext w:val="0"/>
              <w:keepLines w:val="0"/>
              <w:widowControl w:val="0"/>
              <w:numPr>
                <w:ilvl w:val="0"/>
                <w:numId w:val="0"/>
              </w:numPr>
              <w:shd w:val="clear" w:color="auto" w:fill="auto"/>
              <w:tabs>
                <w:tab w:val="left" w:pos="180"/>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没收违法所得；</w:t>
            </w:r>
          </w:p>
          <w:p>
            <w:pPr>
              <w:pStyle w:val="6"/>
              <w:keepNext w:val="0"/>
              <w:keepLines w:val="0"/>
              <w:widowControl w:val="0"/>
              <w:numPr>
                <w:ilvl w:val="0"/>
                <w:numId w:val="0"/>
              </w:numPr>
              <w:shd w:val="clear" w:color="auto" w:fill="auto"/>
              <w:tabs>
                <w:tab w:val="left" w:pos="180"/>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罚款。</w:t>
            </w:r>
          </w:p>
        </w:tc>
      </w:tr>
      <w:tr>
        <w:tblPrEx>
          <w:tblCellMar>
            <w:top w:w="0" w:type="dxa"/>
            <w:left w:w="10" w:type="dxa"/>
            <w:bottom w:w="0" w:type="dxa"/>
            <w:right w:w="10" w:type="dxa"/>
          </w:tblCellMar>
        </w:tblPrEx>
        <w:trPr>
          <w:trHeight w:val="1208" w:hRule="exact"/>
          <w:jc w:val="center"/>
        </w:trPr>
        <w:tc>
          <w:tcPr>
            <w:tcW w:w="1007"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46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7</w:t>
            </w:r>
          </w:p>
        </w:tc>
        <w:tc>
          <w:tcPr>
            <w:tcW w:w="26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8"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未取得安全生产许可证擅自从事建筑施工活动的</w:t>
            </w:r>
          </w:p>
        </w:tc>
        <w:tc>
          <w:tcPr>
            <w:tcW w:w="6229"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第二十四条</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违反本规定,建筑施工企业未取得安全生产许可证擅自从事建筑施工活动的，責令其在建项目停止施工，没收违法所得，并处10万元以±50万元以下的罚款；造成重大安全事故或者其他严重后果，构成犯罪的，依法追究刑事责任。</w:t>
            </w:r>
          </w:p>
        </w:tc>
        <w:tc>
          <w:tcPr>
            <w:tcW w:w="193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0" w:lineRule="exact"/>
              <w:ind w:left="0" w:leftChars="0" w:right="0" w:firstLine="0" w:firstLine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《建筑施工企业安全生产许可证管理规定》第二十四条</w:t>
            </w:r>
          </w:p>
        </w:tc>
        <w:tc>
          <w:tcPr>
            <w:tcW w:w="1916"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numPr>
                <w:ilvl w:val="0"/>
                <w:numId w:val="0"/>
              </w:numPr>
              <w:shd w:val="clear" w:color="auto" w:fill="auto"/>
              <w:tabs>
                <w:tab w:val="left" w:pos="173"/>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责令停止施工；</w:t>
            </w:r>
          </w:p>
          <w:p>
            <w:pPr>
              <w:pStyle w:val="6"/>
              <w:keepNext w:val="0"/>
              <w:keepLines w:val="0"/>
              <w:widowControl w:val="0"/>
              <w:numPr>
                <w:ilvl w:val="0"/>
                <w:numId w:val="0"/>
              </w:numPr>
              <w:shd w:val="clear" w:color="auto" w:fill="auto"/>
              <w:tabs>
                <w:tab w:val="left" w:pos="180"/>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没收违法所得；</w:t>
            </w:r>
          </w:p>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bidi="zh-CN"/>
              </w:rPr>
              <w:t>3.</w:t>
            </w:r>
            <w:r>
              <w:rPr>
                <w:rFonts w:hint="eastAsia" w:ascii="仿宋" w:hAnsi="仿宋" w:eastAsia="仿宋" w:cs="仿宋"/>
                <w:color w:val="000000"/>
                <w:spacing w:val="0"/>
                <w:w w:val="100"/>
                <w:position w:val="0"/>
                <w:sz w:val="24"/>
                <w:szCs w:val="24"/>
                <w:lang w:val="zh-CN" w:eastAsia="zh-CN" w:bidi="zh-CN"/>
              </w:rPr>
              <w:t>罚</w:t>
            </w:r>
            <w:r>
              <w:rPr>
                <w:rFonts w:hint="eastAsia" w:ascii="仿宋" w:hAnsi="仿宋" w:eastAsia="仿宋" w:cs="仿宋"/>
                <w:color w:val="000000"/>
                <w:spacing w:val="0"/>
                <w:w w:val="100"/>
                <w:position w:val="0"/>
                <w:sz w:val="24"/>
                <w:szCs w:val="24"/>
              </w:rPr>
              <w:t>款。</w:t>
            </w:r>
          </w:p>
        </w:tc>
      </w:tr>
      <w:tr>
        <w:tblPrEx>
          <w:tblCellMar>
            <w:top w:w="0" w:type="dxa"/>
            <w:left w:w="10" w:type="dxa"/>
            <w:bottom w:w="0" w:type="dxa"/>
            <w:right w:w="10" w:type="dxa"/>
          </w:tblCellMar>
        </w:tblPrEx>
        <w:trPr>
          <w:trHeight w:val="2206" w:hRule="exact"/>
          <w:jc w:val="center"/>
        </w:trPr>
        <w:tc>
          <w:tcPr>
            <w:tcW w:w="1007"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46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8</w:t>
            </w:r>
          </w:p>
        </w:tc>
        <w:tc>
          <w:tcPr>
            <w:tcW w:w="26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4"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未配备专职安全生产管理人员对施工或作业现场进行安全管理</w:t>
            </w:r>
          </w:p>
        </w:tc>
        <w:tc>
          <w:tcPr>
            <w:tcW w:w="6229" w:type="dxa"/>
            <w:vMerge w:val="restart"/>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3"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第九十四条生产经营单位有下列行为之一的，奏令限期改正，可以处五万元以下的罚款；逾期未改正的，资令停产停业整顿，并处五万元以上十万元以下的罚款,对其直接负责的主管人员和其他直接责任人员处一万元以上二万元以下的罚款：</w:t>
            </w:r>
          </w:p>
          <w:p>
            <w:pPr>
              <w:pStyle w:val="6"/>
              <w:keepNext w:val="0"/>
              <w:keepLines w:val="0"/>
              <w:widowControl w:val="0"/>
              <w:shd w:val="clear" w:color="auto" w:fill="auto"/>
              <w:tabs>
                <w:tab w:val="left" w:pos="614"/>
              </w:tabs>
              <w:bidi w:val="0"/>
              <w:spacing w:before="0" w:after="0" w:line="243" w:lineRule="exact"/>
              <w:ind w:left="0" w:right="0" w:firstLine="16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（一）未按照规定设置安全生产管理机构或者配备安全生产管理人员的；</w:t>
            </w:r>
          </w:p>
          <w:p>
            <w:pPr>
              <w:pStyle w:val="6"/>
              <w:keepNext w:val="0"/>
              <w:keepLines w:val="0"/>
              <w:widowControl w:val="0"/>
              <w:shd w:val="clear" w:color="auto" w:fill="auto"/>
              <w:tabs>
                <w:tab w:val="left" w:pos="461"/>
              </w:tabs>
              <w:bidi w:val="0"/>
              <w:spacing w:before="0" w:after="0" w:line="243" w:lineRule="exact"/>
              <w:ind w:left="0" w:right="0" w:firstLine="16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（二）建筑施工单位的主要负责人和安全生产管理人员未按照规定经考核合格的；</w:t>
            </w:r>
          </w:p>
          <w:p>
            <w:pPr>
              <w:pStyle w:val="6"/>
              <w:keepNext w:val="0"/>
              <w:keepLines w:val="0"/>
              <w:widowControl w:val="0"/>
              <w:shd w:val="clear" w:color="auto" w:fill="auto"/>
              <w:bidi w:val="0"/>
              <w:spacing w:before="0" w:after="0" w:line="243" w:lineRule="exact"/>
              <w:ind w:left="0" w:right="0" w:firstLine="16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（七）特种作业人员未按照规定经专门的安全作业培训并取得相应资格，上岗作业的。</w:t>
            </w:r>
          </w:p>
        </w:tc>
        <w:tc>
          <w:tcPr>
            <w:tcW w:w="1930"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0"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《中华人民共和国安全生产法》第九十四条</w:t>
            </w:r>
          </w:p>
        </w:tc>
        <w:tc>
          <w:tcPr>
            <w:tcW w:w="1916" w:type="dxa"/>
            <w:vMerge w:val="restart"/>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numPr>
                <w:ilvl w:val="0"/>
                <w:numId w:val="0"/>
              </w:numPr>
              <w:shd w:val="clear" w:color="auto" w:fill="auto"/>
              <w:tabs>
                <w:tab w:val="left" w:pos="173"/>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责令改正；</w:t>
            </w:r>
          </w:p>
          <w:p>
            <w:pPr>
              <w:pStyle w:val="6"/>
              <w:keepNext w:val="0"/>
              <w:keepLines w:val="0"/>
              <w:widowControl w:val="0"/>
              <w:numPr>
                <w:ilvl w:val="0"/>
                <w:numId w:val="0"/>
              </w:numPr>
              <w:shd w:val="clear" w:color="auto" w:fill="auto"/>
              <w:tabs>
                <w:tab w:val="left" w:pos="180"/>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责令停业整顿；</w:t>
            </w:r>
          </w:p>
          <w:p>
            <w:pPr>
              <w:pStyle w:val="6"/>
              <w:keepNext w:val="0"/>
              <w:keepLines w:val="0"/>
              <w:widowControl w:val="0"/>
              <w:numPr>
                <w:ilvl w:val="0"/>
                <w:numId w:val="0"/>
              </w:numPr>
              <w:shd w:val="clear" w:color="auto" w:fill="auto"/>
              <w:tabs>
                <w:tab w:val="left" w:pos="180"/>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罚款。</w:t>
            </w:r>
          </w:p>
        </w:tc>
      </w:tr>
      <w:tr>
        <w:tblPrEx>
          <w:tblCellMar>
            <w:top w:w="0" w:type="dxa"/>
            <w:left w:w="10" w:type="dxa"/>
            <w:bottom w:w="0" w:type="dxa"/>
            <w:right w:w="10" w:type="dxa"/>
          </w:tblCellMar>
        </w:tblPrEx>
        <w:trPr>
          <w:trHeight w:val="1659" w:hRule="exact"/>
          <w:jc w:val="center"/>
        </w:trPr>
        <w:tc>
          <w:tcPr>
            <w:tcW w:w="1007" w:type="dxa"/>
            <w:vMerge w:val="continue"/>
            <w:tcBorders>
              <w:left w:val="single" w:color="auto" w:sz="4" w:space="0"/>
              <w:bottom w:val="single" w:color="auto" w:sz="4" w:space="0"/>
            </w:tcBorders>
            <w:shd w:val="clear" w:color="auto" w:fill="FFFFFF"/>
            <w:noWrap w:val="0"/>
            <w:vAlign w:val="center"/>
          </w:tcPr>
          <w:p>
            <w:pPr>
              <w:rPr>
                <w:rFonts w:hint="eastAsia" w:ascii="仿宋" w:hAnsi="仿宋" w:eastAsia="仿宋" w:cs="仿宋"/>
                <w:sz w:val="24"/>
                <w:szCs w:val="24"/>
              </w:rPr>
            </w:pPr>
          </w:p>
        </w:tc>
        <w:tc>
          <w:tcPr>
            <w:tcW w:w="465"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16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9</w:t>
            </w:r>
          </w:p>
        </w:tc>
        <w:tc>
          <w:tcPr>
            <w:tcW w:w="268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6"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施工单位的主要负责人、项目负责人、专职安全生产管理人员、作业人员或者特种作业人员，未经安全教育培训或者经考核不合格即从事相关工作的</w:t>
            </w:r>
          </w:p>
        </w:tc>
        <w:tc>
          <w:tcPr>
            <w:tcW w:w="6229" w:type="dxa"/>
            <w:vMerge w:val="continue"/>
            <w:tcBorders>
              <w:left w:val="single" w:color="auto" w:sz="4" w:space="0"/>
              <w:bottom w:val="single" w:color="auto" w:sz="4" w:space="0"/>
            </w:tcBorders>
            <w:shd w:val="clear" w:color="auto" w:fill="FFFFFF"/>
            <w:noWrap w:val="0"/>
            <w:vAlign w:val="bottom"/>
          </w:tcPr>
          <w:p>
            <w:pPr>
              <w:rPr>
                <w:rFonts w:hint="eastAsia" w:ascii="仿宋" w:hAnsi="仿宋" w:eastAsia="仿宋" w:cs="仿宋"/>
                <w:sz w:val="24"/>
                <w:szCs w:val="24"/>
              </w:rPr>
            </w:pPr>
          </w:p>
        </w:tc>
        <w:tc>
          <w:tcPr>
            <w:tcW w:w="1930" w:type="dxa"/>
            <w:vMerge w:val="continue"/>
            <w:tcBorders>
              <w:left w:val="single" w:color="auto" w:sz="4" w:space="0"/>
              <w:bottom w:val="single" w:color="auto" w:sz="4" w:space="0"/>
            </w:tcBorders>
            <w:shd w:val="clear" w:color="auto" w:fill="FFFFFF"/>
            <w:noWrap w:val="0"/>
            <w:vAlign w:val="center"/>
          </w:tcPr>
          <w:p>
            <w:pPr>
              <w:rPr>
                <w:rFonts w:hint="eastAsia" w:ascii="仿宋" w:hAnsi="仿宋" w:eastAsia="仿宋" w:cs="仿宋"/>
                <w:sz w:val="24"/>
                <w:szCs w:val="24"/>
              </w:rPr>
            </w:pPr>
          </w:p>
        </w:tc>
        <w:tc>
          <w:tcPr>
            <w:tcW w:w="1916" w:type="dxa"/>
            <w:vMerge w:val="continue"/>
            <w:tcBorders>
              <w:left w:val="single" w:color="auto" w:sz="4" w:space="0"/>
              <w:bottom w:val="single" w:color="auto" w:sz="4" w:space="0"/>
              <w:right w:val="single" w:color="auto" w:sz="4" w:space="0"/>
            </w:tcBorders>
            <w:shd w:val="clear" w:color="auto" w:fill="FFFFFF"/>
            <w:noWrap w:val="0"/>
            <w:vAlign w:val="center"/>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670" w:hRule="exact"/>
          <w:jc w:val="center"/>
        </w:trPr>
        <w:tc>
          <w:tcPr>
            <w:tcW w:w="1007"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责任主体</w:t>
            </w:r>
          </w:p>
        </w:tc>
        <w:tc>
          <w:tcPr>
            <w:tcW w:w="465" w:type="dxa"/>
            <w:tcBorders>
              <w:top w:val="single" w:color="auto" w:sz="4" w:space="0"/>
              <w:left w:val="single" w:color="auto" w:sz="4" w:space="0"/>
            </w:tcBorders>
            <w:shd w:val="clear" w:color="auto" w:fill="FFFFFF"/>
            <w:noWrap w:val="0"/>
            <w:vAlign w:val="bottom"/>
          </w:tcPr>
          <w:p>
            <w:pPr>
              <w:pStyle w:val="7"/>
              <w:keepNext w:val="0"/>
              <w:keepLines w:val="0"/>
              <w:widowControl w:val="0"/>
              <w:shd w:val="clear" w:color="auto" w:fill="auto"/>
              <w:bidi w:val="0"/>
              <w:spacing w:before="0" w:after="0" w:line="240" w:lineRule="auto"/>
              <w:ind w:right="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序号</w:t>
            </w:r>
          </w:p>
        </w:tc>
        <w:tc>
          <w:tcPr>
            <w:tcW w:w="26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违法违规行为</w:t>
            </w:r>
          </w:p>
        </w:tc>
        <w:tc>
          <w:tcPr>
            <w:tcW w:w="6229"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违反条款</w:t>
            </w:r>
          </w:p>
        </w:tc>
        <w:tc>
          <w:tcPr>
            <w:tcW w:w="1930"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处罚依据</w:t>
            </w:r>
          </w:p>
        </w:tc>
        <w:tc>
          <w:tcPr>
            <w:tcW w:w="1916" w:type="dxa"/>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执法措施</w:t>
            </w:r>
          </w:p>
        </w:tc>
      </w:tr>
      <w:tr>
        <w:tblPrEx>
          <w:tblCellMar>
            <w:top w:w="0" w:type="dxa"/>
            <w:left w:w="10" w:type="dxa"/>
            <w:bottom w:w="0" w:type="dxa"/>
            <w:right w:w="10" w:type="dxa"/>
          </w:tblCellMar>
        </w:tblPrEx>
        <w:trPr>
          <w:trHeight w:val="1512" w:hRule="exact"/>
          <w:jc w:val="center"/>
        </w:trPr>
        <w:tc>
          <w:tcPr>
            <w:tcW w:w="1007"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施工单位</w:t>
            </w:r>
          </w:p>
        </w:tc>
        <w:tc>
          <w:tcPr>
            <w:tcW w:w="46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10</w:t>
            </w:r>
          </w:p>
        </w:tc>
        <w:tc>
          <w:tcPr>
            <w:tcW w:w="2684" w:type="dxa"/>
            <w:tcBorders>
              <w:top w:val="single" w:color="auto" w:sz="4" w:space="0"/>
              <w:left w:val="single" w:color="auto" w:sz="4" w:space="0"/>
            </w:tcBorders>
            <w:shd w:val="clear" w:color="auto" w:fill="FFFFFF"/>
            <w:noWrap w:val="0"/>
            <w:vAlign w:val="bottom"/>
          </w:tcPr>
          <w:p>
            <w:pPr>
              <w:pStyle w:val="6"/>
              <w:keepNext w:val="0"/>
              <w:keepLines w:val="0"/>
              <w:widowControl w:val="0"/>
              <w:shd w:val="clear" w:color="auto" w:fill="auto"/>
              <w:bidi w:val="0"/>
              <w:spacing w:before="0" w:after="0" w:line="240"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未在施工现场的危险部位设置明显的安全警示标志，或者未按照国家有关规定在施工现场设丑消防通道、消防水源、配备消防设施和灭火器材的</w:t>
            </w:r>
          </w:p>
        </w:tc>
        <w:tc>
          <w:tcPr>
            <w:tcW w:w="6229"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3"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第九十六条</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生产经营单位有下列行为之一的，责令限期改正，可以处五万元以下的罚款；逾期未改正的，处五万元以上二十万元以下的罚款，对其直接负奏的主管人员和其他直接奏任人员处一万元以上二万元以下的罚款;情节严重的，责令停产停业整顿；构成犯罪的，依照刑法有关规定追究刑事责任：</w:t>
            </w:r>
          </w:p>
          <w:p>
            <w:pPr>
              <w:pStyle w:val="6"/>
              <w:keepNext w:val="0"/>
              <w:keepLines w:val="0"/>
              <w:widowControl w:val="0"/>
              <w:shd w:val="clear" w:color="auto" w:fill="auto"/>
              <w:bidi w:val="0"/>
              <w:spacing w:before="0" w:after="0" w:line="252" w:lineRule="exact"/>
              <w:ind w:left="0" w:right="0" w:firstLine="18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rPr>
              <w:t>未在有较大危险因素的生产经营场所和有关设施、设备上设置明显的安全警示标志的：</w:t>
            </w:r>
          </w:p>
          <w:p>
            <w:pPr>
              <w:pStyle w:val="6"/>
              <w:keepNext w:val="0"/>
              <w:keepLines w:val="0"/>
              <w:widowControl w:val="0"/>
              <w:shd w:val="clear" w:color="auto" w:fill="auto"/>
              <w:bidi w:val="0"/>
              <w:spacing w:before="0" w:after="0" w:line="252" w:lineRule="exact"/>
              <w:ind w:left="0" w:right="0" w:firstLine="18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（四）未为从业人员提供符合国家标准或者行业标准的劳动防护用品的；</w:t>
            </w:r>
          </w:p>
          <w:p>
            <w:pPr>
              <w:pStyle w:val="6"/>
              <w:keepNext w:val="0"/>
              <w:keepLines w:val="0"/>
              <w:widowControl w:val="0"/>
              <w:shd w:val="clear" w:color="auto" w:fill="auto"/>
              <w:bidi w:val="0"/>
              <w:spacing w:before="0" w:after="0" w:line="252" w:lineRule="exact"/>
              <w:ind w:left="0" w:right="0" w:firstLine="18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（六）使用应当淘汰的危及生产安全的工艺、设备的。</w:t>
            </w:r>
          </w:p>
        </w:tc>
        <w:tc>
          <w:tcPr>
            <w:tcW w:w="1930"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5"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《中华人民共和国安全生产法》第九十六条</w:t>
            </w:r>
          </w:p>
        </w:tc>
        <w:tc>
          <w:tcPr>
            <w:tcW w:w="1916" w:type="dxa"/>
            <w:vMerge w:val="restart"/>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numPr>
                <w:ilvl w:val="0"/>
                <w:numId w:val="0"/>
              </w:numPr>
              <w:shd w:val="clear" w:color="auto" w:fill="auto"/>
              <w:tabs>
                <w:tab w:val="left" w:pos="180"/>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责令改正；</w:t>
            </w:r>
          </w:p>
          <w:p>
            <w:pPr>
              <w:pStyle w:val="6"/>
              <w:keepNext w:val="0"/>
              <w:keepLines w:val="0"/>
              <w:widowControl w:val="0"/>
              <w:numPr>
                <w:ilvl w:val="0"/>
                <w:numId w:val="0"/>
              </w:numPr>
              <w:shd w:val="clear" w:color="auto" w:fill="auto"/>
              <w:tabs>
                <w:tab w:val="left" w:pos="187"/>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责令停业整顿；</w:t>
            </w:r>
          </w:p>
          <w:p>
            <w:pPr>
              <w:pStyle w:val="6"/>
              <w:keepNext w:val="0"/>
              <w:keepLines w:val="0"/>
              <w:widowControl w:val="0"/>
              <w:numPr>
                <w:ilvl w:val="0"/>
                <w:numId w:val="0"/>
              </w:numPr>
              <w:shd w:val="clear" w:color="auto" w:fill="auto"/>
              <w:tabs>
                <w:tab w:val="left" w:pos="194"/>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罚款。</w:t>
            </w:r>
          </w:p>
        </w:tc>
      </w:tr>
      <w:tr>
        <w:tblPrEx>
          <w:tblCellMar>
            <w:top w:w="0" w:type="dxa"/>
            <w:left w:w="10" w:type="dxa"/>
            <w:bottom w:w="0" w:type="dxa"/>
            <w:right w:w="10" w:type="dxa"/>
          </w:tblCellMar>
        </w:tblPrEx>
        <w:trPr>
          <w:trHeight w:val="619" w:hRule="exact"/>
          <w:jc w:val="center"/>
        </w:trPr>
        <w:tc>
          <w:tcPr>
            <w:tcW w:w="1007"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46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11</w:t>
            </w:r>
          </w:p>
        </w:tc>
        <w:tc>
          <w:tcPr>
            <w:tcW w:w="26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5" w:lineRule="exact"/>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未向作业人员提供安全防护用具和安全防护服装的</w:t>
            </w:r>
          </w:p>
        </w:tc>
        <w:tc>
          <w:tcPr>
            <w:tcW w:w="6229"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1930"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1916" w:type="dxa"/>
            <w:vMerge w:val="continue"/>
            <w:tcBorders>
              <w:left w:val="single" w:color="auto" w:sz="4" w:space="0"/>
              <w:right w:val="single" w:color="auto" w:sz="4" w:space="0"/>
            </w:tcBorders>
            <w:shd w:val="clear" w:color="auto" w:fill="FFFFFF"/>
            <w:noWrap w:val="0"/>
            <w:vAlign w:val="center"/>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1166" w:hRule="exact"/>
          <w:jc w:val="center"/>
        </w:trPr>
        <w:tc>
          <w:tcPr>
            <w:tcW w:w="1007"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46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12</w:t>
            </w:r>
          </w:p>
        </w:tc>
        <w:tc>
          <w:tcPr>
            <w:tcW w:w="26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8"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使用国家明令淘汰、禁止使用的危及施工安全的工艺、设备的</w:t>
            </w:r>
          </w:p>
        </w:tc>
        <w:tc>
          <w:tcPr>
            <w:tcW w:w="6229"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1930"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1916" w:type="dxa"/>
            <w:vMerge w:val="continue"/>
            <w:tcBorders>
              <w:left w:val="single" w:color="auto" w:sz="4" w:space="0"/>
              <w:right w:val="single" w:color="auto" w:sz="4" w:space="0"/>
            </w:tcBorders>
            <w:shd w:val="clear" w:color="auto" w:fill="FFFFFF"/>
            <w:noWrap w:val="0"/>
            <w:vAlign w:val="center"/>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742" w:hRule="exact"/>
          <w:jc w:val="center"/>
        </w:trPr>
        <w:tc>
          <w:tcPr>
            <w:tcW w:w="1007"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46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13</w:t>
            </w:r>
          </w:p>
        </w:tc>
        <w:tc>
          <w:tcPr>
            <w:tcW w:w="26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5" w:lineRule="exact"/>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施工前未对有关安全施工的技术要求作出详细说明的</w:t>
            </w:r>
          </w:p>
        </w:tc>
        <w:tc>
          <w:tcPr>
            <w:tcW w:w="6229"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9"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第六十四条 违反本条例的规定，施工单位有下列行为之一的，责令限期改正；逾期未改正的，责令停业整顿，并处5万元以上1。万元以下的罚款；造成重大安全事故，构成犯罪的，对直接责任人员，依照刑法有关规定追究刑事責任：</w:t>
            </w:r>
          </w:p>
          <w:p>
            <w:pPr>
              <w:pStyle w:val="6"/>
              <w:keepNext w:val="0"/>
              <w:keepLines w:val="0"/>
              <w:widowControl w:val="0"/>
              <w:shd w:val="clear" w:color="auto" w:fill="auto"/>
              <w:bidi w:val="0"/>
              <w:spacing w:before="0" w:after="0" w:line="239" w:lineRule="exact"/>
              <w:ind w:left="0" w:right="0" w:firstLine="46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（一）施工前未对有关安全施工的技术要求作出详细说明的；</w:t>
            </w:r>
          </w:p>
          <w:p>
            <w:pPr>
              <w:pStyle w:val="6"/>
              <w:keepNext w:val="0"/>
              <w:keepLines w:val="0"/>
              <w:widowControl w:val="0"/>
              <w:shd w:val="clear" w:color="auto" w:fill="auto"/>
              <w:bidi w:val="0"/>
              <w:spacing w:before="0" w:after="0" w:line="239" w:lineRule="exact"/>
              <w:ind w:left="0" w:right="0" w:firstLine="46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（五）未对因建设工程施工可能造成损害的毗邻建筑物、构筑物和地下管线等釆取专项防护措施的。</w:t>
            </w:r>
          </w:p>
        </w:tc>
        <w:tc>
          <w:tcPr>
            <w:tcW w:w="1930" w:type="dxa"/>
            <w:vMerge w:val="restart"/>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8"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《建设工程安全生产管理条例》第六十四条</w:t>
            </w:r>
          </w:p>
        </w:tc>
        <w:tc>
          <w:tcPr>
            <w:tcW w:w="1916" w:type="dxa"/>
            <w:vMerge w:val="restart"/>
            <w:tcBorders>
              <w:top w:val="single" w:color="auto" w:sz="4" w:space="0"/>
              <w:left w:val="single" w:color="auto" w:sz="4" w:space="0"/>
              <w:right w:val="single" w:color="auto" w:sz="4" w:space="0"/>
            </w:tcBorders>
            <w:shd w:val="clear" w:color="auto" w:fill="FFFFFF"/>
            <w:noWrap w:val="0"/>
            <w:vAlign w:val="center"/>
          </w:tcPr>
          <w:p>
            <w:pPr>
              <w:pStyle w:val="6"/>
              <w:keepNext w:val="0"/>
              <w:keepLines w:val="0"/>
              <w:widowControl w:val="0"/>
              <w:numPr>
                <w:ilvl w:val="0"/>
                <w:numId w:val="0"/>
              </w:numPr>
              <w:shd w:val="clear" w:color="auto" w:fill="auto"/>
              <w:tabs>
                <w:tab w:val="left" w:pos="180"/>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责令改正：</w:t>
            </w:r>
          </w:p>
          <w:p>
            <w:pPr>
              <w:pStyle w:val="6"/>
              <w:keepNext w:val="0"/>
              <w:keepLines w:val="0"/>
              <w:widowControl w:val="0"/>
              <w:numPr>
                <w:ilvl w:val="0"/>
                <w:numId w:val="0"/>
              </w:numPr>
              <w:shd w:val="clear" w:color="auto" w:fill="auto"/>
              <w:tabs>
                <w:tab w:val="left" w:pos="187"/>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责令停业整顿；</w:t>
            </w:r>
          </w:p>
          <w:p>
            <w:pPr>
              <w:pStyle w:val="6"/>
              <w:keepNext w:val="0"/>
              <w:keepLines w:val="0"/>
              <w:widowControl w:val="0"/>
              <w:numPr>
                <w:ilvl w:val="0"/>
                <w:numId w:val="0"/>
              </w:numPr>
              <w:shd w:val="clear" w:color="auto" w:fill="auto"/>
              <w:tabs>
                <w:tab w:val="left" w:pos="187"/>
              </w:tabs>
              <w:bidi w:val="0"/>
              <w:spacing w:before="0" w:after="0" w:line="240" w:lineRule="auto"/>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3.</w:t>
            </w:r>
            <w:r>
              <w:rPr>
                <w:rFonts w:hint="eastAsia" w:ascii="仿宋" w:hAnsi="仿宋" w:eastAsia="仿宋" w:cs="仿宋"/>
                <w:color w:val="000000"/>
                <w:spacing w:val="0"/>
                <w:w w:val="100"/>
                <w:position w:val="0"/>
                <w:sz w:val="24"/>
                <w:szCs w:val="24"/>
              </w:rPr>
              <w:t>罚款。</w:t>
            </w:r>
          </w:p>
        </w:tc>
      </w:tr>
      <w:tr>
        <w:tblPrEx>
          <w:tblCellMar>
            <w:top w:w="0" w:type="dxa"/>
            <w:left w:w="10" w:type="dxa"/>
            <w:bottom w:w="0" w:type="dxa"/>
            <w:right w:w="10" w:type="dxa"/>
          </w:tblCellMar>
        </w:tblPrEx>
        <w:trPr>
          <w:trHeight w:val="1318" w:hRule="exact"/>
          <w:jc w:val="center"/>
        </w:trPr>
        <w:tc>
          <w:tcPr>
            <w:tcW w:w="1007"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465"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14</w:t>
            </w:r>
          </w:p>
        </w:tc>
        <w:tc>
          <w:tcPr>
            <w:tcW w:w="2684" w:type="dxa"/>
            <w:tcBorders>
              <w:top w:val="single" w:color="auto" w:sz="4" w:space="0"/>
              <w:left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未对因建设工程施工可能造成损害的毗邻建筑物、构筑物和地下管线等采取专项防护措施的</w:t>
            </w:r>
          </w:p>
        </w:tc>
        <w:tc>
          <w:tcPr>
            <w:tcW w:w="6229"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1930"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1916" w:type="dxa"/>
            <w:vMerge w:val="continue"/>
            <w:tcBorders>
              <w:left w:val="single" w:color="auto" w:sz="4" w:space="0"/>
              <w:right w:val="single" w:color="auto" w:sz="4" w:space="0"/>
            </w:tcBorders>
            <w:shd w:val="clear" w:color="auto" w:fill="FFFFFF"/>
            <w:noWrap w:val="0"/>
            <w:vAlign w:val="center"/>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1431" w:hRule="exact"/>
          <w:jc w:val="center"/>
        </w:trPr>
        <w:tc>
          <w:tcPr>
            <w:tcW w:w="1007" w:type="dxa"/>
            <w:vMerge w:val="continue"/>
            <w:tcBorders>
              <w:left w:val="single" w:color="auto" w:sz="4" w:space="0"/>
              <w:bottom w:val="single" w:color="auto" w:sz="4" w:space="0"/>
            </w:tcBorders>
            <w:shd w:val="clear" w:color="auto" w:fill="FFFFFF"/>
            <w:noWrap w:val="0"/>
            <w:vAlign w:val="center"/>
          </w:tcPr>
          <w:p>
            <w:pPr>
              <w:rPr>
                <w:rFonts w:hint="eastAsia" w:ascii="仿宋" w:hAnsi="仿宋" w:eastAsia="仿宋" w:cs="仿宋"/>
                <w:sz w:val="24"/>
                <w:szCs w:val="24"/>
              </w:rPr>
            </w:pPr>
          </w:p>
        </w:tc>
        <w:tc>
          <w:tcPr>
            <w:tcW w:w="465"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15</w:t>
            </w:r>
          </w:p>
        </w:tc>
        <w:tc>
          <w:tcPr>
            <w:tcW w:w="2684"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42"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自行拆卸、安装、改装燃气设施或者进行危害室内燃气设施安全的装饰、装修等活动</w:t>
            </w:r>
          </w:p>
        </w:tc>
        <w:tc>
          <w:tcPr>
            <w:tcW w:w="6229"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382" w:lineRule="exact"/>
              <w:ind w:left="0" w:right="0" w:firstLine="18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rPr>
              <w:t>对违法人员责令改正，拒不整改的处以200元以上2000元以下的罚款。</w:t>
            </w:r>
          </w:p>
        </w:tc>
        <w:tc>
          <w:tcPr>
            <w:tcW w:w="1930" w:type="dxa"/>
            <w:tcBorders>
              <w:top w:val="single" w:color="auto" w:sz="4" w:space="0"/>
              <w:left w:val="single" w:color="auto" w:sz="4" w:space="0"/>
              <w:bottom w:val="single" w:color="auto" w:sz="4" w:space="0"/>
            </w:tcBorders>
            <w:shd w:val="clear" w:color="auto" w:fill="FFFFFF"/>
            <w:noWrap w:val="0"/>
            <w:vAlign w:val="center"/>
          </w:tcPr>
          <w:p>
            <w:pPr>
              <w:pStyle w:val="6"/>
              <w:keepNext w:val="0"/>
              <w:keepLines w:val="0"/>
              <w:widowControl w:val="0"/>
              <w:shd w:val="clear" w:color="auto" w:fill="auto"/>
              <w:bidi w:val="0"/>
              <w:spacing w:before="0" w:after="0" w:line="230" w:lineRule="exact"/>
              <w:ind w:left="0" w:leftChars="0" w:right="0" w:firstLine="0" w:firstLineChars="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《福建省燃气管理条例》</w:t>
            </w:r>
          </w:p>
        </w:tc>
        <w:tc>
          <w:tcPr>
            <w:tcW w:w="19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6"/>
              <w:keepNext w:val="0"/>
              <w:keepLines w:val="0"/>
              <w:widowControl w:val="0"/>
              <w:numPr>
                <w:ilvl w:val="0"/>
                <w:numId w:val="0"/>
              </w:numPr>
              <w:shd w:val="clear" w:color="auto" w:fill="auto"/>
              <w:tabs>
                <w:tab w:val="left" w:pos="173"/>
              </w:tabs>
              <w:bidi w:val="0"/>
              <w:spacing w:before="0" w:after="0" w:line="252" w:lineRule="exact"/>
              <w:ind w:leftChars="0" w:right="0" w:rightChars="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责令限期改正；</w:t>
            </w:r>
            <w:r>
              <w:rPr>
                <w:rFonts w:hint="eastAsia" w:ascii="仿宋" w:hAnsi="仿宋" w:eastAsia="仿宋" w:cs="仿宋"/>
                <w:color w:val="000000"/>
                <w:spacing w:val="0"/>
                <w:w w:val="100"/>
                <w:position w:val="0"/>
                <w:sz w:val="24"/>
                <w:szCs w:val="24"/>
                <w:lang w:val="en-US" w:eastAsia="zh-CN"/>
              </w:rPr>
              <w:t>2.</w:t>
            </w:r>
            <w:r>
              <w:rPr>
                <w:rFonts w:hint="eastAsia" w:ascii="仿宋" w:hAnsi="仿宋" w:eastAsia="仿宋" w:cs="仿宋"/>
                <w:color w:val="000000"/>
                <w:spacing w:val="0"/>
                <w:w w:val="100"/>
                <w:position w:val="0"/>
                <w:sz w:val="24"/>
                <w:szCs w:val="24"/>
              </w:rPr>
              <w:t>拒不整改予以罚款。</w:t>
            </w:r>
          </w:p>
        </w:tc>
      </w:tr>
    </w:tbl>
    <w:p>
      <w:pPr>
        <w:pStyle w:val="8"/>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position w:val="0"/>
          <w:sz w:val="24"/>
          <w:szCs w:val="24"/>
          <w:u w:val="none"/>
          <w:shd w:val="clear" w:color="auto" w:fill="auto"/>
          <w:lang w:val="zh-TW" w:eastAsia="zh-TW" w:bidi="zh-TW"/>
        </w:rPr>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pPr>
      <w:r>
        <w:rPr>
          <w:rFonts w:hint="eastAsia" w:ascii="仿宋" w:hAnsi="仿宋" w:eastAsia="仿宋" w:cs="仿宋"/>
          <w:color w:val="000000"/>
          <w:spacing w:val="0"/>
          <w:w w:val="100"/>
          <w:position w:val="0"/>
          <w:sz w:val="24"/>
          <w:szCs w:val="24"/>
          <w:u w:val="none"/>
          <w:shd w:val="clear" w:color="auto" w:fill="auto"/>
          <w:lang w:val="zh-TW" w:eastAsia="zh-TW" w:bidi="zh-TW"/>
        </w:rPr>
        <w:t>注：相关法律法规修订、修正或有新的法律法规，则按现行有效法律法</w:t>
      </w:r>
    </w:p>
    <w:p>
      <w:pPr>
        <w:rPr>
          <w:rFonts w:hint="eastAsia"/>
        </w:rPr>
      </w:pPr>
    </w:p>
    <w:p/>
    <w:sectPr>
      <w:pgSz w:w="11906" w:h="16838"/>
      <w:pgMar w:top="187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9942856-3E0C-4F77-A75D-94FABF6075A1}"/>
  </w:font>
  <w:font w:name="仿宋">
    <w:panose1 w:val="02010609060101010101"/>
    <w:charset w:val="86"/>
    <w:family w:val="auto"/>
    <w:pitch w:val="default"/>
    <w:sig w:usb0="800002BF" w:usb1="38CF7CFA" w:usb2="00000016" w:usb3="00000000" w:csb0="00040001" w:csb1="00000000"/>
    <w:embedRegular r:id="rId2" w:fontKey="{8462574E-41B6-48E9-8E3F-8B8C7354CA59}"/>
  </w:font>
  <w:font w:name="方正小标宋简体">
    <w:panose1 w:val="02000000000000000000"/>
    <w:charset w:val="86"/>
    <w:family w:val="script"/>
    <w:pitch w:val="default"/>
    <w:sig w:usb0="00000001" w:usb1="08000000" w:usb2="00000000" w:usb3="00000000" w:csb0="00040000" w:csb1="00000000"/>
    <w:embedRegular r:id="rId3" w:fontKey="{FFD2E74E-D735-43BB-8B2E-13B3889A70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836295</wp:posOffset>
              </wp:positionH>
              <wp:positionV relativeFrom="page">
                <wp:posOffset>6592570</wp:posOffset>
              </wp:positionV>
              <wp:extent cx="694690" cy="12827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694690" cy="128270"/>
                      </a:xfrm>
                      <a:prstGeom prst="rect">
                        <a:avLst/>
                      </a:prstGeom>
                      <a:noFill/>
                      <a:ln>
                        <a:noFill/>
                      </a:ln>
                      <a:effectLst/>
                    </wps:spPr>
                    <wps:txbx>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65.85pt;margin-top:519.1pt;height:10.1pt;width:54.7pt;mso-position-horizontal-relative:page;mso-position-vertical-relative:page;mso-wrap-style:none;z-index:-251657216;mso-width-relative:page;mso-height-relative:page;" filled="f" stroked="f" coordsize="21600,21600" o:gfxdata="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wRXgXYAAAADQEAAA8AAAAAAAAAAQAgAAAAIgAA&#10;AGRycy9kb3ducmV2LnhtbFBLAQIUABQAAAAIAIdO4kDeoeOezwEAAJsDAAAOAAAAAAAAAAEAIAAA&#10;ACcBAABkcnMvZTJvRG9jLnhtbFBLBQYAAAAABgAGAFkBAABoBQAAAAA=&#10;">
              <v:path/>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mRmZDc0NTk3YTU4ZmJlNWE0NTAwMmZmN2EwODAifQ=="/>
  </w:docVars>
  <w:rsids>
    <w:rsidRoot w:val="3A623874"/>
    <w:rsid w:val="3A623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footer"/>
    <w:basedOn w:val="1"/>
    <w:unhideWhenUsed/>
    <w:uiPriority w:val="0"/>
    <w:pPr>
      <w:tabs>
        <w:tab w:val="center" w:pos="4153"/>
        <w:tab w:val="right" w:pos="8306"/>
      </w:tabs>
      <w:snapToGrid w:val="0"/>
      <w:jc w:val="left"/>
    </w:pPr>
    <w:rPr>
      <w:sz w:val="18"/>
      <w:szCs w:val="18"/>
    </w:rPr>
  </w:style>
  <w:style w:type="paragraph" w:customStyle="1" w:styleId="6">
    <w:name w:val="Other|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Other|2"/>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8">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2024-05-28T03:14:00Z</dcterms:created>
  <dc:creator>Sue</dc:creator>
  <cp:lastModifiedBy>Sue</cp:lastModifiedBy>
  <dcterms:modified xsi:type="dcterms:W3CDTF">2024-05-28T03:16:03Z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CADAE89D4A12481195E795634E2B0864_11</vt:lpwstr>
  </property>
</Properties>
</file>