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94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993"/>
        <w:gridCol w:w="656"/>
        <w:gridCol w:w="761"/>
        <w:gridCol w:w="1134"/>
        <w:gridCol w:w="245"/>
        <w:gridCol w:w="50"/>
        <w:gridCol w:w="1548"/>
        <w:gridCol w:w="567"/>
        <w:gridCol w:w="24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223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Style w:val="9"/>
                <w:color w:val="auto"/>
              </w:rPr>
              <w:t>附件</w:t>
            </w:r>
            <w:r>
              <w:rPr>
                <w:rStyle w:val="10"/>
                <w:rFonts w:hint="eastAsia" w:eastAsia="黑体"/>
                <w:color w:val="auto"/>
              </w:rPr>
              <w:t>2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452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894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中小学配餐及食堂食品安全“点题整治”工作进展表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946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580" w:lineRule="exact"/>
              <w:textAlignment w:val="bottom"/>
              <w:rPr>
                <w:rFonts w:ascii="黑体" w:hAnsi="宋体" w:eastAsia="黑体" w:cs="黑体"/>
                <w:sz w:val="20"/>
                <w:szCs w:val="20"/>
              </w:rPr>
            </w:pPr>
            <w:r>
              <w:rPr>
                <w:rFonts w:hint="eastAsia" w:ascii="仿宋_GB2312" w:hAnsi="宋体" w:eastAsia="仿宋_GB2312" w:cs="黑体"/>
                <w:kern w:val="0"/>
                <w:szCs w:val="20"/>
              </w:rPr>
              <w:t>学校名称：</w:t>
            </w:r>
            <w:r>
              <w:rPr>
                <w:rFonts w:hint="eastAsia" w:ascii="仿宋_GB2312" w:hAnsi="宋体" w:eastAsia="仿宋_GB2312" w:cs="黑体"/>
                <w:kern w:val="0"/>
                <w:sz w:val="20"/>
                <w:szCs w:val="20"/>
              </w:rPr>
              <w:t>填报日期：     年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9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</w:rPr>
              <w:t>一、推进情况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1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仿宋_GB2312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中小学食堂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校外配餐企业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1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ind w:firstLine="400" w:firstLineChars="200"/>
              <w:jc w:val="left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中小学持证数量（食品经营许可证）</w:t>
            </w: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1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其中“互联网+明厨亮灶”覆盖数（家）</w:t>
            </w: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1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发现问题线索（条）</w:t>
            </w: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1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ind w:firstLine="400" w:firstLineChars="200"/>
              <w:jc w:val="left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其中：自查发现（条）</w:t>
            </w: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1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ind w:firstLine="1000" w:firstLineChars="500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群众投诉举报（条）</w:t>
            </w: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1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ind w:firstLine="1000" w:firstLineChars="500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部门移送（条）</w:t>
            </w: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1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移交纪检监察部门（条）</w:t>
            </w: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1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已办结（条）</w:t>
            </w: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1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立案（起）</w:t>
            </w: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1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罚没款（万元）</w:t>
            </w: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1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建立和完善制度数</w:t>
            </w: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1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通报曝光批次数（含案件数）</w:t>
            </w: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1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公布成果批次数（含项目数）</w:t>
            </w: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1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发现群众企业学校急难愁盼问题数（个）</w:t>
            </w: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1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textAlignment w:val="center"/>
              <w:rPr>
                <w:rFonts w:ascii="仿宋_GB2312" w:hAnsi="宋体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推动解决急难愁盼问题数（个）</w:t>
            </w:r>
          </w:p>
        </w:tc>
        <w:tc>
          <w:tcPr>
            <w:tcW w:w="24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1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工作成效</w:t>
            </w:r>
          </w:p>
        </w:tc>
        <w:tc>
          <w:tcPr>
            <w:tcW w:w="48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1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left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整治工作存在问题</w:t>
            </w:r>
          </w:p>
        </w:tc>
        <w:tc>
          <w:tcPr>
            <w:tcW w:w="48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89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</w:rPr>
              <w:t>二、问题线索台账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序号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时间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线索来源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内容概况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现场处置情况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kern w:val="0"/>
                <w:sz w:val="20"/>
                <w:szCs w:val="20"/>
              </w:rPr>
              <w:t>推动整改情况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例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2024.5.10</w:t>
            </w: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自查发现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调料超过</w:t>
            </w:r>
          </w:p>
          <w:p>
            <w:pPr>
              <w:widowControl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保质期</w:t>
            </w: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现场销毁处理，并记录在日管控、周排查、月调度材料</w:t>
            </w: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2024.5.11前组织对所有食材原料进行清查，并加强食材验收和员工培训，确保不再出现此类食品安全隐患。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仿宋_GB2312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8946" w:type="dxa"/>
            <w:gridSpan w:val="10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80" w:lineRule="exact"/>
            </w:pPr>
            <w:r>
              <w:rPr>
                <w:rFonts w:hint="eastAsia"/>
              </w:rPr>
              <w:t>备注：线索来源包括：自查发现、群众投诉举报、部门移送。</w:t>
            </w:r>
          </w:p>
          <w:p>
            <w:pPr>
              <w:pStyle w:val="6"/>
              <w:ind w:firstLine="200"/>
            </w:pPr>
          </w:p>
        </w:tc>
      </w:tr>
    </w:tbl>
    <w:p/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-226060</wp:posOffset>
              </wp:positionV>
              <wp:extent cx="989965" cy="4629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9965" cy="4629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ind w:firstLine="280" w:firstLineChars="100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14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7.8pt;height:36.45pt;width:77.95pt;mso-position-horizontal:center;mso-position-horizontal-relative:margin;z-index:251659264;mso-width-relative:page;mso-height-relative:page;" filled="f" stroked="f" coordsize="21600,21600" o:gfxdata="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xrPQX1gAAAAcBAAAPAAAAAAAAAAEAIAAAACIAAABkcnMvZG93bnJl&#10;di54bWxQSwECFAAUAAAACACHTuJAILvfWzgCAABj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ind w:firstLine="280" w:firstLineChars="100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t>14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1CC04E2F"/>
    <w:rsid w:val="1CC0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semiHidden/>
    <w:qFormat/>
    <w:uiPriority w:val="0"/>
    <w:rPr>
      <w:rFonts w:ascii="Times New Roman" w:hAnsi="Times New Roman"/>
      <w:sz w:val="18"/>
      <w:szCs w:val="18"/>
    </w:rPr>
  </w:style>
  <w:style w:type="paragraph" w:styleId="3">
    <w:name w:val="endnote text"/>
    <w:qFormat/>
    <w:uiPriority w:val="0"/>
    <w:pPr>
      <w:widowControl w:val="0"/>
      <w:snapToGrid w:val="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"/>
    <w:basedOn w:val="4"/>
    <w:qFormat/>
    <w:uiPriority w:val="0"/>
    <w:pPr>
      <w:ind w:firstLine="420" w:firstLineChars="100"/>
    </w:pPr>
    <w:rPr>
      <w:kern w:val="0"/>
      <w:sz w:val="20"/>
      <w:szCs w:val="20"/>
    </w:rPr>
  </w:style>
  <w:style w:type="character" w:customStyle="1" w:styleId="9">
    <w:name w:val="font41"/>
    <w:basedOn w:val="8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character" w:customStyle="1" w:styleId="10">
    <w:name w:val="font11"/>
    <w:basedOn w:val="8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2024-06-12T01:30:00Z</dcterms:created>
  <dc:creator>心是重生的季节</dc:creator>
  <cp:lastModifiedBy>心是重生的季节</cp:lastModifiedBy>
  <dcterms:modified xsi:type="dcterms:W3CDTF">2024-06-12T01:31:02Z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B811002EC8DD49A282C41CBD13E28830_11</vt:lpwstr>
  </property>
</Properties>
</file>