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8A19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宁化县林业局</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关于印发</w:t>
      </w:r>
    </w:p>
    <w:p w14:paraId="1ADCEC4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肖家国控断面水质提升工作防控方案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的通知</w:t>
      </w:r>
    </w:p>
    <w:p w14:paraId="703BB23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（征求意见稿）</w:t>
      </w:r>
    </w:p>
    <w:p w14:paraId="690B83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07659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林业各有关单位：</w:t>
      </w:r>
    </w:p>
    <w:p w14:paraId="05AAF1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现将《肖家国控断面水质提升工作防控方案》印发给你们，请结合工作实际，认真抓好贯彻落实。</w:t>
      </w:r>
    </w:p>
    <w:p w14:paraId="08766F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27EA7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71776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FA61B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宁化县林业局</w:t>
      </w:r>
    </w:p>
    <w:p w14:paraId="50C9EF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2026年6月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p>
    <w:p w14:paraId="6A556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2556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695C34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4A1265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5C2BAC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9BE523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813474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8AE95E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61DD8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47D2F0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9192A3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肖家国控断面水质提升工作防控方案</w:t>
      </w:r>
    </w:p>
    <w:p w14:paraId="3B97C8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34DE2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为深入贯彻落实县委、县政府关于肖家国控断面水质提升工作的部署要求，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切实保障</w:t>
      </w:r>
      <w:r>
        <w:rPr>
          <w:rFonts w:hint="eastAsia" w:ascii="仿宋_GB2312" w:hAnsi="仿宋_GB2312" w:eastAsia="仿宋_GB2312" w:cs="仿宋_GB2312"/>
          <w:color w:val="000000" w:themeColor="text1"/>
          <w:sz w:val="32"/>
          <w:szCs w:val="32"/>
          <w14:textFill>
            <w14:solidFill>
              <w14:schemeClr w14:val="tx1"/>
            </w14:solidFill>
          </w14:textFill>
        </w:rPr>
        <w:t>肖家国控断面水质稳定达标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针对林业生产活动中可能引发的水土流失及生态破坏等问题，</w:t>
      </w:r>
      <w:r>
        <w:rPr>
          <w:rFonts w:hint="eastAsia" w:ascii="仿宋_GB2312" w:hAnsi="仿宋_GB2312" w:eastAsia="仿宋_GB2312" w:cs="仿宋_GB2312"/>
          <w:color w:val="000000" w:themeColor="text1"/>
          <w:sz w:val="32"/>
          <w:szCs w:val="32"/>
          <w14:textFill>
            <w14:solidFill>
              <w14:schemeClr w14:val="tx1"/>
            </w14:solidFill>
          </w14:textFill>
        </w:rPr>
        <w:t>特制定本方案。</w:t>
      </w:r>
      <w:bookmarkStart w:id="0" w:name="_GoBack"/>
      <w:bookmarkEnd w:id="0"/>
    </w:p>
    <w:p w14:paraId="308908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一、总体目标</w:t>
      </w:r>
    </w:p>
    <w:p w14:paraId="207FD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肖家国控断面水质稳定达标的核心任务，全面强化林业生态源头管控。通过严格规范林木采伐、科学推进植树造林、依法严管林地使用，最大限度减少林业生产活动对水体的污染与生态扰动，实现森林植被结构优化、水源涵养能力增强、水土流失有效遏制，构建“林水共生、长效提质”的林业生态保护格局，为水环境质量根本改善提供坚实保障。</w:t>
      </w:r>
    </w:p>
    <w:p w14:paraId="228860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工作重点</w:t>
      </w:r>
    </w:p>
    <w:p w14:paraId="5B1EC6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严格</w:t>
      </w:r>
      <w:r>
        <w:rPr>
          <w:rFonts w:hint="eastAsia" w:ascii="楷体_GB2312" w:hAnsi="楷体_GB2312" w:eastAsia="楷体_GB2312" w:cs="楷体_GB2312"/>
          <w:color w:val="000000" w:themeColor="text1"/>
          <w:sz w:val="32"/>
          <w:szCs w:val="32"/>
          <w14:textFill>
            <w14:solidFill>
              <w14:schemeClr w14:val="tx1"/>
            </w14:solidFill>
          </w14:textFill>
        </w:rPr>
        <w:t>规范林木采伐</w:t>
      </w:r>
    </w:p>
    <w:p w14:paraId="08D17C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1.严把审批关。一是加强采伐地块位置核对。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采伐作业设计及审核时，</w:t>
      </w:r>
      <w:r>
        <w:rPr>
          <w:rFonts w:hint="eastAsia" w:ascii="仿宋_GB2312" w:hAnsi="仿宋_GB2312" w:eastAsia="仿宋_GB2312" w:cs="仿宋_GB2312"/>
          <w:color w:val="000000" w:themeColor="text1"/>
          <w:sz w:val="32"/>
          <w:szCs w:val="32"/>
          <w:lang w:eastAsia="zh-CN"/>
          <w14:textFill>
            <w14:solidFill>
              <w14:schemeClr w14:val="tx1"/>
            </w14:solidFill>
          </w14:textFill>
        </w:rPr>
        <w:t>精准落图核对采伐地块位置，逐一核查是否坐落于饮用水水源保护区、江河干流及一级支流两岸、国省干线公路沿线、高速铁路线路廊道、生态保护红线、公益林核心区等禁限伐重点区域。</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对重点区域严格执行非必要不采伐原则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因基础设施建设、森林抚育、灾害木清理等确需采伐的，须附专题论证材料，严禁大面积皆伐，仅允许小面积择伐、抚育间伐、灾害木清理采伐，单次采伐面积、采伐蓄积严格限定在省级林业主管部门划定限额内。</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作业设计全要素规范报审。</w:t>
      </w:r>
      <w:r>
        <w:rPr>
          <w:rFonts w:hint="eastAsia" w:ascii="仿宋_GB2312" w:hAnsi="仿宋_GB2312" w:eastAsia="仿宋_GB2312" w:cs="仿宋_GB2312"/>
          <w:color w:val="000000" w:themeColor="text1"/>
          <w:sz w:val="32"/>
          <w:szCs w:val="32"/>
          <w:lang w:eastAsia="zh-CN"/>
          <w14:textFill>
            <w14:solidFill>
              <w14:schemeClr w14:val="tx1"/>
            </w14:solidFill>
          </w14:textFill>
        </w:rPr>
        <w:t>采伐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设计必须完整标注采伐四至边界、采伐树种、采伐蓄积、采伐株数、采伐方式、采伐强度等；</w:t>
      </w:r>
      <w:r>
        <w:rPr>
          <w:rFonts w:hint="eastAsia" w:ascii="仿宋_GB2312" w:hAnsi="仿宋_GB2312" w:eastAsia="仿宋_GB2312" w:cs="仿宋_GB2312"/>
          <w:color w:val="000000" w:themeColor="text1"/>
          <w:sz w:val="32"/>
          <w:szCs w:val="32"/>
          <w:lang w:eastAsia="zh-CN"/>
          <w14:textFill>
            <w14:solidFill>
              <w14:schemeClr w14:val="tx1"/>
            </w14:solidFill>
          </w14:textFill>
        </w:rPr>
        <w:t>集材道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作业设计</w:t>
      </w:r>
      <w:r>
        <w:rPr>
          <w:rFonts w:hint="eastAsia" w:ascii="仿宋_GB2312" w:hAnsi="仿宋_GB2312" w:eastAsia="仿宋_GB2312" w:cs="仿宋_GB2312"/>
          <w:color w:val="000000" w:themeColor="text1"/>
          <w:sz w:val="32"/>
          <w:szCs w:val="32"/>
          <w:lang w:eastAsia="zh-CN"/>
          <w14:textFill>
            <w14:solidFill>
              <w14:schemeClr w14:val="tx1"/>
            </w14:solidFill>
          </w14:textFill>
        </w:rPr>
        <w:t>必须完整标注</w:t>
      </w:r>
      <w:r>
        <w:rPr>
          <w:rFonts w:hint="eastAsia" w:ascii="仿宋_GB2312" w:hAnsi="仿宋_GB2312" w:eastAsia="仿宋_GB2312" w:cs="仿宋_GB2312"/>
          <w:color w:val="000000" w:themeColor="text1"/>
          <w:sz w:val="32"/>
          <w:szCs w:val="32"/>
          <w:lang w:eastAsia="zh-CN"/>
          <w14:textFill>
            <w14:solidFill>
              <w14:schemeClr w14:val="tx1"/>
            </w14:solidFill>
          </w14:textFill>
        </w:rPr>
        <w:t>集材道走向、路面宽度、坡度限制，</w:t>
      </w:r>
      <w:r>
        <w:rPr>
          <w:rFonts w:hint="eastAsia" w:ascii="仿宋_GB2312" w:hAnsi="仿宋_GB2312" w:eastAsia="仿宋_GB2312" w:cs="仿宋_GB2312"/>
          <w:color w:val="000000" w:themeColor="text1"/>
          <w:sz w:val="32"/>
          <w:szCs w:val="32"/>
          <w:lang w:eastAsia="zh-CN"/>
          <w14:textFill>
            <w14:solidFill>
              <w14:schemeClr w14:val="tx1"/>
            </w14:solidFill>
          </w14:textFill>
        </w:rPr>
        <w:t>明确集材道施工的范围。要素不全、设计不合理的，一律退回修改，不予核发采伐许可证。</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采伐限额与权属双重核验。</w:t>
      </w:r>
      <w:r>
        <w:rPr>
          <w:rFonts w:hint="eastAsia" w:ascii="仿宋_GB2312" w:hAnsi="仿宋_GB2312" w:eastAsia="仿宋_GB2312" w:cs="仿宋_GB2312"/>
          <w:color w:val="000000" w:themeColor="text1"/>
          <w:sz w:val="32"/>
          <w:szCs w:val="32"/>
          <w:lang w:eastAsia="zh-CN"/>
          <w14:textFill>
            <w14:solidFill>
              <w14:schemeClr w14:val="tx1"/>
            </w14:solidFill>
          </w14:textFill>
        </w:rPr>
        <w:t>审批时同步核验采伐申请人林木权属证明、年度采伐剩余限额，杜绝超限额分解采伐、拆分地块规避限额审批、冒用他人林权申请采伐等行为；权属不清、存在纠纷的，暂缓审批。（</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责任单位：局森林资源管理股（规划队）、各林业站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0EE49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2.严把监管关。一是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伐前交底与公示。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采伐许可证核发后3个工作日内，赴伐区现场，向采伐作业负责人、施工人员宣读采伐许可范围、采伐方式、禁采林木、集材道施工要求、安全规范；</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伐区全过程常态化巡查。</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根据采伐作业规模划分巡查频次，小规模采伐每日至少现场巡查1次，大面积连片采伐安排专人驻场监管。巡查核心核查内容：</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）林木采伐</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方面</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核查实际采伐树种、株数、蓄积，严禁超范围、超蓄积、无证采伐，严禁采伐设计外的保护树种、幼树、母树；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采伐作业方式：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严格对照设计检查，禁止擅自将择伐改为皆伐、扩大采伐强度，抚育采伐不得过度砍伐保留林木；</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集材施工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方面</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监督集材道严格按照设计走向、宽度施工，不得随意拓宽、改道、新增临时集材道，督促施工方同步修建排水沟，防止集材作业造成水土流失、碾压损毁周边未采伐林木。</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违规行为即时处置与留档。</w:t>
      </w:r>
      <w:r>
        <w:rPr>
          <w:rFonts w:hint="eastAsia" w:ascii="仿宋_GB2312" w:hAnsi="仿宋_GB2312" w:eastAsia="仿宋_GB2312" w:cs="仿宋_GB2312"/>
          <w:color w:val="000000" w:themeColor="text1"/>
          <w:sz w:val="32"/>
          <w:szCs w:val="32"/>
          <w:lang w:eastAsia="zh-CN"/>
          <w14:textFill>
            <w14:solidFill>
              <w14:schemeClr w14:val="tx1"/>
            </w14:solidFill>
          </w14:textFill>
        </w:rPr>
        <w:t>巡查发现违规采伐、擅自更改作业方案、违规修建集材道等问题，第一时间责令立即停止采伐作业，现场固定影像证据（照片、视频，需拍摄伐区全景、违规点位、采伐机具、作业人员），同步做好现场巡查笔录、当事人询问笔录。轻微违规当场下达整改通知书，限定整改时限；涉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违法的按属地管辖原则建立台账、立案查处并整改，</w:t>
      </w:r>
      <w:r>
        <w:rPr>
          <w:rFonts w:hint="eastAsia" w:ascii="仿宋_GB2312" w:hAnsi="仿宋_GB2312" w:eastAsia="仿宋_GB2312" w:cs="仿宋_GB2312"/>
          <w:color w:val="000000" w:themeColor="text1"/>
          <w:sz w:val="32"/>
          <w:szCs w:val="32"/>
          <w:lang w:eastAsia="zh-CN"/>
          <w14:textFill>
            <w14:solidFill>
              <w14:schemeClr w14:val="tx1"/>
            </w14:solidFill>
          </w14:textFill>
        </w:rPr>
        <w:t>所有巡查记录、影像资料、文书材料分类归档，作为案件查处、后续验收的完整佐证材料，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同时上报至执法专班备案。</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采伐期限管控。</w:t>
      </w:r>
      <w:r>
        <w:rPr>
          <w:rFonts w:hint="eastAsia" w:ascii="仿宋_GB2312" w:hAnsi="仿宋_GB2312" w:eastAsia="仿宋_GB2312" w:cs="仿宋_GB2312"/>
          <w:color w:val="000000" w:themeColor="text1"/>
          <w:sz w:val="32"/>
          <w:szCs w:val="32"/>
          <w:lang w:eastAsia="zh-CN"/>
          <w14:textFill>
            <w14:solidFill>
              <w14:schemeClr w14:val="tx1"/>
            </w14:solidFill>
          </w14:textFill>
        </w:rPr>
        <w:t>临近采伐许可截止日期前5日开展提醒核查，超期未完成采伐的，未申请延期的责令停止作业，严禁超许可期限继续采伐。（</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责任单位：县属林场、基地站、各林业站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9DE0A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3.严把</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验收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关。</w:t>
      </w:r>
      <w:r>
        <w:rPr>
          <w:rFonts w:hint="eastAsia" w:ascii="仿宋_GB2312" w:hAnsi="仿宋_GB2312" w:eastAsia="仿宋_GB2312" w:cs="仿宋_GB2312"/>
          <w:color w:val="000000" w:themeColor="text1"/>
          <w:sz w:val="32"/>
          <w:szCs w:val="32"/>
          <w:lang w:eastAsia="zh-CN"/>
          <w14:textFill>
            <w14:solidFill>
              <w14:schemeClr w14:val="tx1"/>
            </w14:solidFill>
          </w14:textFill>
        </w:rPr>
        <w:t>采伐作业期满或施工结束后，开展伐区全面验收，验收不合格不予销号、不受理该地块后续采伐申请。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逐项对照方案实地核验。</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验收人员携带采伐许可文件、作业设计图纸，实地核对伐区四至边界、实际采伐蓄积/株数，比对设计与实际施工情况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采伐环节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核查是否超采、错采保护林木，采伐剩余物是否按要求清理规整；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集材设施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检查集材道是否按设计完工、排水沟是否通畅，有无私自新增、拓宽集材道造成大面积破土。</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二是抓实</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不合格伐区处置。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存在擅自变更采伐方式、超范围采伐、集材道未按设计施工、水土保持措施未落实等不符合设计施工情形的，一律不予通过伐区验收，当场出具书面整改意见书，明确整改内容、整改时限、复查要求。采伐方完成整改后提交复查申请，验收人员二次现场核查，整改到位后方可通过验收；拒不整改、整改后仍不达标的，将违规行为记入采伐申请人信用档案，暂停受理其后续所有林木采伐申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责任单位：县属林场、基地站、各林业站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323FF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（二）科学推进植树造林</w:t>
      </w:r>
    </w:p>
    <w:p w14:paraId="05FBCC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1.规范林地清理。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广不炼山清理、耙带造林模式，伐除造林地内非目的树种、杂草、杂灌及藤本植物，伐后植株留存高度控制在20cm以内，可视立地条件保留部分树干通直、材质优良的阔叶树幼树；林地清理剩余物沿等高线自上而下水平堆置成带、平铺于种植带之间，有效防控水土流失。坡度35°以上山场、悬崖峭壁及水土流失严重区域，严禁实施炼山作业。</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（责任单位：县属林场、基地站、各林业站）</w:t>
      </w:r>
    </w:p>
    <w:p w14:paraId="2D8A1C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2.规范机械使用。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坡度25°以上山场，禁止大型钩机全垦整地；重要饮用水水源一重山山坡地、闽江干流及一级支流两岸一重山范围、铁路与公路两侧外延50米内坡度10°以上山坡地、25°以上陡坡地、饮用水一级保护区山坡地等特定区域全面禁止钩机等工程机械开展整地施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（责任单位：县属林场、基地站、各林业站）</w:t>
      </w:r>
    </w:p>
    <w:p w14:paraId="6CD11E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3.提升造林质量。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先选用鳞苞锥、苦槠、赤皮青冈、木荷、枫香、闽楠等乡土阔叶树种及水源涵养能力强的树种，科学培育复层异龄混交林。全面推行“山顶戴帽、山腰系裙、山脚穿鞋”生态营造模式，山顶、坡脚、沟边等水土流失易发地段保留5—10米原生植被缓冲带。</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（责任单位：县属林场、基地站、各林业站）</w:t>
      </w:r>
    </w:p>
    <w:p w14:paraId="33A4F9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4.强化监管验收。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照设计图纸逐地块跟踪施工进度，重点检查：是否落实不炼山清理、耙带造林模式；是否违规使用钩机全垦；原生植被保留带是否被破坏，发现问题及时下达整改通知书，拒不整改的暂停该地块所有作业。造林结束后，对照设计进行全面核验，凡未按设计施工的，一律不予验收通过，不计入造林面积，不拨付补助资金，并限期返工整改。</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（责任单位：局造林绿化股、县属林场、基地站、各林业站）</w:t>
      </w:r>
    </w:p>
    <w:p w14:paraId="7387B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（三）严格林地使用管理</w:t>
      </w:r>
    </w:p>
    <w:p w14:paraId="142C2D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1.加强督导审核。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坚持督导前置，即：监管走在开工前、要求落在审批时，提前踏勘定边界、提前交底明责任、提前研判防风险、提前把关控标准。聚焦养殖场等易污染领域，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严格审核环境配套方案，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不合规不审批，严控各类污染及生态破坏风险。（</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责任单位：局森林资源管理股、各林业站</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560CA77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2.加强林地监管。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林业站对使用林地项目开展常态化动态巡查并在项目实施初期至少开展1次现场巡查，森林资源管理股对永久使用林地项目实施过程中至少开展1次现场巡查，严防移位、错位、少批多占、批东占西及非法倾倒固体废物等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各乡镇护林员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加强对林地的日常巡查，对河流、水库、饮用水源地等水系周边林地实施重点监管，严厉查处林地内违规养殖、乱搭棚舍、毁林开垦、非法取土采砂等易造成水质污染的违法行为。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责任单位：局森林资源管理股（含执法专班）、各林业站</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460071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3.加强项目核验。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使用林地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完工后，各林业站对照审批文件开展实地核验，重点核查项目使用林地位置、范围、面积、用途与审批内容的一致性（重点项目森林资源管理股一起参与实地核验），对超出审批范围、擅自改变林地用途的，依法依规处理并责令限期恢复植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责任单位：局森林资源管理股（含执法专班）、各林业站</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2C065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三、保障措施</w:t>
      </w:r>
    </w:p>
    <w:p w14:paraId="5B774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（一）加强组织领导。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各责任单位要提高政治站位，严格对照方案要求，逐项认领任务，并细化分解到具体岗位和人员。局主要领导负总责，分管领导具体抓，确保肖家国控断面水质提升工作落地见效。</w:t>
      </w:r>
    </w:p>
    <w:p w14:paraId="03BB6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（二）加强协同联动。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加强与生态环境、水利等部门的沟通联系，协同处置涉林涉水环境问题。对跨乡镇的林地使用项目，相关林业站要主动对接，明确监管范围，杜绝监管盲区。</w:t>
      </w:r>
    </w:p>
    <w:p w14:paraId="7B32A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（三）加强宣传引导。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通过多种渠道，广泛宣传林业生产活动与水质保护的关系，解读林木采伐、植树造林、林地使用等政策要求，提升群众依法采伐、依法用林和生态保护意识，营造共同守护森林生态、提升水环境的浓厚氛围。</w:t>
      </w:r>
    </w:p>
    <w:sectPr>
      <w:footerReference r:id="rId3" w:type="default"/>
      <w:pgSz w:w="11906" w:h="16838"/>
      <w:pgMar w:top="1474" w:right="1417" w:bottom="147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CC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9E09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99E09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50B"/>
    <w:rsid w:val="00563274"/>
    <w:rsid w:val="006360BD"/>
    <w:rsid w:val="00EF7950"/>
    <w:rsid w:val="024C492F"/>
    <w:rsid w:val="025657AD"/>
    <w:rsid w:val="02D212D8"/>
    <w:rsid w:val="02DC57FB"/>
    <w:rsid w:val="0352293B"/>
    <w:rsid w:val="035D3297"/>
    <w:rsid w:val="036D1000"/>
    <w:rsid w:val="038F0F77"/>
    <w:rsid w:val="03C055D4"/>
    <w:rsid w:val="04A80DAF"/>
    <w:rsid w:val="04ED41A7"/>
    <w:rsid w:val="05047743"/>
    <w:rsid w:val="055D75CA"/>
    <w:rsid w:val="05616943"/>
    <w:rsid w:val="057523EE"/>
    <w:rsid w:val="05852631"/>
    <w:rsid w:val="058A5E9A"/>
    <w:rsid w:val="05AC4062"/>
    <w:rsid w:val="05EC0902"/>
    <w:rsid w:val="05FD2B10"/>
    <w:rsid w:val="06110369"/>
    <w:rsid w:val="07D57174"/>
    <w:rsid w:val="08422A5C"/>
    <w:rsid w:val="08C1117D"/>
    <w:rsid w:val="092403B3"/>
    <w:rsid w:val="0955056D"/>
    <w:rsid w:val="096637D9"/>
    <w:rsid w:val="097E7AC3"/>
    <w:rsid w:val="09DF42DA"/>
    <w:rsid w:val="09F4422A"/>
    <w:rsid w:val="0A287A2F"/>
    <w:rsid w:val="0A441A30"/>
    <w:rsid w:val="0B1306DF"/>
    <w:rsid w:val="0B325009"/>
    <w:rsid w:val="0B3C7C36"/>
    <w:rsid w:val="0B6E1DBA"/>
    <w:rsid w:val="0B73117E"/>
    <w:rsid w:val="0B9A2BAF"/>
    <w:rsid w:val="0B9E444D"/>
    <w:rsid w:val="0BB93035"/>
    <w:rsid w:val="0BE1258C"/>
    <w:rsid w:val="0C322DE7"/>
    <w:rsid w:val="0C434FF4"/>
    <w:rsid w:val="0C523489"/>
    <w:rsid w:val="0D305579"/>
    <w:rsid w:val="0D8B27AF"/>
    <w:rsid w:val="0EDB1514"/>
    <w:rsid w:val="0EEE56EB"/>
    <w:rsid w:val="0F67724C"/>
    <w:rsid w:val="10AD6EE0"/>
    <w:rsid w:val="11BF5B71"/>
    <w:rsid w:val="11CB3AC2"/>
    <w:rsid w:val="11E06E41"/>
    <w:rsid w:val="12665599"/>
    <w:rsid w:val="127A1044"/>
    <w:rsid w:val="13511DA5"/>
    <w:rsid w:val="13651CF4"/>
    <w:rsid w:val="1441006B"/>
    <w:rsid w:val="14495172"/>
    <w:rsid w:val="14DA74C7"/>
    <w:rsid w:val="14DE58BA"/>
    <w:rsid w:val="14EB7FD7"/>
    <w:rsid w:val="15204125"/>
    <w:rsid w:val="16227A29"/>
    <w:rsid w:val="16924BAE"/>
    <w:rsid w:val="16A50D85"/>
    <w:rsid w:val="16E9278E"/>
    <w:rsid w:val="17F81389"/>
    <w:rsid w:val="18730A0F"/>
    <w:rsid w:val="189E3CDE"/>
    <w:rsid w:val="18A01259"/>
    <w:rsid w:val="18DC4807"/>
    <w:rsid w:val="1934019F"/>
    <w:rsid w:val="193B777F"/>
    <w:rsid w:val="198A6011"/>
    <w:rsid w:val="198A7DBF"/>
    <w:rsid w:val="19DA7D08"/>
    <w:rsid w:val="1A501008"/>
    <w:rsid w:val="1A562397"/>
    <w:rsid w:val="1A952EBF"/>
    <w:rsid w:val="1BBB0703"/>
    <w:rsid w:val="1BC25F36"/>
    <w:rsid w:val="1C0302FC"/>
    <w:rsid w:val="1C2A7637"/>
    <w:rsid w:val="1CD852E5"/>
    <w:rsid w:val="1CE617B0"/>
    <w:rsid w:val="1D1B1B6E"/>
    <w:rsid w:val="1DAA28AB"/>
    <w:rsid w:val="1DC35D6A"/>
    <w:rsid w:val="1E0F11DA"/>
    <w:rsid w:val="1E472722"/>
    <w:rsid w:val="1E537319"/>
    <w:rsid w:val="1E9E60BA"/>
    <w:rsid w:val="1EC93137"/>
    <w:rsid w:val="1F574BE7"/>
    <w:rsid w:val="1F62533A"/>
    <w:rsid w:val="1F875754"/>
    <w:rsid w:val="1FA616CA"/>
    <w:rsid w:val="1FF00B97"/>
    <w:rsid w:val="20346CD6"/>
    <w:rsid w:val="20564E9E"/>
    <w:rsid w:val="21244F9D"/>
    <w:rsid w:val="2197576F"/>
    <w:rsid w:val="221C5C74"/>
    <w:rsid w:val="224C47AB"/>
    <w:rsid w:val="22AC524A"/>
    <w:rsid w:val="23164DB9"/>
    <w:rsid w:val="232A616E"/>
    <w:rsid w:val="237D6BE6"/>
    <w:rsid w:val="23871813"/>
    <w:rsid w:val="23B720F8"/>
    <w:rsid w:val="23E34C9B"/>
    <w:rsid w:val="24183C32"/>
    <w:rsid w:val="243C084F"/>
    <w:rsid w:val="24AC7783"/>
    <w:rsid w:val="24E567F1"/>
    <w:rsid w:val="25292B82"/>
    <w:rsid w:val="25754019"/>
    <w:rsid w:val="25F50CB6"/>
    <w:rsid w:val="2613738E"/>
    <w:rsid w:val="276205CD"/>
    <w:rsid w:val="27E40FE2"/>
    <w:rsid w:val="28B409B4"/>
    <w:rsid w:val="29192F0D"/>
    <w:rsid w:val="29442DDB"/>
    <w:rsid w:val="295977AD"/>
    <w:rsid w:val="2A0239A1"/>
    <w:rsid w:val="2A13795C"/>
    <w:rsid w:val="2A306760"/>
    <w:rsid w:val="2A6308E4"/>
    <w:rsid w:val="2A8B3997"/>
    <w:rsid w:val="2AC1560A"/>
    <w:rsid w:val="2AF7727E"/>
    <w:rsid w:val="2B02634F"/>
    <w:rsid w:val="2B147E30"/>
    <w:rsid w:val="2D984D48"/>
    <w:rsid w:val="2E701821"/>
    <w:rsid w:val="2EC90F31"/>
    <w:rsid w:val="2ECE02F6"/>
    <w:rsid w:val="2F1A178D"/>
    <w:rsid w:val="2FF43D8C"/>
    <w:rsid w:val="304E16EE"/>
    <w:rsid w:val="306453B6"/>
    <w:rsid w:val="30A26617"/>
    <w:rsid w:val="30AE03DF"/>
    <w:rsid w:val="31866FD3"/>
    <w:rsid w:val="31C854D0"/>
    <w:rsid w:val="325C33D8"/>
    <w:rsid w:val="32843AED"/>
    <w:rsid w:val="3307027A"/>
    <w:rsid w:val="33792F26"/>
    <w:rsid w:val="33C87A09"/>
    <w:rsid w:val="33E81E5A"/>
    <w:rsid w:val="34367069"/>
    <w:rsid w:val="34390907"/>
    <w:rsid w:val="34EC3BCC"/>
    <w:rsid w:val="34FB5BBD"/>
    <w:rsid w:val="35076310"/>
    <w:rsid w:val="35942299"/>
    <w:rsid w:val="35AB313F"/>
    <w:rsid w:val="35C4598D"/>
    <w:rsid w:val="36C00E6C"/>
    <w:rsid w:val="36E42DAC"/>
    <w:rsid w:val="370C40B1"/>
    <w:rsid w:val="37184804"/>
    <w:rsid w:val="371C0798"/>
    <w:rsid w:val="37645C9B"/>
    <w:rsid w:val="377A4946"/>
    <w:rsid w:val="38003C16"/>
    <w:rsid w:val="38031A69"/>
    <w:rsid w:val="3810197F"/>
    <w:rsid w:val="38234D94"/>
    <w:rsid w:val="382471D8"/>
    <w:rsid w:val="393578EF"/>
    <w:rsid w:val="3959122D"/>
    <w:rsid w:val="399D5494"/>
    <w:rsid w:val="39F7023F"/>
    <w:rsid w:val="3A3A2CE3"/>
    <w:rsid w:val="3A4963CA"/>
    <w:rsid w:val="3A4D2A17"/>
    <w:rsid w:val="3A4D6EBA"/>
    <w:rsid w:val="3AC52EF5"/>
    <w:rsid w:val="3B1672AC"/>
    <w:rsid w:val="3BC60CD2"/>
    <w:rsid w:val="3C9E57AB"/>
    <w:rsid w:val="3D05582A"/>
    <w:rsid w:val="3D0715A3"/>
    <w:rsid w:val="3D3D5195"/>
    <w:rsid w:val="3D801355"/>
    <w:rsid w:val="3E045AE2"/>
    <w:rsid w:val="3E921340"/>
    <w:rsid w:val="3EAE5A4E"/>
    <w:rsid w:val="3ECA6D2C"/>
    <w:rsid w:val="3ECF4342"/>
    <w:rsid w:val="3F650802"/>
    <w:rsid w:val="401364B0"/>
    <w:rsid w:val="406B468E"/>
    <w:rsid w:val="40B24593"/>
    <w:rsid w:val="40B437EF"/>
    <w:rsid w:val="40F005A0"/>
    <w:rsid w:val="41401527"/>
    <w:rsid w:val="41406E31"/>
    <w:rsid w:val="414A7CB0"/>
    <w:rsid w:val="41A05B22"/>
    <w:rsid w:val="41D35EF7"/>
    <w:rsid w:val="421B164C"/>
    <w:rsid w:val="422A188F"/>
    <w:rsid w:val="425D3A13"/>
    <w:rsid w:val="42D75573"/>
    <w:rsid w:val="431163AB"/>
    <w:rsid w:val="432509D4"/>
    <w:rsid w:val="43B34232"/>
    <w:rsid w:val="44004F9E"/>
    <w:rsid w:val="4420119C"/>
    <w:rsid w:val="445175A7"/>
    <w:rsid w:val="44BC0EC5"/>
    <w:rsid w:val="45442C68"/>
    <w:rsid w:val="45703A5D"/>
    <w:rsid w:val="45A55DFD"/>
    <w:rsid w:val="46132D66"/>
    <w:rsid w:val="465E7D59"/>
    <w:rsid w:val="467B090B"/>
    <w:rsid w:val="46C93D6D"/>
    <w:rsid w:val="46F10BCE"/>
    <w:rsid w:val="47537014"/>
    <w:rsid w:val="47841A42"/>
    <w:rsid w:val="47F92430"/>
    <w:rsid w:val="488B752C"/>
    <w:rsid w:val="48CA190C"/>
    <w:rsid w:val="48F87C35"/>
    <w:rsid w:val="49042E3A"/>
    <w:rsid w:val="49861AA1"/>
    <w:rsid w:val="49867CF3"/>
    <w:rsid w:val="49F41101"/>
    <w:rsid w:val="4A914BA1"/>
    <w:rsid w:val="4AE64EED"/>
    <w:rsid w:val="4B137364"/>
    <w:rsid w:val="4B4B6AFE"/>
    <w:rsid w:val="4B9304A5"/>
    <w:rsid w:val="4B9506C1"/>
    <w:rsid w:val="4BA97CC9"/>
    <w:rsid w:val="4C15535E"/>
    <w:rsid w:val="4C3345EE"/>
    <w:rsid w:val="4CFA6A2E"/>
    <w:rsid w:val="4D3721DD"/>
    <w:rsid w:val="4E037B64"/>
    <w:rsid w:val="4E0F6509"/>
    <w:rsid w:val="4E4A12EF"/>
    <w:rsid w:val="4E797E26"/>
    <w:rsid w:val="4E7D7917"/>
    <w:rsid w:val="4EAB488F"/>
    <w:rsid w:val="4EC15A64"/>
    <w:rsid w:val="4FCE7CFE"/>
    <w:rsid w:val="4FD07F1A"/>
    <w:rsid w:val="4FF04118"/>
    <w:rsid w:val="4FFF6109"/>
    <w:rsid w:val="504306EC"/>
    <w:rsid w:val="50C57353"/>
    <w:rsid w:val="51B55619"/>
    <w:rsid w:val="51EE6435"/>
    <w:rsid w:val="52102850"/>
    <w:rsid w:val="534D3630"/>
    <w:rsid w:val="53781522"/>
    <w:rsid w:val="5394125E"/>
    <w:rsid w:val="54413194"/>
    <w:rsid w:val="549C03CB"/>
    <w:rsid w:val="54C23CBD"/>
    <w:rsid w:val="54EA355C"/>
    <w:rsid w:val="55020B76"/>
    <w:rsid w:val="558268BE"/>
    <w:rsid w:val="559D264C"/>
    <w:rsid w:val="562B5EAA"/>
    <w:rsid w:val="5647080A"/>
    <w:rsid w:val="565371AF"/>
    <w:rsid w:val="56813D1C"/>
    <w:rsid w:val="56E36785"/>
    <w:rsid w:val="56F00EA2"/>
    <w:rsid w:val="57284198"/>
    <w:rsid w:val="57462870"/>
    <w:rsid w:val="57580F21"/>
    <w:rsid w:val="57954C2F"/>
    <w:rsid w:val="57EF2F07"/>
    <w:rsid w:val="58150567"/>
    <w:rsid w:val="584C2108"/>
    <w:rsid w:val="5875165E"/>
    <w:rsid w:val="597E09E7"/>
    <w:rsid w:val="598F04FE"/>
    <w:rsid w:val="59DE3233"/>
    <w:rsid w:val="5ABF4E13"/>
    <w:rsid w:val="5B6E5DA9"/>
    <w:rsid w:val="5C3830CF"/>
    <w:rsid w:val="5C6043D4"/>
    <w:rsid w:val="5CBB785C"/>
    <w:rsid w:val="5DD62B9F"/>
    <w:rsid w:val="5E2F22B0"/>
    <w:rsid w:val="5EBA3BDD"/>
    <w:rsid w:val="5F1E7B33"/>
    <w:rsid w:val="5F6441DB"/>
    <w:rsid w:val="60145C01"/>
    <w:rsid w:val="60883EF9"/>
    <w:rsid w:val="608E59B3"/>
    <w:rsid w:val="60E05AE3"/>
    <w:rsid w:val="61273712"/>
    <w:rsid w:val="6183303E"/>
    <w:rsid w:val="6200468F"/>
    <w:rsid w:val="625B7B17"/>
    <w:rsid w:val="62DF24F6"/>
    <w:rsid w:val="632F68AE"/>
    <w:rsid w:val="635D166D"/>
    <w:rsid w:val="63A4104A"/>
    <w:rsid w:val="63B868A3"/>
    <w:rsid w:val="63DF02D4"/>
    <w:rsid w:val="63F35B2D"/>
    <w:rsid w:val="642A77A1"/>
    <w:rsid w:val="643E149E"/>
    <w:rsid w:val="644A1BF1"/>
    <w:rsid w:val="652266CA"/>
    <w:rsid w:val="65385EEE"/>
    <w:rsid w:val="66703465"/>
    <w:rsid w:val="66763171"/>
    <w:rsid w:val="66952ECC"/>
    <w:rsid w:val="66C043ED"/>
    <w:rsid w:val="671B1623"/>
    <w:rsid w:val="674E24C7"/>
    <w:rsid w:val="680D18B3"/>
    <w:rsid w:val="6885769C"/>
    <w:rsid w:val="68A67612"/>
    <w:rsid w:val="68E819D9"/>
    <w:rsid w:val="69A1709D"/>
    <w:rsid w:val="69A753F0"/>
    <w:rsid w:val="6A050A5F"/>
    <w:rsid w:val="6A114F5F"/>
    <w:rsid w:val="6B4C44A1"/>
    <w:rsid w:val="6BCA186A"/>
    <w:rsid w:val="6BEA3CBA"/>
    <w:rsid w:val="6C383089"/>
    <w:rsid w:val="6C823EF2"/>
    <w:rsid w:val="6D45564C"/>
    <w:rsid w:val="6D7D3037"/>
    <w:rsid w:val="6E6E2980"/>
    <w:rsid w:val="6E8B3532"/>
    <w:rsid w:val="6F174DC6"/>
    <w:rsid w:val="6F4B4A6F"/>
    <w:rsid w:val="6F7E4E45"/>
    <w:rsid w:val="6FFB6495"/>
    <w:rsid w:val="702E686B"/>
    <w:rsid w:val="70343755"/>
    <w:rsid w:val="709D754D"/>
    <w:rsid w:val="70B07280"/>
    <w:rsid w:val="70B86135"/>
    <w:rsid w:val="7104581E"/>
    <w:rsid w:val="718B55F7"/>
    <w:rsid w:val="718C1A9B"/>
    <w:rsid w:val="71AE38A6"/>
    <w:rsid w:val="72987FCC"/>
    <w:rsid w:val="72B33057"/>
    <w:rsid w:val="730C11BA"/>
    <w:rsid w:val="73AA26AC"/>
    <w:rsid w:val="73C82B32"/>
    <w:rsid w:val="742C4E6F"/>
    <w:rsid w:val="74D379E1"/>
    <w:rsid w:val="7544268D"/>
    <w:rsid w:val="75587EE6"/>
    <w:rsid w:val="759C6025"/>
    <w:rsid w:val="75C335B1"/>
    <w:rsid w:val="76796B5A"/>
    <w:rsid w:val="767E397C"/>
    <w:rsid w:val="76AE24B4"/>
    <w:rsid w:val="7715608F"/>
    <w:rsid w:val="77974CF6"/>
    <w:rsid w:val="77D71596"/>
    <w:rsid w:val="78811502"/>
    <w:rsid w:val="79144124"/>
    <w:rsid w:val="796E7CD8"/>
    <w:rsid w:val="79823784"/>
    <w:rsid w:val="79982FA7"/>
    <w:rsid w:val="79CB6ED9"/>
    <w:rsid w:val="7A3E58FC"/>
    <w:rsid w:val="7A503E41"/>
    <w:rsid w:val="7AA634A2"/>
    <w:rsid w:val="7ABB1DEA"/>
    <w:rsid w:val="7B1A0118"/>
    <w:rsid w:val="7B711D02"/>
    <w:rsid w:val="7B811F45"/>
    <w:rsid w:val="7B9003DA"/>
    <w:rsid w:val="7BA8402C"/>
    <w:rsid w:val="7C5238E1"/>
    <w:rsid w:val="7C8B294F"/>
    <w:rsid w:val="7CBC0D5A"/>
    <w:rsid w:val="7CE3278B"/>
    <w:rsid w:val="7CEF7382"/>
    <w:rsid w:val="7D1D3EEF"/>
    <w:rsid w:val="7D851A94"/>
    <w:rsid w:val="7D8D7597"/>
    <w:rsid w:val="7DF74740"/>
    <w:rsid w:val="7E292420"/>
    <w:rsid w:val="7E7E09BD"/>
    <w:rsid w:val="7EB04911"/>
    <w:rsid w:val="7F233313"/>
    <w:rsid w:val="7F6C6A68"/>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3353</Words>
  <Characters>3376</Characters>
  <Lines>0</Lines>
  <Paragraphs>0</Paragraphs>
  <TotalTime>0</TotalTime>
  <ScaleCrop>false</ScaleCrop>
  <LinksUpToDate>false</LinksUpToDate>
  <CharactersWithSpaces>3438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2026-06-14T08:52:00Z</dcterms:created>
  <dc:creator>Administrator</dc:creator>
  <cp:lastModifiedBy>Administrator</cp:lastModifiedBy>
  <dcterms:modified xsi:type="dcterms:W3CDTF">2026-06-18T09:45:37Z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eyJoZGlkIjoiMjE4YmFjZjUyOGIxZmQyYWMxMGMwMGNiOTE4MjQ3ZGYifQ==</vt:lpwstr>
  </property>
  <property fmtid="{D5CDD505-2E9C-101B-9397-08002B2CF9AE}" pid="4" name="ICV">
    <vt:lpwstr>0DC5FB06D73A4BFE8D75935E826D94D1_13</vt:lpwstr>
  </property>
</Properties>
</file>