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813E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color w:val="000000" w:themeColor="text1"/>
          <w:sz w:val="40"/>
          <w:szCs w:val="40"/>
          <w14:textFill>
            <w14:solidFill>
              <w14:schemeClr w14:val="tx1"/>
            </w14:solidFill>
          </w14:textFill>
        </w:rPr>
        <w:t>宁化</w:t>
      </w:r>
      <w:r>
        <w:rPr>
          <w:rFonts w:hint="eastAsia" w:ascii="方正小标宋简体" w:hAnsi="方正小标宋简体" w:eastAsia="方正小标宋简体" w:cs="方正小标宋简体"/>
          <w:b w:val="0"/>
          <w:color w:val="000000" w:themeColor="text1"/>
          <w:sz w:val="40"/>
          <w:szCs w:val="40"/>
          <w:lang w:eastAsia="zh-CN"/>
          <w14:textFill>
            <w14:solidFill>
              <w14:schemeClr w14:val="tx1"/>
            </w14:solidFill>
          </w14:textFill>
        </w:rPr>
        <w:t>县</w:t>
      </w:r>
      <w:r>
        <w:rPr>
          <w:rFonts w:hint="eastAsia" w:ascii="方正小标宋简体" w:hAnsi="方正小标宋简体" w:eastAsia="方正小标宋简体" w:cs="方正小标宋简体"/>
          <w:b w:val="0"/>
          <w:color w:val="000000" w:themeColor="text1"/>
          <w:sz w:val="40"/>
          <w:szCs w:val="40"/>
          <w14:textFill>
            <w14:solidFill>
              <w14:schemeClr w14:val="tx1"/>
            </w14:solidFill>
          </w14:textFill>
        </w:rPr>
        <w:t>电子商务产业园管理</w:t>
      </w:r>
      <w:r>
        <w:rPr>
          <w:rFonts w:hint="eastAsia" w:ascii="方正小标宋简体" w:hAnsi="方正小标宋简体" w:eastAsia="方正小标宋简体" w:cs="方正小标宋简体"/>
          <w:b w:val="0"/>
          <w:color w:val="000000" w:themeColor="text1"/>
          <w:sz w:val="40"/>
          <w:szCs w:val="40"/>
          <w:lang w:eastAsia="zh-CN"/>
          <w14:textFill>
            <w14:solidFill>
              <w14:schemeClr w14:val="tx1"/>
            </w14:solidFill>
          </w14:textFill>
        </w:rPr>
        <w:t>规定</w:t>
      </w:r>
    </w:p>
    <w:p w14:paraId="2D1749D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(征求意见稿）</w:t>
      </w:r>
    </w:p>
    <w:p w14:paraId="402AA855">
      <w:pPr>
        <w:pStyle w:val="3"/>
        <w:pageBreakBefore w:val="0"/>
        <w:kinsoku/>
        <w:wordWrap/>
        <w:overflowPunct/>
        <w:topLinePunct w:val="0"/>
        <w:autoSpaceDE/>
        <w:autoSpaceDN/>
        <w:bidi w:val="0"/>
        <w:adjustRightInd/>
        <w:spacing w:line="560" w:lineRule="exact"/>
        <w:jc w:val="center"/>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黑体" w:hAnsi="宋体" w:cs="Times New Roman"/>
          <w:b w:val="0"/>
          <w:bCs w:val="0"/>
        </w:rPr>
        <w:t>第一章  总则</w:t>
      </w:r>
    </w:p>
    <w:p w14:paraId="3CAA424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第一条 </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为加强宁化</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电子商务产业园</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（以下简称“产业园”）</w:t>
      </w:r>
      <w:r>
        <w:rPr>
          <w:rFonts w:hint="eastAsia" w:ascii="仿宋_GB2312" w:hAnsi="仿宋_GB2312" w:eastAsia="仿宋_GB2312" w:cs="仿宋_GB2312"/>
          <w:color w:val="000000" w:themeColor="text1"/>
          <w:sz w:val="32"/>
          <w:szCs w:val="32"/>
          <w14:textFill>
            <w14:solidFill>
              <w14:schemeClr w14:val="tx1"/>
            </w14:solidFill>
          </w14:textFill>
        </w:rPr>
        <w:t>的规范管理，更好地服务于电商</w:t>
      </w:r>
      <w:r>
        <w:rPr>
          <w:rFonts w:hint="eastAsia" w:ascii="仿宋_GB2312" w:hAnsi="仿宋_GB2312" w:eastAsia="仿宋_GB2312" w:cs="仿宋_GB2312"/>
          <w:color w:val="000000" w:themeColor="text1"/>
          <w:sz w:val="32"/>
          <w:szCs w:val="32"/>
          <w:lang w:eastAsia="zh-CN"/>
          <w14:textFill>
            <w14:solidFill>
              <w14:schemeClr w14:val="tx1"/>
            </w14:solidFill>
          </w14:textFill>
        </w:rPr>
        <w:t>企</w:t>
      </w:r>
      <w:r>
        <w:rPr>
          <w:rFonts w:hint="eastAsia" w:ascii="仿宋_GB2312" w:hAnsi="仿宋_GB2312" w:eastAsia="仿宋_GB2312" w:cs="仿宋_GB2312"/>
          <w:color w:val="000000" w:themeColor="text1"/>
          <w:sz w:val="32"/>
          <w:szCs w:val="32"/>
          <w14:textFill>
            <w14:solidFill>
              <w14:schemeClr w14:val="tx1"/>
            </w14:solidFill>
          </w14:textFill>
        </w:rPr>
        <w:t>业，保障产业园</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规范、稳健</w:t>
      </w:r>
      <w:r>
        <w:rPr>
          <w:rFonts w:hint="eastAsia" w:ascii="仿宋_GB2312" w:hAnsi="仿宋_GB2312" w:eastAsia="仿宋_GB2312" w:cs="仿宋_GB2312"/>
          <w:color w:val="000000" w:themeColor="text1"/>
          <w:sz w:val="32"/>
          <w:szCs w:val="32"/>
          <w14:textFill>
            <w14:solidFill>
              <w14:schemeClr w14:val="tx1"/>
            </w14:solidFill>
          </w14:textFill>
        </w:rPr>
        <w:t>运行，提升产业园品牌形象，特制定本</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w:t>
      </w:r>
    </w:p>
    <w:p w14:paraId="5F1BA296">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适用于产业园所有入驻企业。</w:t>
      </w:r>
    </w:p>
    <w:p w14:paraId="72E9D872">
      <w:pPr>
        <w:pStyle w:val="3"/>
        <w:pageBreakBefore w:val="0"/>
        <w:kinsoku/>
        <w:wordWrap/>
        <w:overflowPunct/>
        <w:topLinePunct w:val="0"/>
        <w:autoSpaceDE/>
        <w:autoSpaceDN/>
        <w:bidi w:val="0"/>
        <w:adjustRightInd/>
        <w:spacing w:line="560" w:lineRule="exact"/>
        <w:jc w:val="center"/>
        <w:textAlignment w:val="auto"/>
        <w:rPr>
          <w:rFonts w:hint="eastAsia" w:ascii="黑体" w:hAnsi="宋体" w:cs="Times New Roman"/>
          <w:b w:val="0"/>
          <w:bCs w:val="0"/>
        </w:rPr>
      </w:pPr>
      <w:bookmarkStart w:id="0" w:name="_Toc505697693"/>
      <w:r>
        <w:rPr>
          <w:rFonts w:hint="eastAsia" w:ascii="黑体" w:hAnsi="宋体" w:cs="Times New Roman"/>
          <w:b w:val="0"/>
          <w:bCs w:val="0"/>
        </w:rPr>
        <w:t>第二章  管理机构</w:t>
      </w:r>
      <w:bookmarkEnd w:id="0"/>
    </w:p>
    <w:p w14:paraId="6BEEF3B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第三条</w:t>
      </w:r>
      <w:r>
        <w:rPr>
          <w:rFonts w:hint="eastAsia" w:ascii="仿宋_GB2312" w:hAnsi="仿宋" w:eastAsia="仿宋_GB2312" w:cs="仿宋"/>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县工业和信息化局（以下简称“工信局”）</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制订招商管理规定</w:t>
      </w:r>
      <w:r>
        <w:rPr>
          <w:rFonts w:hint="eastAsia" w:ascii="仿宋_GB2312" w:hAnsi="仿宋_GB2312" w:eastAsia="仿宋_GB2312" w:cs="仿宋_GB2312"/>
          <w:color w:val="000000" w:themeColor="text1"/>
          <w:sz w:val="32"/>
          <w:szCs w:val="32"/>
          <w14:textFill>
            <w14:solidFill>
              <w14:schemeClr w14:val="tx1"/>
            </w14:solidFill>
          </w14:textFill>
        </w:rPr>
        <w:t>和入驻企业考评工作，保障产业园良好运行。宁化县城乡投资经营集团有限公司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（以下简称“城投集团”）负责租金收缴，楼体、公共场所（如卫生间、电梯等）的维护、保养与修缮。</w:t>
      </w:r>
    </w:p>
    <w:p w14:paraId="7ADE7962">
      <w:pPr>
        <w:pStyle w:val="3"/>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color w:val="000000" w:themeColor="text1"/>
          <w14:textFill>
            <w14:solidFill>
              <w14:schemeClr w14:val="tx1"/>
            </w14:solidFill>
          </w14:textFill>
        </w:rPr>
      </w:pPr>
      <w:r>
        <w:rPr>
          <w:rFonts w:hint="eastAsia" w:ascii="黑体" w:hAnsi="宋体" w:cs="Times New Roman"/>
          <w:b w:val="0"/>
          <w:bCs w:val="0"/>
        </w:rPr>
        <w:t>第三章  入驻企业要求</w:t>
      </w:r>
    </w:p>
    <w:p w14:paraId="387A8A0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入驻园区企业条件：</w:t>
      </w:r>
    </w:p>
    <w:p w14:paraId="4EDE8EB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入驻企业（团队）必须从事数字化、电子商务相关行业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(包含但不限于自媒体、新媒体、视频剪辑等）</w:t>
      </w:r>
      <w:r>
        <w:rPr>
          <w:rFonts w:hint="eastAsia" w:ascii="仿宋_GB2312" w:hAnsi="仿宋_GB2312" w:eastAsia="仿宋_GB2312" w:cs="仿宋_GB2312"/>
          <w:color w:val="000000" w:themeColor="text1"/>
          <w:sz w:val="32"/>
          <w:szCs w:val="32"/>
          <w:lang w:eastAsia="zh-CN"/>
          <w14:textFill>
            <w14:solidFill>
              <w14:schemeClr w14:val="tx1"/>
            </w14:solidFill>
          </w14:textFill>
        </w:rPr>
        <w:t>，所经营的活动和产品需拉动本县经济增长、或带动本县农产品、特色产品销售等。</w:t>
      </w:r>
    </w:p>
    <w:p w14:paraId="00E45F38">
      <w:pPr>
        <w:pStyle w:val="3"/>
        <w:pageBreakBefore w:val="0"/>
        <w:kinsoku/>
        <w:wordWrap/>
        <w:overflowPunct/>
        <w:topLinePunct w:val="0"/>
        <w:autoSpaceDE/>
        <w:autoSpaceDN/>
        <w:bidi w:val="0"/>
        <w:adjustRightInd/>
        <w:spacing w:line="560" w:lineRule="exact"/>
        <w:jc w:val="center"/>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黑体" w:hAnsi="宋体" w:cs="Times New Roman"/>
          <w:b w:val="0"/>
          <w:bCs w:val="0"/>
        </w:rPr>
        <w:t>第四章  入驻及退出操作流程</w:t>
      </w:r>
    </w:p>
    <w:p w14:paraId="496ED4C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企业入驻流程</w:t>
      </w:r>
    </w:p>
    <w:p w14:paraId="68E1BD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其程序为：填写入驻申请表→核准→与工信局签署“入驻协议”→缴纳入驻押金→与城投集团签订“租赁协议”→企业入驻。</w:t>
      </w:r>
    </w:p>
    <w:p w14:paraId="50AFCE45">
      <w:pPr>
        <w:pStyle w:val="6"/>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申请：由企业提供相关资料，填写《宁化县电子商务产业园入驻申请表》。</w:t>
      </w:r>
      <w:r>
        <w:rPr>
          <w:rFonts w:hint="eastAsia" w:ascii="仿宋_GB2312" w:hAnsi="仿宋_GB2312" w:eastAsia="仿宋_GB2312" w:cs="仿宋_GB2312"/>
          <w:sz w:val="32"/>
          <w:szCs w:val="32"/>
          <w:shd w:val="clear" w:color="auto" w:fill="FFFFFF"/>
        </w:rPr>
        <w:t>提供拟</w:t>
      </w:r>
      <w:r>
        <w:rPr>
          <w:rFonts w:hint="eastAsia" w:ascii="仿宋_GB2312" w:hAnsi="仿宋_GB2312" w:eastAsia="仿宋_GB2312" w:cs="仿宋_GB2312"/>
          <w:sz w:val="32"/>
          <w:szCs w:val="32"/>
          <w:shd w:val="clear" w:color="auto" w:fill="FFFFFF"/>
          <w:lang w:eastAsia="zh-CN"/>
        </w:rPr>
        <w:t>入驻</w:t>
      </w:r>
      <w:r>
        <w:rPr>
          <w:rFonts w:hint="eastAsia" w:ascii="仿宋_GB2312" w:hAnsi="仿宋_GB2312" w:eastAsia="仿宋_GB2312" w:cs="仿宋_GB2312"/>
          <w:sz w:val="32"/>
          <w:szCs w:val="32"/>
          <w:shd w:val="clear" w:color="auto" w:fill="FFFFFF"/>
        </w:rPr>
        <w:t>项目的基本材料，包括</w:t>
      </w:r>
      <w:r>
        <w:rPr>
          <w:rFonts w:hint="eastAsia" w:ascii="仿宋_GB2312" w:hAnsi="仿宋_GB2312" w:eastAsia="仿宋_GB2312" w:cs="仿宋_GB2312"/>
          <w:sz w:val="32"/>
          <w:szCs w:val="32"/>
          <w:shd w:val="clear" w:color="auto" w:fill="FFFFFF"/>
          <w:lang w:eastAsia="zh-CN"/>
        </w:rPr>
        <w:t>但不限于</w:t>
      </w:r>
      <w:r>
        <w:rPr>
          <w:rFonts w:hint="eastAsia" w:ascii="仿宋_GB2312" w:hAnsi="仿宋_GB2312" w:eastAsia="仿宋_GB2312" w:cs="仿宋_GB2312"/>
          <w:sz w:val="32"/>
          <w:szCs w:val="32"/>
          <w:shd w:val="clear" w:color="auto" w:fill="FFFFFF"/>
        </w:rPr>
        <w:t>公司简介、</w:t>
      </w:r>
      <w:r>
        <w:rPr>
          <w:rFonts w:hint="eastAsia" w:ascii="仿宋_GB2312" w:hAnsi="仿宋_GB2312" w:eastAsia="仿宋_GB2312" w:cs="仿宋_GB2312"/>
          <w:sz w:val="32"/>
          <w:szCs w:val="32"/>
          <w:shd w:val="clear" w:color="auto" w:fill="FFFFFF"/>
          <w:lang w:eastAsia="zh-CN"/>
        </w:rPr>
        <w:t>经营类型</w:t>
      </w:r>
      <w:r>
        <w:rPr>
          <w:rFonts w:hint="eastAsia" w:ascii="仿宋_GB2312" w:hAnsi="仿宋_GB2312" w:eastAsia="仿宋_GB2312" w:cs="仿宋_GB2312"/>
          <w:sz w:val="32"/>
          <w:szCs w:val="32"/>
          <w:shd w:val="clear" w:color="auto" w:fill="FFFFFF"/>
        </w:rPr>
        <w:t>、预计年</w:t>
      </w:r>
      <w:r>
        <w:rPr>
          <w:rFonts w:hint="eastAsia" w:ascii="仿宋_GB2312" w:hAnsi="仿宋_GB2312" w:eastAsia="仿宋_GB2312" w:cs="仿宋_GB2312"/>
          <w:sz w:val="32"/>
          <w:szCs w:val="32"/>
          <w:shd w:val="clear" w:color="auto" w:fill="FFFFFF"/>
          <w:lang w:eastAsia="zh-CN"/>
        </w:rPr>
        <w:t>销售额</w:t>
      </w:r>
      <w:r>
        <w:rPr>
          <w:rFonts w:hint="eastAsia" w:ascii="仿宋_GB2312" w:hAnsi="仿宋_GB2312" w:eastAsia="仿宋_GB2312" w:cs="仿宋_GB2312"/>
          <w:sz w:val="32"/>
          <w:szCs w:val="32"/>
          <w:shd w:val="clear" w:color="auto" w:fill="FFFFFF"/>
        </w:rPr>
        <w:t>、税收和就业等。</w:t>
      </w:r>
    </w:p>
    <w:p w14:paraId="0EE91E30">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核准：</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经县工信局党组会研究同意入驻后，对企业申请表进行核准。</w:t>
      </w:r>
    </w:p>
    <w:p w14:paraId="3DA6DFE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3.签署“入驻协议”：通过审核的企业与县工信局签订《入驻协议》。</w:t>
      </w:r>
    </w:p>
    <w:p w14:paraId="6F3BCF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企业入驻：企业首次入驻需先缴纳入驻押金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=10元*租赁面积*2</w:t>
      </w:r>
      <w:r>
        <w:rPr>
          <w:rFonts w:hint="eastAsia" w:ascii="仿宋_GB2312" w:hAnsi="仿宋_GB2312" w:eastAsia="仿宋_GB2312" w:cs="仿宋_GB2312"/>
          <w:color w:val="000000" w:themeColor="text1"/>
          <w:sz w:val="32"/>
          <w:szCs w:val="32"/>
          <w:lang w:eastAsia="zh-CN"/>
          <w14:textFill>
            <w14:solidFill>
              <w14:schemeClr w14:val="tx1"/>
            </w14:solidFill>
          </w14:textFill>
        </w:rPr>
        <w:t>。退出时在无欠房租、物业、水电等费用以及房屋内部没有损坏需修缮的情况，即可全额退回。若出现以上情况该笔资金用于支付相应欠款，多退少补。</w:t>
      </w:r>
    </w:p>
    <w:p w14:paraId="3FE6FB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签订“租赁协议”</w:t>
      </w:r>
    </w:p>
    <w:p w14:paraId="0A8667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 w:hAnsi="仿宋" w:eastAsia="仿宋" w:cs="Arial"/>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企业退出流程</w:t>
      </w:r>
    </w:p>
    <w:p w14:paraId="0E70AD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其程序为：填写退出项目情况表→核准→签“退出协议”→退还入驻押金。</w:t>
      </w:r>
    </w:p>
    <w:p w14:paraId="0FD2AF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申请：由企业提供相关资料，填写《电子商务产业园退出确认表》。</w:t>
      </w:r>
    </w:p>
    <w:p w14:paraId="794BEE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核准：县城投集团进行相关政府资产清点盘算，清算后县工信局予以核准。</w:t>
      </w:r>
    </w:p>
    <w:p w14:paraId="7BB9D8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签署“退出协议”：企业与县工信局签订《退出协议》，做好退出交接工作。未签署《退出协议》的企业押金不予退还。</w:t>
      </w:r>
    </w:p>
    <w:p w14:paraId="51AD0B99">
      <w:pPr>
        <w:pStyle w:val="3"/>
        <w:pageBreakBefore w:val="0"/>
        <w:kinsoku/>
        <w:wordWrap/>
        <w:overflowPunct/>
        <w:topLinePunct w:val="0"/>
        <w:autoSpaceDE/>
        <w:autoSpaceDN/>
        <w:bidi w:val="0"/>
        <w:adjustRightInd/>
        <w:spacing w:line="560" w:lineRule="exact"/>
        <w:jc w:val="center"/>
        <w:textAlignment w:val="auto"/>
        <w:rPr>
          <w:rFonts w:ascii="黑体" w:hAnsi="黑体" w:eastAsia="黑体" w:cs="仿宋_GB2312"/>
          <w:b w:val="0"/>
          <w:bCs w:val="0"/>
          <w:color w:val="000000"/>
        </w:rPr>
      </w:pPr>
      <w:r>
        <w:rPr>
          <w:rFonts w:hint="eastAsia" w:ascii="黑体" w:hAnsi="宋体" w:cs="Times New Roman"/>
          <w:b w:val="0"/>
          <w:bCs w:val="0"/>
          <w:lang w:val="en-US" w:eastAsia="zh-CN"/>
        </w:rPr>
        <w:t xml:space="preserve">第五章 </w:t>
      </w:r>
      <w:r>
        <w:rPr>
          <w:rFonts w:hint="eastAsia" w:ascii="黑体" w:hAnsi="黑体" w:cs="仿宋_GB2312"/>
          <w:b w:val="0"/>
          <w:bCs w:val="0"/>
          <w:color w:val="000000"/>
          <w:lang w:eastAsia="zh-CN"/>
        </w:rPr>
        <w:t>考核管理办法及租金标准</w:t>
      </w:r>
    </w:p>
    <w:p w14:paraId="1EEC6723">
      <w:pPr>
        <w:pageBreakBefore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为进一步优化产业园管理，高效利用产业园资源，制定本企业考核管理办法。本管理办法适用于电子商务产业园，考核对象为产业园承租企业。考核坚持公平公正公开的原则，考核结果作为收取产业园企业办公室租金的重要依据。​</w:t>
      </w:r>
    </w:p>
    <w:p w14:paraId="396B91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考核内容包括产业带动、财政贡献、入统、带动就业、企业管理等五个方面，具体内容及评分标准如下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(以下涉及面积单位均为租赁办公室实际使用面积，不包含公摊）</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14:paraId="47CD8E93">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产业带动（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分）​</w:t>
      </w:r>
    </w:p>
    <w:p w14:paraId="2CAE2C52">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基础分：当年全年销售额达到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12000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元 /㎡/ 年，可得 10 分。​</w:t>
      </w:r>
    </w:p>
    <w:p w14:paraId="17B6DC8C">
      <w:pPr>
        <w:pageBreakBefore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超额加分：以网络店铺后台数据为依据，每增加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元 /㎡/ 年，加 2 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封顶35分。</w:t>
      </w:r>
    </w:p>
    <w:p w14:paraId="6114C5A7">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财政贡献（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分）​</w:t>
      </w:r>
    </w:p>
    <w:p w14:paraId="6E715D55">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基础分：企业财政贡献方面，地方实得税收（免抵调视同缴税）满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元 /㎡/ 年，需提供税务完税凭证，可得 10 分。​</w:t>
      </w:r>
    </w:p>
    <w:p w14:paraId="2E922DA6">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超额加分：每增加 100 元 /㎡/ 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加1分。封顶40分</w:t>
      </w:r>
    </w:p>
    <w:p w14:paraId="503A9CE7">
      <w:pPr>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入统（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分）​</w:t>
      </w:r>
    </w:p>
    <w:p w14:paraId="69C240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新上限企业：当年成功申报新上限电商企业，得</w:t>
      </w:r>
      <w:r>
        <w:rPr>
          <w:rFonts w:hint="eastAsia" w:ascii="仿宋_GB2312" w:hAnsi="仿宋_GB2312" w:eastAsia="仿宋_GB2312" w:cs="仿宋_GB2312"/>
          <w:color w:val="auto"/>
          <w:sz w:val="32"/>
          <w:szCs w:val="32"/>
          <w:lang w:val="en-US" w:eastAsia="zh-CN"/>
        </w:rPr>
        <w:t>10分。</w:t>
      </w:r>
    </w:p>
    <w:p w14:paraId="43E521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在库企业维护与增长：在库限上电商企业年度内未出现退库情况，得 5 分；若在库企业营业额较上年增长 10% - 20%（含 20%） ，加 3 分；增长超过 20%，加 5 分。若年度内出现退库情况，该项不得分。​</w:t>
      </w:r>
    </w:p>
    <w:p w14:paraId="3DE264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eastAsia="zh-CN"/>
        </w:rPr>
        <w:t>企业管理（10 分）​</w:t>
      </w:r>
    </w:p>
    <w:p w14:paraId="4E71DD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合规经营：企业无违</w:t>
      </w:r>
      <w:r>
        <w:rPr>
          <w:rFonts w:hint="eastAsia" w:ascii="仿宋_GB2312" w:hAnsi="仿宋_GB2312" w:eastAsia="仿宋_GB2312" w:cs="仿宋_GB2312"/>
          <w:color w:val="auto"/>
          <w:sz w:val="32"/>
          <w:szCs w:val="32"/>
          <w:lang w:eastAsia="zh-CN"/>
        </w:rPr>
        <w:t>法违</w:t>
      </w:r>
      <w:r>
        <w:rPr>
          <w:rFonts w:hint="default" w:ascii="仿宋_GB2312" w:hAnsi="仿宋_GB2312" w:eastAsia="仿宋_GB2312" w:cs="仿宋_GB2312"/>
          <w:color w:val="auto"/>
          <w:sz w:val="32"/>
          <w:szCs w:val="32"/>
          <w:lang w:eastAsia="zh-CN"/>
        </w:rPr>
        <w:t>规经营行为，得</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eastAsia="zh-CN"/>
        </w:rPr>
        <w:t>分。​</w:t>
      </w:r>
    </w:p>
    <w:p w14:paraId="351DF0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园区管理配合度：</w:t>
      </w:r>
      <w:r>
        <w:rPr>
          <w:rFonts w:hint="eastAsia" w:ascii="仿宋_GB2312" w:hAnsi="仿宋_GB2312" w:eastAsia="仿宋_GB2312" w:cs="仿宋_GB2312"/>
          <w:color w:val="auto"/>
          <w:sz w:val="32"/>
          <w:szCs w:val="32"/>
          <w:lang w:eastAsia="zh-CN"/>
        </w:rPr>
        <w:t>企业按时足额缴纳办公室租金、水电费和物业费的得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分，每拖欠一次扣</w:t>
      </w:r>
      <w:r>
        <w:rPr>
          <w:rFonts w:hint="eastAsia" w:ascii="仿宋_GB2312" w:hAnsi="仿宋_GB2312" w:eastAsia="仿宋_GB2312" w:cs="仿宋_GB2312"/>
          <w:color w:val="auto"/>
          <w:sz w:val="32"/>
          <w:szCs w:val="32"/>
          <w:lang w:val="en-US" w:eastAsia="zh-CN"/>
        </w:rPr>
        <w:t>1分，扣完为止。</w:t>
      </w:r>
    </w:p>
    <w:p w14:paraId="028EBD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企业形象与创新：注重企业形象建设，在园区内有良好口碑</w:t>
      </w:r>
      <w:r>
        <w:rPr>
          <w:rFonts w:hint="eastAsia" w:ascii="仿宋_GB2312" w:hAnsi="仿宋_GB2312" w:eastAsia="仿宋_GB2312" w:cs="仿宋_GB2312"/>
          <w:color w:val="auto"/>
          <w:sz w:val="32"/>
          <w:szCs w:val="32"/>
          <w:lang w:eastAsia="zh-CN"/>
        </w:rPr>
        <w:t>。</w:t>
      </w:r>
    </w:p>
    <w:p w14:paraId="4231BA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九</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办公室租金标准</w:t>
      </w:r>
    </w:p>
    <w:p w14:paraId="412692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市场统一租金标准：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元/月/㎡。不参与该考核</w:t>
      </w:r>
    </w:p>
    <w:p w14:paraId="2807DD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考评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16分-29分：10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元/月/㎡（不含公摊）</w:t>
      </w:r>
    </w:p>
    <w:p w14:paraId="74C05A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考评30分-39分：6</w:t>
      </w:r>
      <w:r>
        <w:rPr>
          <w:rFonts w:hint="eastAsia" w:ascii="仿宋_GB2312" w:hAnsi="仿宋_GB2312" w:eastAsia="仿宋_GB2312" w:cs="仿宋_GB2312"/>
          <w:color w:val="000000" w:themeColor="text1"/>
          <w:sz w:val="32"/>
          <w:szCs w:val="32"/>
          <w:lang w:eastAsia="zh-CN"/>
          <w14:textFill>
            <w14:solidFill>
              <w14:schemeClr w14:val="tx1"/>
            </w14:solidFill>
          </w14:textFill>
        </w:rPr>
        <w:t>元/月/㎡（不含公摊）</w:t>
      </w:r>
    </w:p>
    <w:p w14:paraId="521C62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考评40分以上：2</w:t>
      </w:r>
      <w:r>
        <w:rPr>
          <w:rFonts w:hint="eastAsia" w:ascii="仿宋_GB2312" w:hAnsi="仿宋_GB2312" w:eastAsia="仿宋_GB2312" w:cs="仿宋_GB2312"/>
          <w:color w:val="000000" w:themeColor="text1"/>
          <w:sz w:val="32"/>
          <w:szCs w:val="32"/>
          <w:lang w:eastAsia="zh-CN"/>
          <w14:textFill>
            <w14:solidFill>
              <w14:schemeClr w14:val="tx1"/>
            </w14:solidFill>
          </w14:textFill>
        </w:rPr>
        <w:t>元/月/㎡（不含公摊）</w:t>
      </w:r>
    </w:p>
    <w:p w14:paraId="62F5D2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未租满一年申请退出的或由工信局强制清退的入驻企业由县城乡投资经营集团有限公司按照实际使用时间收取租金，强制清退的企业入驻押金作为违约金不予退还。</w:t>
      </w:r>
    </w:p>
    <w:p w14:paraId="6863590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第</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十</w:t>
      </w: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考核工作每年开展一次，由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工信局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组织实施。企业需按要求提供真实、完整的考核材料，如有虚报、瞒报等行为，一经查实，取消当年考核资格，并根据情节严重程度采取相应处理措施。</w:t>
      </w:r>
    </w:p>
    <w:p w14:paraId="2B4A46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十一</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退出机制</w:t>
      </w:r>
    </w:p>
    <w:p w14:paraId="02E3BA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入驻企业有发生以下情况之一的，县工信局有权终止入驻协议的执行，并强制退出，取消其入驻资格；</w:t>
      </w:r>
    </w:p>
    <w:p w14:paraId="5B38B2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 1 \* GB3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eastAsia="zh-CN"/>
          <w14:textFill>
            <w14:solidFill>
              <w14:schemeClr w14:val="tx1"/>
            </w14:solidFill>
          </w14:textFill>
        </w:rPr>
        <w:t>①</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企业在签订入驻协议后30天内，未按协议约定完成独立法人公司注册或入驻办公的；</w:t>
      </w:r>
    </w:p>
    <w:p w14:paraId="1B57CB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 2 \* GB3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eastAsia="zh-CN"/>
          <w14:textFill>
            <w14:solidFill>
              <w14:schemeClr w14:val="tx1"/>
            </w14:solidFill>
          </w14:textFill>
        </w:rPr>
        <w:t>②</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eastAsia="zh-CN"/>
          <w14:textFill>
            <w14:solidFill>
              <w14:schemeClr w14:val="tx1"/>
            </w14:solidFill>
          </w14:textFill>
        </w:rPr>
        <w:t>在产业园内开展非法活动；</w:t>
      </w:r>
    </w:p>
    <w:p w14:paraId="633822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 3 \* GB3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eastAsia="zh-CN"/>
          <w14:textFill>
            <w14:solidFill>
              <w14:schemeClr w14:val="tx1"/>
            </w14:solidFill>
          </w14:textFill>
        </w:rPr>
        <w:t>③</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企业入驻办公后，企业经营范围不与申报材料一致，并存在违规使用办公场所的情况；</w:t>
      </w:r>
    </w:p>
    <w:p w14:paraId="2E9FE3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④企业在项目申报入驻审批程序中，提供虚假信息骗取入驻资格、经有关部门查证属实的。</w:t>
      </w:r>
    </w:p>
    <w:p w14:paraId="380CEA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⑤租赁期间，入驻企业未经工信局同意擅自将房屋的全部或部分直接、间接或变相转租、分租（包括合并办公）、与他人互换房屋或舍弃交予他人或住宿。</w:t>
      </w:r>
    </w:p>
    <w:p w14:paraId="09578B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被取消入驻资格的企业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在接到退出通知后10天内完成退出手续办理。</w:t>
      </w:r>
    </w:p>
    <w:p w14:paraId="140163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3.企业退出后，办公场地使用权按规定收回，其动产限期拆除，其不动产不享受补偿。原属电商产业园相关资产，若有损坏或破坏，入驻企业需据市场价格赔偿。</w:t>
      </w:r>
    </w:p>
    <w:p w14:paraId="4B049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黑体" w:hAnsi="宋体" w:cs="Times New Roman"/>
          <w:b/>
          <w:bCs/>
          <w:lang w:val="en-US" w:eastAsia="zh-CN"/>
        </w:rPr>
      </w:pPr>
    </w:p>
    <w:p w14:paraId="506E68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Times New Roman"/>
          <w:b w:val="0"/>
          <w:bCs w:val="0"/>
          <w:kern w:val="2"/>
          <w:sz w:val="32"/>
          <w:szCs w:val="32"/>
          <w:lang w:val="en-US" w:eastAsia="zh-CN" w:bidi="ar-SA"/>
        </w:rPr>
      </w:pPr>
      <w:r>
        <w:rPr>
          <w:rFonts w:hint="eastAsia" w:ascii="黑体" w:hAnsi="宋体" w:eastAsia="黑体" w:cs="Times New Roman"/>
          <w:b w:val="0"/>
          <w:bCs w:val="0"/>
          <w:kern w:val="2"/>
          <w:sz w:val="32"/>
          <w:szCs w:val="32"/>
          <w:lang w:val="en-US" w:eastAsia="zh-CN" w:bidi="ar-SA"/>
        </w:rPr>
        <w:t>第六章  附则</w:t>
      </w:r>
    </w:p>
    <w:p w14:paraId="4D6777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黑体" w:hAnsi="宋体" w:cs="Times New Roman"/>
          <w:b/>
          <w:bCs/>
          <w:lang w:val="en-US" w:eastAsia="zh-CN"/>
        </w:rPr>
      </w:pPr>
    </w:p>
    <w:p w14:paraId="2F1C86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Arial"/>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本规定自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印发之日</w:t>
      </w:r>
      <w:r>
        <w:rPr>
          <w:rFonts w:hint="eastAsia" w:ascii="仿宋_GB2312" w:hAnsi="仿宋_GB2312" w:eastAsia="仿宋_GB2312" w:cs="仿宋_GB2312"/>
          <w:color w:val="000000" w:themeColor="text1"/>
          <w:sz w:val="32"/>
          <w:szCs w:val="32"/>
          <w:lang w:eastAsia="zh-CN"/>
          <w14:textFill>
            <w14:solidFill>
              <w14:schemeClr w14:val="tx1"/>
            </w14:solidFill>
          </w14:textFill>
        </w:rPr>
        <w:t>起执行。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原《宁化县人</w:t>
      </w:r>
      <w:bookmarkStart w:id="1" w:name="_GoBack"/>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民政府办公室关于印发宁化电子商务产业园管理规定的通知》（宁政办〔2021〕7号）不在执行。已租在产业园内企业，按照文件印发之日起可重新申请按照本文件内容执行。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B2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4951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4951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66483"/>
    <w:rsid w:val="001039B6"/>
    <w:rsid w:val="0012622A"/>
    <w:rsid w:val="001C26E6"/>
    <w:rsid w:val="001C67A9"/>
    <w:rsid w:val="002C7589"/>
    <w:rsid w:val="00320F21"/>
    <w:rsid w:val="00423DF1"/>
    <w:rsid w:val="006848CA"/>
    <w:rsid w:val="006A6164"/>
    <w:rsid w:val="00731232"/>
    <w:rsid w:val="007319A0"/>
    <w:rsid w:val="0091149C"/>
    <w:rsid w:val="0091316E"/>
    <w:rsid w:val="0092765A"/>
    <w:rsid w:val="00A2573C"/>
    <w:rsid w:val="00A343D2"/>
    <w:rsid w:val="00AB60B2"/>
    <w:rsid w:val="00C744CD"/>
    <w:rsid w:val="00DF52E2"/>
    <w:rsid w:val="00E26E0B"/>
    <w:rsid w:val="00E432BF"/>
    <w:rsid w:val="00EB115C"/>
    <w:rsid w:val="00FF34B2"/>
    <w:rsid w:val="0194077A"/>
    <w:rsid w:val="02764EF4"/>
    <w:rsid w:val="053D792A"/>
    <w:rsid w:val="055F2480"/>
    <w:rsid w:val="05BD227F"/>
    <w:rsid w:val="067C54F1"/>
    <w:rsid w:val="08234384"/>
    <w:rsid w:val="08936727"/>
    <w:rsid w:val="08FF0893"/>
    <w:rsid w:val="09594B24"/>
    <w:rsid w:val="09EF1CDB"/>
    <w:rsid w:val="0A8305D4"/>
    <w:rsid w:val="0A83110A"/>
    <w:rsid w:val="0ADA458D"/>
    <w:rsid w:val="0AFE10EE"/>
    <w:rsid w:val="0B5F465F"/>
    <w:rsid w:val="0BAC03AE"/>
    <w:rsid w:val="0C472B98"/>
    <w:rsid w:val="0D4D6ACC"/>
    <w:rsid w:val="0DCB03A5"/>
    <w:rsid w:val="0E4B1F3E"/>
    <w:rsid w:val="100E2D6B"/>
    <w:rsid w:val="11AB57E6"/>
    <w:rsid w:val="12F46A18"/>
    <w:rsid w:val="12FB1F6E"/>
    <w:rsid w:val="142C23BC"/>
    <w:rsid w:val="14CB3A91"/>
    <w:rsid w:val="15CB456D"/>
    <w:rsid w:val="1639261E"/>
    <w:rsid w:val="16BA2741"/>
    <w:rsid w:val="183D1689"/>
    <w:rsid w:val="187076BA"/>
    <w:rsid w:val="188723F7"/>
    <w:rsid w:val="18B03226"/>
    <w:rsid w:val="1A7712D2"/>
    <w:rsid w:val="1BFA58FB"/>
    <w:rsid w:val="1C552A43"/>
    <w:rsid w:val="1C717EC4"/>
    <w:rsid w:val="1C931680"/>
    <w:rsid w:val="1D696CA0"/>
    <w:rsid w:val="1E6453A5"/>
    <w:rsid w:val="1E6F277B"/>
    <w:rsid w:val="1F1527C3"/>
    <w:rsid w:val="1F4C3AD7"/>
    <w:rsid w:val="20322563"/>
    <w:rsid w:val="206A512E"/>
    <w:rsid w:val="20AE3F11"/>
    <w:rsid w:val="220E3C27"/>
    <w:rsid w:val="22FE2714"/>
    <w:rsid w:val="2510088A"/>
    <w:rsid w:val="26440413"/>
    <w:rsid w:val="268C36C4"/>
    <w:rsid w:val="26945109"/>
    <w:rsid w:val="26A92CB1"/>
    <w:rsid w:val="27853652"/>
    <w:rsid w:val="2848434F"/>
    <w:rsid w:val="28706B4C"/>
    <w:rsid w:val="2877019D"/>
    <w:rsid w:val="2A5E3EA2"/>
    <w:rsid w:val="2A732FAB"/>
    <w:rsid w:val="2B7566E4"/>
    <w:rsid w:val="2E863614"/>
    <w:rsid w:val="2EF62A22"/>
    <w:rsid w:val="2F7045DD"/>
    <w:rsid w:val="30094D35"/>
    <w:rsid w:val="31236026"/>
    <w:rsid w:val="31DB09B0"/>
    <w:rsid w:val="32D47863"/>
    <w:rsid w:val="338169BA"/>
    <w:rsid w:val="349B282F"/>
    <w:rsid w:val="35690D8A"/>
    <w:rsid w:val="35C33C4B"/>
    <w:rsid w:val="361670E0"/>
    <w:rsid w:val="36B94FE1"/>
    <w:rsid w:val="3810730B"/>
    <w:rsid w:val="3A610449"/>
    <w:rsid w:val="3A8E1F07"/>
    <w:rsid w:val="3BA2376E"/>
    <w:rsid w:val="3C1D7098"/>
    <w:rsid w:val="3CBD0066"/>
    <w:rsid w:val="3D3729BC"/>
    <w:rsid w:val="3D624B31"/>
    <w:rsid w:val="3F905854"/>
    <w:rsid w:val="400352BE"/>
    <w:rsid w:val="42700B7D"/>
    <w:rsid w:val="44BA2C33"/>
    <w:rsid w:val="45240818"/>
    <w:rsid w:val="466931CA"/>
    <w:rsid w:val="48FF7D25"/>
    <w:rsid w:val="4A661C97"/>
    <w:rsid w:val="4A6C6E24"/>
    <w:rsid w:val="4B160152"/>
    <w:rsid w:val="4BBA1E95"/>
    <w:rsid w:val="4C692575"/>
    <w:rsid w:val="4CE43430"/>
    <w:rsid w:val="4D6C548E"/>
    <w:rsid w:val="4DB01880"/>
    <w:rsid w:val="4E3C6A5C"/>
    <w:rsid w:val="4E471A6F"/>
    <w:rsid w:val="4F4E0ABE"/>
    <w:rsid w:val="4FB51078"/>
    <w:rsid w:val="50631C4E"/>
    <w:rsid w:val="51674344"/>
    <w:rsid w:val="51D741D5"/>
    <w:rsid w:val="54106F3F"/>
    <w:rsid w:val="555A41E8"/>
    <w:rsid w:val="555F2165"/>
    <w:rsid w:val="57A126A6"/>
    <w:rsid w:val="596D5AB5"/>
    <w:rsid w:val="599D3B8D"/>
    <w:rsid w:val="59BE7DEA"/>
    <w:rsid w:val="5A42110D"/>
    <w:rsid w:val="5A862F4B"/>
    <w:rsid w:val="5B7A420F"/>
    <w:rsid w:val="5C7B1F6A"/>
    <w:rsid w:val="5C7D0CEF"/>
    <w:rsid w:val="5FFB52B0"/>
    <w:rsid w:val="6236193C"/>
    <w:rsid w:val="62966483"/>
    <w:rsid w:val="62D16C29"/>
    <w:rsid w:val="636F6AB3"/>
    <w:rsid w:val="63BB6EAD"/>
    <w:rsid w:val="65833CA6"/>
    <w:rsid w:val="66D740A8"/>
    <w:rsid w:val="680C5C81"/>
    <w:rsid w:val="697D251A"/>
    <w:rsid w:val="6C05612D"/>
    <w:rsid w:val="6C2F1493"/>
    <w:rsid w:val="6D535020"/>
    <w:rsid w:val="6ED6164F"/>
    <w:rsid w:val="6F335E8E"/>
    <w:rsid w:val="702623ED"/>
    <w:rsid w:val="71522DEB"/>
    <w:rsid w:val="71F738BE"/>
    <w:rsid w:val="72240B03"/>
    <w:rsid w:val="73613BCC"/>
    <w:rsid w:val="74766186"/>
    <w:rsid w:val="74951C70"/>
    <w:rsid w:val="74D6362C"/>
    <w:rsid w:val="74E27C24"/>
    <w:rsid w:val="76CF3B56"/>
    <w:rsid w:val="777150A6"/>
    <w:rsid w:val="783D7804"/>
    <w:rsid w:val="78553CE9"/>
    <w:rsid w:val="793A71AB"/>
    <w:rsid w:val="797E4556"/>
    <w:rsid w:val="7ACE333E"/>
    <w:rsid w:val="7AF00904"/>
    <w:rsid w:val="7BC2169E"/>
    <w:rsid w:val="7BFD70EB"/>
    <w:rsid w:val="7C0D15CC"/>
    <w:rsid w:val="7F26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7">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22"/>
    <w:rPr>
      <w:b/>
      <w:bCs/>
    </w:rPr>
  </w:style>
  <w:style w:type="character" w:customStyle="1" w:styleId="11">
    <w:name w:val="标题 Char"/>
    <w:basedOn w:val="9"/>
    <w:link w:val="7"/>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5</Pages>
  <Words>2118</Words>
  <Characters>2179</Characters>
  <Lines>18</Lines>
  <Paragraphs>5</Paragraphs>
  <TotalTime>16</TotalTime>
  <ScaleCrop>false</ScaleCrop>
  <LinksUpToDate>false</LinksUpToDate>
  <CharactersWithSpaces>2266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2018-04-02T02:37:00Z</dcterms:created>
  <dc:creator>Administrator</dc:creator>
  <cp:lastModifiedBy>碧透Dony</cp:lastModifiedBy>
  <cp:lastPrinted>2025-08-21T00:16:51Z</cp:lastPrinted>
  <dcterms:modified xsi:type="dcterms:W3CDTF">2025-08-21T00:17:42Z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DF03CE5F326342949D3C5E03724CFDE0_13</vt:lpwstr>
  </property>
  <property fmtid="{D5CDD505-2E9C-101B-9397-08002B2CF9AE}" pid="4" name="KSOTemplateDocerSaveRecord">
    <vt:lpwstr>eyJoZGlkIjoiYzZhZTRmMmM2NDQzNjIzNTViNWI4YzUwNGY1MjNmY2MiLCJ1c2VySWQiOiIyNTY0MDQ3NDAifQ==</vt:lpwstr>
  </property>
</Properties>
</file>