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widowControl/>
        <w:suppressLineNumbers w:val="0"/>
        <w:spacing w:before="75" w:beforeAutospacing="0" w:after="75" w:afterAutospacing="0"/>
        <w:ind w:left="0" w:right="0" w:firstLine="0"/>
        <w:jc w:val="center"/>
        <w:rPr>
          <w:rFonts w:hint="eastAsia" w:ascii="宋体" w:hAnsi="宋体" w:eastAsia="宋体" w:cs="宋体"/>
          <w:sz w:val="72"/>
          <w:szCs w:val="72"/>
        </w:rPr>
      </w:pPr>
      <w:r>
        <w:rPr>
          <w:rStyle w:val="10"/>
          <w:rFonts w:hint="eastAsia" w:ascii="宋体" w:hAnsi="宋体" w:eastAsia="宋体" w:cs="宋体"/>
          <w:spacing w:val="0"/>
          <w:sz w:val="72"/>
          <w:szCs w:val="72"/>
        </w:rPr>
        <w:t>福建省政府采购</w:t>
      </w:r>
    </w:p>
    <w:p>
      <w:pPr>
        <w:pStyle w:val="6"/>
        <w:keepNext w:val="0"/>
        <w:keepLines w:val="0"/>
        <w:widowControl/>
        <w:suppressLineNumbers w:val="0"/>
        <w:spacing w:before="75" w:beforeAutospacing="0" w:after="75" w:afterAutospacing="0"/>
        <w:ind w:left="0" w:right="0" w:firstLine="0"/>
        <w:jc w:val="center"/>
        <w:rPr>
          <w:rFonts w:hint="eastAsia" w:ascii="宋体" w:hAnsi="宋体" w:eastAsia="宋体" w:cs="宋体"/>
          <w:sz w:val="72"/>
          <w:szCs w:val="72"/>
        </w:rPr>
      </w:pPr>
      <w:r>
        <w:rPr>
          <w:rStyle w:val="10"/>
          <w:rFonts w:hint="eastAsia" w:ascii="宋体" w:hAnsi="宋体" w:eastAsia="宋体" w:cs="宋体"/>
          <w:spacing w:val="0"/>
          <w:sz w:val="72"/>
          <w:szCs w:val="72"/>
        </w:rPr>
        <w:t>货物和服务项目</w:t>
      </w:r>
    </w:p>
    <w:p>
      <w:pPr>
        <w:pStyle w:val="6"/>
        <w:keepNext w:val="0"/>
        <w:keepLines w:val="0"/>
        <w:widowControl/>
        <w:suppressLineNumbers w:val="0"/>
        <w:spacing w:before="75" w:beforeAutospacing="0" w:after="75" w:afterAutospacing="0"/>
        <w:ind w:left="0" w:right="0" w:firstLine="0"/>
        <w:jc w:val="center"/>
        <w:rPr>
          <w:rFonts w:hint="eastAsia" w:ascii="宋体" w:hAnsi="宋体" w:eastAsia="宋体" w:cs="宋体"/>
          <w:sz w:val="72"/>
          <w:szCs w:val="72"/>
        </w:rPr>
      </w:pPr>
      <w:r>
        <w:rPr>
          <w:rStyle w:val="10"/>
          <w:rFonts w:hint="eastAsia" w:ascii="宋体" w:hAnsi="宋体" w:eastAsia="宋体" w:cs="宋体"/>
          <w:spacing w:val="0"/>
          <w:sz w:val="72"/>
          <w:szCs w:val="72"/>
        </w:rPr>
        <w:t>公开招标文件</w:t>
      </w:r>
    </w:p>
    <w:p>
      <w:pPr>
        <w:pStyle w:val="6"/>
        <w:keepNext w:val="0"/>
        <w:keepLines w:val="0"/>
        <w:widowControl/>
        <w:suppressLineNumbers w:val="0"/>
        <w:spacing w:before="75" w:beforeAutospacing="0" w:after="75" w:afterAutospacing="0"/>
        <w:ind w:left="0" w:right="0" w:firstLine="0"/>
        <w:jc w:val="center"/>
        <w:rPr>
          <w:rFonts w:hint="eastAsia" w:ascii="宋体" w:hAnsi="宋体" w:eastAsia="宋体" w:cs="宋体"/>
          <w:sz w:val="36"/>
          <w:szCs w:val="36"/>
        </w:rPr>
      </w:pPr>
    </w:p>
    <w:p>
      <w:pPr>
        <w:pStyle w:val="6"/>
        <w:keepNext w:val="0"/>
        <w:keepLines w:val="0"/>
        <w:widowControl/>
        <w:suppressLineNumbers w:val="0"/>
        <w:spacing w:before="75" w:beforeAutospacing="0" w:after="75" w:afterAutospacing="0"/>
        <w:ind w:left="0" w:right="0" w:firstLine="0"/>
        <w:jc w:val="center"/>
        <w:rPr>
          <w:rFonts w:hint="eastAsia" w:ascii="宋体" w:hAnsi="宋体" w:eastAsia="宋体" w:cs="宋体"/>
          <w:sz w:val="36"/>
          <w:szCs w:val="36"/>
        </w:rPr>
      </w:pPr>
    </w:p>
    <w:p>
      <w:pPr>
        <w:pStyle w:val="6"/>
        <w:keepNext w:val="0"/>
        <w:keepLines w:val="0"/>
        <w:widowControl/>
        <w:suppressLineNumbers w:val="0"/>
        <w:spacing w:before="75" w:beforeAutospacing="0" w:after="75" w:afterAutospacing="0"/>
        <w:ind w:left="0" w:right="0" w:firstLine="0"/>
        <w:jc w:val="center"/>
        <w:rPr>
          <w:rFonts w:hint="eastAsia" w:ascii="宋体" w:hAnsi="宋体" w:eastAsia="宋体" w:cs="宋体"/>
          <w:sz w:val="32"/>
          <w:szCs w:val="32"/>
        </w:rPr>
      </w:pPr>
    </w:p>
    <w:p>
      <w:pPr>
        <w:pStyle w:val="6"/>
        <w:keepNext w:val="0"/>
        <w:keepLines w:val="0"/>
        <w:widowControl/>
        <w:suppressLineNumbers w:val="0"/>
        <w:spacing w:before="75" w:beforeAutospacing="0" w:after="75" w:afterAutospacing="0"/>
        <w:ind w:left="0" w:right="0" w:firstLine="1050"/>
        <w:jc w:val="center"/>
        <w:rPr>
          <w:rFonts w:hint="eastAsia" w:ascii="宋体" w:hAnsi="宋体" w:eastAsia="宋体" w:cs="宋体"/>
          <w:sz w:val="32"/>
          <w:szCs w:val="32"/>
          <w:lang w:val="en-US" w:eastAsia="zh-CN"/>
        </w:rPr>
      </w:pPr>
      <w:r>
        <w:rPr>
          <w:rStyle w:val="10"/>
          <w:rFonts w:hint="eastAsia" w:ascii="宋体" w:hAnsi="宋体" w:eastAsia="宋体" w:cs="宋体"/>
          <w:spacing w:val="0"/>
          <w:sz w:val="32"/>
          <w:szCs w:val="32"/>
        </w:rPr>
        <w:t>项目名称：</w:t>
      </w:r>
      <w:r>
        <w:rPr>
          <w:rStyle w:val="10"/>
          <w:rFonts w:hint="eastAsia" w:ascii="宋体" w:hAnsi="宋体" w:eastAsia="宋体" w:cs="宋体"/>
          <w:spacing w:val="0"/>
          <w:sz w:val="32"/>
          <w:szCs w:val="32"/>
          <w:lang w:val="en-US" w:eastAsia="zh-CN"/>
        </w:rPr>
        <w:t>宁化县城区环卫市场化服务项目</w:t>
      </w:r>
    </w:p>
    <w:p>
      <w:pPr>
        <w:pStyle w:val="6"/>
        <w:keepNext w:val="0"/>
        <w:keepLines w:val="0"/>
        <w:widowControl/>
        <w:suppressLineNumbers w:val="0"/>
        <w:spacing w:before="75" w:beforeAutospacing="0" w:after="75" w:afterAutospacing="0"/>
        <w:ind w:left="0" w:right="0" w:firstLine="0"/>
        <w:jc w:val="center"/>
        <w:rPr>
          <w:rFonts w:hint="eastAsia" w:ascii="宋体" w:hAnsi="宋体" w:eastAsia="宋体" w:cs="宋体"/>
          <w:sz w:val="32"/>
          <w:szCs w:val="32"/>
        </w:rPr>
      </w:pPr>
    </w:p>
    <w:p>
      <w:pPr>
        <w:pStyle w:val="6"/>
        <w:keepNext w:val="0"/>
        <w:keepLines w:val="0"/>
        <w:widowControl/>
        <w:suppressLineNumbers w:val="0"/>
        <w:spacing w:before="75" w:beforeAutospacing="0" w:after="75" w:afterAutospacing="0"/>
        <w:ind w:left="0" w:right="0" w:firstLine="1050"/>
        <w:jc w:val="center"/>
        <w:rPr>
          <w:rStyle w:val="10"/>
          <w:rFonts w:hint="eastAsia" w:ascii="宋体" w:hAnsi="宋体" w:eastAsia="宋体" w:cs="宋体"/>
          <w:spacing w:val="0"/>
          <w:sz w:val="32"/>
          <w:szCs w:val="32"/>
          <w:lang w:val="en-US" w:eastAsia="zh-CN"/>
        </w:rPr>
      </w:pPr>
      <w:r>
        <w:rPr>
          <w:rStyle w:val="10"/>
          <w:rFonts w:hint="eastAsia" w:ascii="宋体" w:hAnsi="宋体" w:eastAsia="宋体" w:cs="宋体"/>
          <w:spacing w:val="0"/>
          <w:sz w:val="32"/>
          <w:szCs w:val="32"/>
        </w:rPr>
        <w:t>备案编号：</w:t>
      </w:r>
      <w:r>
        <w:rPr>
          <w:rStyle w:val="10"/>
          <w:rFonts w:hint="eastAsia" w:ascii="宋体" w:hAnsi="宋体" w:eastAsia="宋体" w:cs="宋体"/>
          <w:spacing w:val="0"/>
          <w:sz w:val="32"/>
          <w:szCs w:val="32"/>
          <w:lang w:val="en-US" w:eastAsia="zh-CN"/>
        </w:rPr>
        <w:t>G7-NHCGJ-GK-201909-B0804-TH</w:t>
      </w:r>
    </w:p>
    <w:p>
      <w:pPr>
        <w:pStyle w:val="6"/>
        <w:keepNext w:val="0"/>
        <w:keepLines w:val="0"/>
        <w:widowControl/>
        <w:suppressLineNumbers w:val="0"/>
        <w:spacing w:before="75" w:beforeAutospacing="0" w:after="75" w:afterAutospacing="0"/>
        <w:ind w:left="0" w:right="0" w:firstLine="0"/>
        <w:jc w:val="center"/>
        <w:rPr>
          <w:rFonts w:hint="eastAsia" w:ascii="宋体" w:hAnsi="宋体" w:eastAsia="宋体" w:cs="宋体"/>
          <w:sz w:val="32"/>
          <w:szCs w:val="32"/>
        </w:rPr>
      </w:pPr>
    </w:p>
    <w:p>
      <w:pPr>
        <w:pStyle w:val="6"/>
        <w:keepNext w:val="0"/>
        <w:keepLines w:val="0"/>
        <w:widowControl/>
        <w:suppressLineNumbers w:val="0"/>
        <w:spacing w:before="75" w:beforeAutospacing="0" w:after="75" w:afterAutospacing="0"/>
        <w:ind w:left="0" w:right="0" w:firstLine="1050"/>
        <w:jc w:val="center"/>
        <w:rPr>
          <w:rFonts w:hint="eastAsia" w:ascii="宋体" w:hAnsi="宋体" w:eastAsia="宋体" w:cs="宋体"/>
          <w:sz w:val="32"/>
          <w:szCs w:val="32"/>
        </w:rPr>
      </w:pPr>
      <w:r>
        <w:rPr>
          <w:rStyle w:val="10"/>
          <w:rFonts w:hint="eastAsia" w:ascii="宋体" w:hAnsi="宋体" w:eastAsia="宋体" w:cs="宋体"/>
          <w:spacing w:val="0"/>
          <w:sz w:val="32"/>
          <w:szCs w:val="32"/>
        </w:rPr>
        <w:t>招标编号：</w:t>
      </w:r>
      <w:r>
        <w:rPr>
          <w:rStyle w:val="10"/>
          <w:rFonts w:hint="eastAsia" w:ascii="宋体" w:hAnsi="宋体" w:eastAsia="宋体" w:cs="宋体"/>
          <w:spacing w:val="0"/>
          <w:sz w:val="32"/>
          <w:szCs w:val="32"/>
          <w:lang w:val="en-US" w:eastAsia="zh-CN"/>
        </w:rPr>
        <w:t>[350424]TH[GK]2019028</w:t>
      </w:r>
    </w:p>
    <w:p>
      <w:pPr>
        <w:pStyle w:val="6"/>
        <w:keepNext w:val="0"/>
        <w:keepLines w:val="0"/>
        <w:widowControl/>
        <w:suppressLineNumbers w:val="0"/>
        <w:spacing w:before="75" w:beforeAutospacing="0" w:after="75" w:afterAutospacing="0"/>
        <w:ind w:left="0" w:right="0" w:firstLine="0"/>
        <w:jc w:val="center"/>
        <w:rPr>
          <w:rFonts w:hint="eastAsia" w:ascii="宋体" w:hAnsi="宋体" w:eastAsia="宋体" w:cs="宋体"/>
          <w:sz w:val="32"/>
          <w:szCs w:val="32"/>
        </w:rPr>
      </w:pPr>
    </w:p>
    <w:p>
      <w:pPr>
        <w:pStyle w:val="6"/>
        <w:keepNext w:val="0"/>
        <w:keepLines w:val="0"/>
        <w:widowControl/>
        <w:suppressLineNumbers w:val="0"/>
        <w:spacing w:before="75" w:beforeAutospacing="0" w:after="75" w:afterAutospacing="0"/>
        <w:ind w:left="0" w:right="0" w:firstLine="0"/>
        <w:jc w:val="center"/>
        <w:rPr>
          <w:rFonts w:hint="eastAsia" w:ascii="宋体" w:hAnsi="宋体" w:eastAsia="宋体" w:cs="宋体"/>
          <w:sz w:val="32"/>
          <w:szCs w:val="32"/>
        </w:rPr>
      </w:pPr>
    </w:p>
    <w:p>
      <w:pPr>
        <w:pStyle w:val="6"/>
        <w:keepNext w:val="0"/>
        <w:keepLines w:val="0"/>
        <w:widowControl/>
        <w:suppressLineNumbers w:val="0"/>
        <w:spacing w:before="75" w:beforeAutospacing="0" w:after="75" w:afterAutospacing="0"/>
        <w:ind w:left="0" w:right="0" w:firstLine="0"/>
        <w:jc w:val="center"/>
        <w:rPr>
          <w:rFonts w:hint="eastAsia" w:ascii="宋体" w:hAnsi="宋体" w:eastAsia="宋体" w:cs="宋体"/>
          <w:b/>
          <w:bCs/>
          <w:sz w:val="32"/>
          <w:szCs w:val="32"/>
          <w:lang w:val="en-US" w:eastAsia="zh-CN"/>
        </w:rPr>
      </w:pPr>
      <w:r>
        <w:rPr>
          <w:rStyle w:val="10"/>
          <w:rFonts w:hint="eastAsia" w:ascii="宋体" w:hAnsi="宋体" w:eastAsia="宋体" w:cs="宋体"/>
          <w:spacing w:val="0"/>
          <w:sz w:val="32"/>
          <w:szCs w:val="32"/>
        </w:rPr>
        <w:t>采购人：</w:t>
      </w:r>
      <w:r>
        <w:rPr>
          <w:rFonts w:hint="eastAsia" w:ascii="宋体" w:hAnsi="宋体" w:eastAsia="宋体" w:cs="宋体"/>
          <w:spacing w:val="0"/>
          <w:sz w:val="32"/>
          <w:szCs w:val="32"/>
        </w:rPr>
        <w:t> </w:t>
      </w:r>
      <w:r>
        <w:rPr>
          <w:rFonts w:hint="eastAsia" w:ascii="宋体" w:hAnsi="宋体" w:eastAsia="宋体" w:cs="宋体"/>
          <w:b/>
          <w:bCs/>
          <w:spacing w:val="0"/>
          <w:sz w:val="32"/>
          <w:szCs w:val="32"/>
          <w:lang w:val="en-US" w:eastAsia="zh-CN"/>
        </w:rPr>
        <w:t>宁化县城市管理局</w:t>
      </w:r>
    </w:p>
    <w:p>
      <w:pPr>
        <w:pStyle w:val="6"/>
        <w:keepNext w:val="0"/>
        <w:keepLines w:val="0"/>
        <w:widowControl/>
        <w:suppressLineNumbers w:val="0"/>
        <w:spacing w:before="75" w:beforeAutospacing="0" w:after="75" w:afterAutospacing="0"/>
        <w:ind w:left="0" w:right="0" w:firstLine="0"/>
        <w:jc w:val="center"/>
        <w:rPr>
          <w:rFonts w:hint="eastAsia" w:ascii="宋体" w:hAnsi="宋体" w:eastAsia="宋体" w:cs="宋体"/>
          <w:sz w:val="32"/>
          <w:szCs w:val="32"/>
          <w:lang w:val="en-US" w:eastAsia="zh-CN"/>
        </w:rPr>
      </w:pPr>
      <w:r>
        <w:rPr>
          <w:rStyle w:val="10"/>
          <w:rFonts w:hint="eastAsia" w:ascii="宋体" w:hAnsi="宋体" w:eastAsia="宋体" w:cs="宋体"/>
          <w:spacing w:val="0"/>
          <w:sz w:val="32"/>
          <w:szCs w:val="32"/>
        </w:rPr>
        <w:t>代理机构：</w:t>
      </w:r>
      <w:r>
        <w:rPr>
          <w:rStyle w:val="10"/>
          <w:rFonts w:hint="eastAsia" w:ascii="宋体" w:hAnsi="宋体" w:eastAsia="宋体" w:cs="宋体"/>
          <w:spacing w:val="0"/>
          <w:sz w:val="32"/>
          <w:szCs w:val="32"/>
          <w:lang w:val="en-US" w:eastAsia="zh-CN"/>
        </w:rPr>
        <w:t>三明天和工程管理有限公司</w:t>
      </w:r>
    </w:p>
    <w:p>
      <w:pPr>
        <w:pStyle w:val="6"/>
        <w:keepNext w:val="0"/>
        <w:keepLines w:val="0"/>
        <w:widowControl/>
        <w:suppressLineNumbers w:val="0"/>
        <w:spacing w:before="75" w:beforeAutospacing="0" w:after="75" w:afterAutospacing="0"/>
        <w:ind w:left="0" w:right="0" w:firstLine="0"/>
        <w:jc w:val="center"/>
        <w:rPr>
          <w:rFonts w:hint="eastAsia" w:ascii="宋体" w:hAnsi="宋体" w:eastAsia="宋体" w:cs="宋体"/>
          <w:sz w:val="32"/>
          <w:szCs w:val="32"/>
        </w:rPr>
      </w:pPr>
    </w:p>
    <w:p>
      <w:pPr>
        <w:pStyle w:val="6"/>
        <w:keepNext w:val="0"/>
        <w:keepLines w:val="0"/>
        <w:widowControl/>
        <w:suppressLineNumbers w:val="0"/>
        <w:spacing w:before="75" w:beforeAutospacing="0" w:after="75" w:afterAutospacing="0" w:line="360" w:lineRule="atLeast"/>
        <w:ind w:left="0" w:right="720" w:firstLine="0"/>
        <w:jc w:val="center"/>
        <w:rPr>
          <w:rFonts w:hint="eastAsia" w:ascii="宋体" w:hAnsi="宋体" w:eastAsia="宋体" w:cs="宋体"/>
          <w:sz w:val="32"/>
          <w:szCs w:val="32"/>
        </w:rPr>
      </w:pPr>
      <w:r>
        <w:rPr>
          <w:rStyle w:val="10"/>
          <w:rFonts w:hint="eastAsia" w:ascii="宋体" w:hAnsi="宋体" w:eastAsia="宋体" w:cs="宋体"/>
          <w:spacing w:val="0"/>
          <w:sz w:val="32"/>
          <w:szCs w:val="32"/>
        </w:rPr>
        <w:t>201</w:t>
      </w:r>
      <w:r>
        <w:rPr>
          <w:rStyle w:val="10"/>
          <w:rFonts w:hint="eastAsia" w:ascii="宋体" w:hAnsi="宋体" w:eastAsia="宋体" w:cs="宋体"/>
          <w:spacing w:val="0"/>
          <w:sz w:val="32"/>
          <w:szCs w:val="32"/>
          <w:lang w:val="en-US" w:eastAsia="zh-CN"/>
        </w:rPr>
        <w:t>9</w:t>
      </w:r>
      <w:r>
        <w:rPr>
          <w:rStyle w:val="10"/>
          <w:rFonts w:hint="eastAsia" w:ascii="宋体" w:hAnsi="宋体" w:eastAsia="宋体" w:cs="宋体"/>
          <w:spacing w:val="0"/>
          <w:sz w:val="32"/>
          <w:szCs w:val="32"/>
        </w:rPr>
        <w:t>年</w:t>
      </w:r>
      <w:r>
        <w:rPr>
          <w:rStyle w:val="10"/>
          <w:rFonts w:hint="eastAsia" w:ascii="宋体" w:hAnsi="宋体" w:eastAsia="宋体" w:cs="宋体"/>
          <w:spacing w:val="0"/>
          <w:sz w:val="32"/>
          <w:szCs w:val="32"/>
          <w:lang w:val="en-US" w:eastAsia="zh-CN"/>
        </w:rPr>
        <w:t>08</w:t>
      </w:r>
      <w:r>
        <w:rPr>
          <w:rStyle w:val="10"/>
          <w:rFonts w:hint="eastAsia" w:ascii="宋体" w:hAnsi="宋体" w:eastAsia="宋体" w:cs="宋体"/>
          <w:spacing w:val="0"/>
          <w:sz w:val="32"/>
          <w:szCs w:val="32"/>
        </w:rPr>
        <w:t>月</w:t>
      </w:r>
    </w:p>
    <w:p>
      <w:pPr>
        <w:pStyle w:val="6"/>
        <w:keepNext w:val="0"/>
        <w:keepLines w:val="0"/>
        <w:widowControl/>
        <w:suppressLineNumbers w:val="0"/>
        <w:spacing w:before="75" w:beforeAutospacing="0" w:after="75" w:afterAutospacing="0"/>
        <w:ind w:left="0" w:right="0" w:firstLine="0"/>
        <w:rPr>
          <w:rFonts w:hint="eastAsia" w:ascii="宋体" w:hAnsi="宋体" w:eastAsia="宋体" w:cs="宋体"/>
          <w:spacing w:val="0"/>
          <w:sz w:val="36"/>
          <w:szCs w:val="36"/>
        </w:rPr>
      </w:pPr>
      <w:r>
        <w:rPr>
          <w:rFonts w:hint="eastAsia" w:ascii="宋体" w:hAnsi="宋体" w:eastAsia="宋体" w:cs="宋体"/>
          <w:spacing w:val="0"/>
          <w:sz w:val="36"/>
          <w:szCs w:val="36"/>
        </w:rPr>
        <w:t> </w:t>
      </w:r>
    </w:p>
    <w:p>
      <w:pPr>
        <w:pStyle w:val="6"/>
        <w:keepNext w:val="0"/>
        <w:keepLines w:val="0"/>
        <w:widowControl/>
        <w:suppressLineNumbers w:val="0"/>
        <w:spacing w:before="75" w:beforeAutospacing="0" w:after="75" w:afterAutospacing="0"/>
        <w:ind w:left="0" w:right="0" w:firstLine="0"/>
        <w:jc w:val="center"/>
        <w:rPr>
          <w:rStyle w:val="10"/>
          <w:rFonts w:hint="eastAsia" w:ascii="宋体" w:hAnsi="宋体" w:eastAsia="宋体" w:cs="宋体"/>
          <w:spacing w:val="0"/>
          <w:sz w:val="24"/>
          <w:szCs w:val="24"/>
        </w:rPr>
      </w:pPr>
    </w:p>
    <w:p>
      <w:pPr>
        <w:pStyle w:val="6"/>
        <w:keepNext w:val="0"/>
        <w:keepLines w:val="0"/>
        <w:widowControl/>
        <w:suppressLineNumbers w:val="0"/>
        <w:spacing w:before="75" w:beforeAutospacing="0" w:after="75" w:afterAutospacing="0"/>
        <w:ind w:left="0" w:right="0" w:firstLine="0"/>
        <w:jc w:val="center"/>
        <w:rPr>
          <w:rFonts w:hint="eastAsia" w:ascii="宋体" w:hAnsi="宋体" w:eastAsia="宋体" w:cs="宋体"/>
          <w:b/>
          <w:bCs w:val="0"/>
          <w:i w:val="0"/>
          <w:iCs w:val="0"/>
          <w:sz w:val="28"/>
          <w:szCs w:val="28"/>
        </w:rPr>
      </w:pPr>
      <w:r>
        <w:rPr>
          <w:rStyle w:val="10"/>
          <w:rFonts w:hint="eastAsia" w:ascii="宋体" w:hAnsi="宋体" w:eastAsia="宋体" w:cs="宋体"/>
          <w:b/>
          <w:bCs w:val="0"/>
          <w:i w:val="0"/>
          <w:iCs w:val="0"/>
          <w:spacing w:val="0"/>
          <w:sz w:val="28"/>
          <w:szCs w:val="28"/>
        </w:rPr>
        <w:t>第一章   投标邀请</w:t>
      </w:r>
    </w:p>
    <w:p>
      <w:pPr>
        <w:pStyle w:val="6"/>
        <w:keepNext w:val="0"/>
        <w:keepLines w:val="0"/>
        <w:widowControl/>
        <w:suppressLineNumbers w:val="0"/>
        <w:spacing w:before="75" w:beforeAutospacing="0" w:after="75" w:afterAutospacing="0"/>
        <w:ind w:left="0" w:right="0" w:firstLine="0"/>
        <w:rPr>
          <w:rFonts w:hint="eastAsia" w:ascii="宋体" w:hAnsi="宋体" w:eastAsia="宋体" w:cs="宋体"/>
          <w:sz w:val="24"/>
          <w:szCs w:val="24"/>
        </w:rPr>
      </w:pPr>
      <w:r>
        <w:rPr>
          <w:rFonts w:hint="eastAsia" w:ascii="宋体" w:hAnsi="宋体" w:eastAsia="宋体" w:cs="宋体"/>
          <w:spacing w:val="0"/>
          <w:sz w:val="24"/>
          <w:szCs w:val="24"/>
        </w:rPr>
        <w:t> </w:t>
      </w:r>
      <w:r>
        <w:rPr>
          <w:rFonts w:hint="eastAsia" w:ascii="宋体" w:hAnsi="宋体" w:eastAsia="宋体" w:cs="宋体"/>
          <w:spacing w:val="0"/>
          <w:sz w:val="24"/>
          <w:szCs w:val="24"/>
          <w:u w:val="single"/>
          <w:lang w:val="en-US" w:eastAsia="zh-CN"/>
        </w:rPr>
        <w:t>三明天和工程管理有限公司</w:t>
      </w:r>
      <w:r>
        <w:rPr>
          <w:rFonts w:hint="eastAsia" w:ascii="宋体" w:hAnsi="宋体" w:eastAsia="宋体" w:cs="宋体"/>
          <w:spacing w:val="0"/>
          <w:sz w:val="24"/>
          <w:szCs w:val="24"/>
        </w:rPr>
        <w:t>采用</w:t>
      </w:r>
      <w:r>
        <w:rPr>
          <w:rFonts w:hint="eastAsia" w:ascii="宋体" w:hAnsi="宋体" w:eastAsia="宋体" w:cs="宋体"/>
          <w:spacing w:val="0"/>
          <w:sz w:val="24"/>
          <w:szCs w:val="24"/>
          <w:u w:val="single"/>
        </w:rPr>
        <w:t>公开招标方式</w:t>
      </w:r>
      <w:r>
        <w:rPr>
          <w:rFonts w:hint="eastAsia" w:ascii="宋体" w:hAnsi="宋体" w:eastAsia="宋体" w:cs="宋体"/>
          <w:spacing w:val="0"/>
          <w:sz w:val="24"/>
          <w:szCs w:val="24"/>
        </w:rPr>
        <w:t>组织</w:t>
      </w:r>
      <w:r>
        <w:rPr>
          <w:rFonts w:hint="eastAsia" w:ascii="宋体" w:hAnsi="宋体" w:eastAsia="宋体" w:cs="宋体"/>
          <w:spacing w:val="0"/>
          <w:sz w:val="24"/>
          <w:szCs w:val="24"/>
          <w:u w:val="single"/>
          <w:lang w:val="en-US" w:eastAsia="zh-CN"/>
        </w:rPr>
        <w:t>宁化县城区环卫市场化服务项目</w:t>
      </w:r>
      <w:r>
        <w:rPr>
          <w:rFonts w:hint="eastAsia" w:ascii="宋体" w:hAnsi="宋体" w:eastAsia="宋体" w:cs="宋体"/>
          <w:spacing w:val="0"/>
          <w:sz w:val="24"/>
          <w:szCs w:val="24"/>
        </w:rPr>
        <w:t>（以下简称：“本项目”）的政府采购活动，现邀请供应商参加投标。</w:t>
      </w:r>
    </w:p>
    <w:p>
      <w:pPr>
        <w:pStyle w:val="6"/>
        <w:keepNext w:val="0"/>
        <w:keepLines w:val="0"/>
        <w:widowControl/>
        <w:suppressLineNumbers w:val="0"/>
        <w:spacing w:before="75" w:beforeAutospacing="0" w:after="75" w:afterAutospacing="0"/>
        <w:ind w:left="0" w:right="0" w:firstLine="480"/>
        <w:rPr>
          <w:rFonts w:hint="eastAsia" w:ascii="宋体" w:hAnsi="宋体" w:eastAsia="宋体" w:cs="宋体"/>
          <w:sz w:val="24"/>
          <w:szCs w:val="24"/>
        </w:rPr>
      </w:pPr>
      <w:r>
        <w:rPr>
          <w:rFonts w:hint="eastAsia" w:ascii="宋体" w:hAnsi="宋体" w:eastAsia="宋体" w:cs="宋体"/>
          <w:spacing w:val="0"/>
          <w:sz w:val="24"/>
          <w:szCs w:val="24"/>
        </w:rPr>
        <w:t>1、备案编号：</w:t>
      </w:r>
      <w:r>
        <w:rPr>
          <w:rFonts w:hint="eastAsia" w:ascii="宋体" w:hAnsi="宋体" w:eastAsia="宋体" w:cs="宋体"/>
          <w:spacing w:val="0"/>
          <w:sz w:val="24"/>
          <w:szCs w:val="24"/>
          <w:lang w:val="en-US" w:eastAsia="zh-CN"/>
        </w:rPr>
        <w:t>G7-NHCGJ-GK-201909-B0804-TH</w:t>
      </w:r>
      <w:r>
        <w:rPr>
          <w:rFonts w:hint="eastAsia" w:ascii="宋体" w:hAnsi="宋体" w:eastAsia="宋体" w:cs="宋体"/>
          <w:spacing w:val="0"/>
          <w:sz w:val="24"/>
          <w:szCs w:val="24"/>
        </w:rPr>
        <w:t>。</w:t>
      </w:r>
    </w:p>
    <w:p>
      <w:pPr>
        <w:pStyle w:val="6"/>
        <w:keepNext w:val="0"/>
        <w:keepLines w:val="0"/>
        <w:widowControl/>
        <w:suppressLineNumbers w:val="0"/>
        <w:spacing w:before="75" w:beforeAutospacing="0" w:after="75" w:afterAutospacing="0"/>
        <w:ind w:left="0" w:right="0" w:firstLine="480"/>
        <w:rPr>
          <w:rFonts w:hint="eastAsia" w:ascii="宋体" w:hAnsi="宋体" w:eastAsia="宋体" w:cs="宋体"/>
          <w:sz w:val="24"/>
          <w:szCs w:val="24"/>
        </w:rPr>
      </w:pPr>
      <w:r>
        <w:rPr>
          <w:rFonts w:hint="eastAsia" w:ascii="宋体" w:hAnsi="宋体" w:eastAsia="宋体" w:cs="宋体"/>
          <w:spacing w:val="0"/>
          <w:sz w:val="24"/>
          <w:szCs w:val="24"/>
        </w:rPr>
        <w:t>2、招标编号：</w:t>
      </w:r>
      <w:r>
        <w:rPr>
          <w:rFonts w:hint="eastAsia" w:ascii="宋体" w:hAnsi="宋体" w:eastAsia="宋体" w:cs="宋体"/>
          <w:spacing w:val="0"/>
          <w:sz w:val="24"/>
          <w:szCs w:val="24"/>
          <w:lang w:val="en-US" w:eastAsia="zh-CN"/>
        </w:rPr>
        <w:t>[350424]TH[GK]2019028</w:t>
      </w:r>
      <w:r>
        <w:rPr>
          <w:rFonts w:hint="eastAsia" w:ascii="宋体" w:hAnsi="宋体" w:eastAsia="宋体" w:cs="宋体"/>
          <w:spacing w:val="0"/>
          <w:sz w:val="24"/>
          <w:szCs w:val="24"/>
        </w:rPr>
        <w:t>。</w:t>
      </w:r>
    </w:p>
    <w:p>
      <w:pPr>
        <w:pStyle w:val="6"/>
        <w:keepNext w:val="0"/>
        <w:keepLines w:val="0"/>
        <w:widowControl/>
        <w:suppressLineNumbers w:val="0"/>
        <w:spacing w:before="75" w:beforeAutospacing="0" w:after="75" w:afterAutospacing="0"/>
        <w:ind w:left="0" w:right="0" w:firstLine="480"/>
        <w:rPr>
          <w:rFonts w:hint="eastAsia" w:ascii="宋体" w:hAnsi="宋体" w:eastAsia="宋体" w:cs="宋体"/>
          <w:sz w:val="24"/>
          <w:szCs w:val="24"/>
        </w:rPr>
      </w:pPr>
      <w:r>
        <w:rPr>
          <w:rFonts w:hint="eastAsia" w:ascii="宋体" w:hAnsi="宋体" w:eastAsia="宋体" w:cs="宋体"/>
          <w:spacing w:val="0"/>
          <w:sz w:val="24"/>
          <w:szCs w:val="24"/>
        </w:rPr>
        <w:t>3、预算金额、最高限价：详见《采购标的一览表》。</w:t>
      </w:r>
      <w:r>
        <w:rPr>
          <w:rFonts w:hint="eastAsia" w:ascii="宋体" w:hAnsi="宋体" w:eastAsia="宋体" w:cs="宋体"/>
          <w:spacing w:val="0"/>
          <w:sz w:val="24"/>
          <w:szCs w:val="24"/>
        </w:rPr>
        <w:br w:type="textWrapping"/>
      </w:r>
      <w:r>
        <w:rPr>
          <w:rFonts w:hint="eastAsia" w:ascii="宋体" w:hAnsi="宋体" w:eastAsia="宋体" w:cs="宋体"/>
          <w:spacing w:val="0"/>
          <w:sz w:val="24"/>
          <w:szCs w:val="24"/>
        </w:rPr>
        <w:t>  4、招标内容及要求：详见《采购标的一览表》及招标文件第五章。</w:t>
      </w:r>
    </w:p>
    <w:p>
      <w:pPr>
        <w:pStyle w:val="6"/>
        <w:keepNext w:val="0"/>
        <w:keepLines w:val="0"/>
        <w:widowControl/>
        <w:suppressLineNumbers w:val="0"/>
        <w:spacing w:before="75" w:beforeAutospacing="0" w:after="75" w:afterAutospacing="0"/>
        <w:ind w:left="0" w:right="0" w:firstLine="480"/>
        <w:rPr>
          <w:rFonts w:hint="eastAsia" w:ascii="宋体" w:hAnsi="宋体" w:eastAsia="宋体" w:cs="宋体"/>
          <w:sz w:val="24"/>
          <w:szCs w:val="24"/>
        </w:rPr>
      </w:pPr>
      <w:r>
        <w:rPr>
          <w:rFonts w:hint="eastAsia" w:ascii="宋体" w:hAnsi="宋体" w:eastAsia="宋体" w:cs="宋体"/>
          <w:spacing w:val="0"/>
          <w:sz w:val="24"/>
          <w:szCs w:val="24"/>
        </w:rPr>
        <w:t>5、需要落实的政府采购政策：(1)节能产品：不适用于合同包1。(2)环境标志产品：不适用于合同包1。(3)信息安全产品：不适用于合同包1。(4)小型、微型企业：</w:t>
      </w:r>
      <w:r>
        <w:rPr>
          <w:rFonts w:ascii="宋体" w:hAnsi="宋体" w:eastAsia="宋体" w:cs="宋体"/>
          <w:i w:val="0"/>
          <w:caps w:val="0"/>
          <w:color w:val="000000"/>
          <w:spacing w:val="0"/>
          <w:sz w:val="24"/>
          <w:szCs w:val="24"/>
        </w:rPr>
        <w:t>适用于（合同包1）</w:t>
      </w:r>
      <w:r>
        <w:rPr>
          <w:rFonts w:hint="eastAsia" w:ascii="宋体" w:hAnsi="宋体" w:cs="宋体"/>
          <w:spacing w:val="0"/>
          <w:sz w:val="24"/>
          <w:szCs w:val="24"/>
          <w:lang w:eastAsia="zh-CN"/>
        </w:rPr>
        <w:t>。</w:t>
      </w:r>
      <w:r>
        <w:rPr>
          <w:rFonts w:hint="eastAsia" w:ascii="宋体" w:hAnsi="宋体" w:eastAsia="宋体" w:cs="宋体"/>
          <w:spacing w:val="0"/>
          <w:sz w:val="24"/>
          <w:szCs w:val="24"/>
        </w:rPr>
        <w:t>(5)监狱企业：</w:t>
      </w:r>
      <w:r>
        <w:rPr>
          <w:rFonts w:ascii="宋体" w:hAnsi="宋体" w:eastAsia="宋体" w:cs="宋体"/>
          <w:i w:val="0"/>
          <w:caps w:val="0"/>
          <w:color w:val="000000"/>
          <w:spacing w:val="0"/>
          <w:sz w:val="24"/>
          <w:szCs w:val="24"/>
        </w:rPr>
        <w:t>适用于（合同包1）</w:t>
      </w:r>
      <w:r>
        <w:rPr>
          <w:rFonts w:hint="eastAsia" w:ascii="宋体" w:hAnsi="宋体" w:eastAsia="宋体" w:cs="宋体"/>
          <w:spacing w:val="0"/>
          <w:sz w:val="24"/>
          <w:szCs w:val="24"/>
        </w:rPr>
        <w:t>。(6)残疾人福利性单位：</w:t>
      </w:r>
      <w:r>
        <w:rPr>
          <w:rFonts w:ascii="宋体" w:hAnsi="宋体" w:eastAsia="宋体" w:cs="宋体"/>
          <w:i w:val="0"/>
          <w:caps w:val="0"/>
          <w:color w:val="000000"/>
          <w:spacing w:val="0"/>
          <w:sz w:val="24"/>
          <w:szCs w:val="24"/>
        </w:rPr>
        <w:t>适用于（合同包1）</w:t>
      </w:r>
      <w:r>
        <w:rPr>
          <w:rFonts w:hint="eastAsia" w:ascii="宋体" w:hAnsi="宋体" w:eastAsia="宋体" w:cs="宋体"/>
          <w:spacing w:val="0"/>
          <w:sz w:val="24"/>
          <w:szCs w:val="24"/>
        </w:rPr>
        <w:t>。(7)信用记录，按照下列规定执行：①信用记录查询的截止时点：本项目招标公告发布后，投标截止时间前。②信用记录查询渠道：中国政府采购网（www.ccgp.gov.cn）及“信用中国”网站（www.creditchina.gov.cn）。③查询记录和证据留存的具体方式：投标人应同时提供在招标文件要求的截止时点前通过上述2个网站获取的信用信息查询结果，信用信息查询结果应为从上述网站获取的查询结果原始页面的打印件或完整截图，否则投标无效。④信用记录查询的具体办法及使用规则：投标人参加本项目采购活动(投标截止时间)前三年内被列入失信被执行人名单、重大税收违法案件当事人名单、政府采购严重违法失信行为记录名单，受到政府采购行政处罚，且相关信用惩戒期限未满，以及其他不符合《中华人民共和国政府采购法》第二十二条规定条件的投标人，投标无效。（8）查询结果的审查：①由资格审查小组通过上述网站查询并打印投标人信用记录（以下简称：“资格审查小组的查询结果”）。②投标人提供的查询结果与资格审查小组的查询结果不一致的，以资格审查小组的查询结果为准。③因上述网站原因导致资格审查小组无法查询投标人信用记录的（资格审查小组应将通过上述网站查询投标人信用记录时的原始页面打印后随采购文件一并存档），以投标人提供的查询结果为准。④查询结果存在投标人应被拒绝参与政府采购活动相关信息的，其资格审查不合格。其他政策：其他详见招标文件规定。</w:t>
      </w:r>
    </w:p>
    <w:p>
      <w:pPr>
        <w:pStyle w:val="6"/>
        <w:keepNext w:val="0"/>
        <w:keepLines w:val="0"/>
        <w:widowControl/>
        <w:suppressLineNumbers w:val="0"/>
        <w:spacing w:before="75" w:beforeAutospacing="0" w:after="75" w:afterAutospacing="0"/>
        <w:ind w:left="0" w:right="0" w:firstLine="480"/>
        <w:rPr>
          <w:rFonts w:hint="eastAsia" w:ascii="宋体" w:hAnsi="宋体" w:eastAsia="宋体" w:cs="宋体"/>
          <w:sz w:val="24"/>
          <w:szCs w:val="24"/>
        </w:rPr>
      </w:pPr>
      <w:r>
        <w:rPr>
          <w:rFonts w:hint="eastAsia" w:ascii="宋体" w:hAnsi="宋体" w:eastAsia="宋体" w:cs="宋体"/>
          <w:spacing w:val="0"/>
          <w:sz w:val="24"/>
          <w:szCs w:val="24"/>
        </w:rPr>
        <w:t>6、投标人的资格要求</w:t>
      </w:r>
    </w:p>
    <w:p>
      <w:pPr>
        <w:pStyle w:val="6"/>
        <w:keepNext w:val="0"/>
        <w:keepLines w:val="0"/>
        <w:widowControl/>
        <w:suppressLineNumbers w:val="0"/>
        <w:spacing w:before="75" w:beforeAutospacing="0" w:after="75" w:afterAutospacing="0"/>
        <w:ind w:left="0" w:right="0" w:firstLine="480"/>
        <w:rPr>
          <w:rFonts w:hint="eastAsia" w:ascii="宋体" w:hAnsi="宋体" w:eastAsia="宋体" w:cs="宋体"/>
          <w:sz w:val="24"/>
          <w:szCs w:val="24"/>
        </w:rPr>
      </w:pPr>
      <w:r>
        <w:rPr>
          <w:rFonts w:hint="eastAsia" w:ascii="宋体" w:hAnsi="宋体" w:eastAsia="宋体" w:cs="宋体"/>
          <w:spacing w:val="0"/>
          <w:sz w:val="24"/>
          <w:szCs w:val="24"/>
        </w:rPr>
        <w:t>6.1法定条件：符合政府采购法第二十二条第一款规定的条件。</w:t>
      </w:r>
    </w:p>
    <w:p>
      <w:pPr>
        <w:pStyle w:val="6"/>
        <w:keepNext w:val="0"/>
        <w:keepLines w:val="0"/>
        <w:widowControl/>
        <w:suppressLineNumbers w:val="0"/>
        <w:spacing w:before="75" w:beforeAutospacing="0" w:after="75" w:afterAutospacing="0"/>
        <w:ind w:left="0" w:right="0" w:firstLine="480"/>
        <w:rPr>
          <w:rFonts w:hint="eastAsia" w:ascii="宋体" w:hAnsi="宋体" w:eastAsia="宋体" w:cs="宋体"/>
          <w:sz w:val="24"/>
          <w:szCs w:val="24"/>
        </w:rPr>
      </w:pPr>
      <w:r>
        <w:rPr>
          <w:rFonts w:hint="eastAsia" w:ascii="宋体" w:hAnsi="宋体" w:eastAsia="宋体" w:cs="宋体"/>
          <w:spacing w:val="0"/>
          <w:sz w:val="24"/>
          <w:szCs w:val="24"/>
        </w:rPr>
        <w:t>6.2特定条件：</w:t>
      </w:r>
      <w:r>
        <w:rPr>
          <w:rFonts w:hint="eastAsia" w:ascii="宋体" w:hAnsi="宋体" w:eastAsia="宋体" w:cs="宋体"/>
          <w:spacing w:val="0"/>
          <w:sz w:val="24"/>
          <w:szCs w:val="24"/>
        </w:rPr>
        <w:br w:type="textWrapping"/>
      </w:r>
      <w:r>
        <w:rPr>
          <w:rStyle w:val="10"/>
          <w:rFonts w:hint="eastAsia" w:ascii="宋体" w:hAnsi="宋体" w:eastAsia="宋体" w:cs="宋体"/>
          <w:spacing w:val="0"/>
          <w:sz w:val="24"/>
          <w:szCs w:val="24"/>
        </w:rPr>
        <w:t>包：1</w:t>
      </w:r>
      <w:r>
        <w:rPr>
          <w:rFonts w:hint="eastAsia" w:ascii="宋体" w:hAnsi="宋体" w:eastAsia="宋体" w:cs="宋体"/>
          <w:spacing w:val="0"/>
          <w:sz w:val="24"/>
          <w:szCs w:val="24"/>
        </w:rPr>
        <w:t xml:space="preserve"> </w:t>
      </w:r>
    </w:p>
    <w:tbl>
      <w:tblPr>
        <w:tblStyle w:val="7"/>
        <w:tblW w:w="8326" w:type="dxa"/>
        <w:tblCellSpacing w:w="0" w:type="dxa"/>
        <w:tblInd w:w="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747"/>
        <w:gridCol w:w="45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Header/>
          <w:tblCellSpacing w:w="0" w:type="dxa"/>
        </w:trPr>
        <w:tc>
          <w:tcPr>
            <w:tcW w:w="3747" w:type="dxa"/>
            <w:noWrap w:val="0"/>
            <w:vAlign w:val="center"/>
          </w:tcPr>
          <w:p>
            <w:pPr>
              <w:keepNext w:val="0"/>
              <w:keepLines w:val="0"/>
              <w:widowControl/>
              <w:suppressLineNumbers w:val="0"/>
              <w:jc w:val="left"/>
              <w:rPr>
                <w:rFonts w:hint="eastAsia" w:ascii="宋体" w:hAnsi="宋体" w:eastAsia="宋体" w:cs="宋体"/>
                <w:b/>
                <w:sz w:val="24"/>
                <w:szCs w:val="24"/>
              </w:rPr>
            </w:pPr>
            <w:r>
              <w:rPr>
                <w:rFonts w:hint="eastAsia" w:ascii="宋体" w:hAnsi="宋体" w:eastAsia="宋体" w:cs="宋体"/>
                <w:b/>
                <w:kern w:val="0"/>
                <w:sz w:val="24"/>
                <w:szCs w:val="24"/>
                <w:lang w:val="en-US" w:eastAsia="zh-CN" w:bidi="ar"/>
              </w:rPr>
              <w:t>明细</w:t>
            </w:r>
          </w:p>
        </w:tc>
        <w:tc>
          <w:tcPr>
            <w:tcW w:w="4579" w:type="dxa"/>
            <w:noWrap w:val="0"/>
            <w:vAlign w:val="center"/>
          </w:tcPr>
          <w:p>
            <w:pPr>
              <w:keepNext w:val="0"/>
              <w:keepLines w:val="0"/>
              <w:widowControl/>
              <w:suppressLineNumbers w:val="0"/>
              <w:jc w:val="center"/>
              <w:rPr>
                <w:rFonts w:hint="eastAsia" w:ascii="宋体" w:hAnsi="宋体" w:eastAsia="宋体" w:cs="宋体"/>
                <w:b/>
                <w:sz w:val="24"/>
                <w:szCs w:val="24"/>
              </w:rPr>
            </w:pPr>
            <w:r>
              <w:rPr>
                <w:rFonts w:hint="eastAsia" w:ascii="宋体" w:hAnsi="宋体" w:eastAsia="宋体" w:cs="宋体"/>
                <w:b/>
                <w:kern w:val="0"/>
                <w:sz w:val="24"/>
                <w:szCs w:val="24"/>
                <w:lang w:val="en-US" w:eastAsia="zh-CN" w:bidi="ar"/>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1620" w:hRule="atLeast"/>
          <w:tblCellSpacing w:w="0" w:type="dxa"/>
        </w:trPr>
        <w:tc>
          <w:tcPr>
            <w:tcW w:w="3747" w:type="dxa"/>
            <w:noWrap w:val="0"/>
            <w:vAlign w:val="center"/>
          </w:tcPr>
          <w:p>
            <w:pPr>
              <w:keepNext w:val="0"/>
              <w:keepLines w:val="0"/>
              <w:widowControl/>
              <w:suppressLineNumbers w:val="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具备履行合同所必需设备和专业技术能力专项证明材料</w:t>
            </w:r>
          </w:p>
        </w:tc>
        <w:tc>
          <w:tcPr>
            <w:tcW w:w="4579" w:type="dxa"/>
            <w:noWrap w:val="0"/>
            <w:vAlign w:val="center"/>
          </w:tcPr>
          <w:p>
            <w:pPr>
              <w:keepNext w:val="0"/>
              <w:keepLines w:val="0"/>
              <w:widowControl/>
              <w:suppressLineNumbers w:val="0"/>
              <w:jc w:val="left"/>
              <w:rPr>
                <w:rFonts w:hint="eastAsia"/>
              </w:rPr>
            </w:pPr>
            <w:r>
              <w:rPr>
                <w:rFonts w:hint="eastAsia" w:ascii="宋体" w:hAnsi="宋体" w:eastAsia="宋体" w:cs="宋体"/>
                <w:kern w:val="0"/>
                <w:sz w:val="24"/>
                <w:szCs w:val="24"/>
                <w:lang w:val="en-US" w:eastAsia="zh-CN" w:bidi="ar"/>
              </w:rPr>
              <w:t>投标人需提供企业经营活动场所证明材料及参与本项目人员列表名单（含联系人、联系电话及所列表</w:t>
            </w:r>
            <w:r>
              <w:rPr>
                <w:rFonts w:hint="eastAsia" w:ascii="宋体" w:hAnsi="宋体" w:eastAsia="宋体" w:cs="宋体"/>
                <w:i w:val="0"/>
                <w:color w:val="000000"/>
                <w:kern w:val="0"/>
                <w:sz w:val="24"/>
                <w:szCs w:val="24"/>
                <w:u w:val="none"/>
                <w:lang w:val="en-US" w:eastAsia="zh-CN" w:bidi="ar"/>
              </w:rPr>
              <w:t>相关人员名单及其本项目开标截止之日前连续近六个月投标单位为其缴交社保的证明材料，社保证明材料应从社保窗口或从社保系统中打印为准。</w:t>
            </w:r>
            <w:r>
              <w:rPr>
                <w:rFonts w:hint="eastAsia" w:ascii="宋体" w:hAnsi="宋体" w:cs="宋体"/>
                <w:i w:val="0"/>
                <w:color w:val="000000"/>
                <w:kern w:val="0"/>
                <w:sz w:val="24"/>
                <w:szCs w:val="24"/>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3747" w:type="dxa"/>
            <w:noWrap w:val="0"/>
            <w:vAlign w:val="center"/>
          </w:tcPr>
          <w:p>
            <w:pPr>
              <w:keepNext w:val="0"/>
              <w:keepLines w:val="0"/>
              <w:widowControl/>
              <w:suppressLineNumbers w:val="0"/>
              <w:jc w:val="left"/>
              <w:rPr>
                <w:rFonts w:hint="eastAsia" w:ascii="宋体" w:hAnsi="宋体" w:eastAsia="宋体" w:cs="宋体"/>
                <w:sz w:val="24"/>
                <w:szCs w:val="24"/>
                <w:highlight w:val="none"/>
                <w:lang w:val="en-US" w:eastAsia="zh-CN"/>
              </w:rPr>
            </w:pPr>
            <w:r>
              <w:rPr>
                <w:rFonts w:hint="eastAsia" w:ascii="宋体" w:hAnsi="宋体" w:eastAsia="宋体" w:cs="宋体"/>
                <w:kern w:val="0"/>
                <w:sz w:val="24"/>
                <w:szCs w:val="24"/>
                <w:highlight w:val="none"/>
                <w:lang w:val="en-US" w:eastAsia="zh-CN" w:bidi="ar"/>
              </w:rPr>
              <w:t>特定资格条件1</w:t>
            </w:r>
          </w:p>
          <w:p>
            <w:pPr>
              <w:pStyle w:val="2"/>
              <w:jc w:val="left"/>
              <w:rPr>
                <w:rFonts w:hint="eastAsia" w:ascii="宋体" w:hAnsi="宋体" w:eastAsia="宋体" w:cs="宋体"/>
                <w:sz w:val="24"/>
                <w:szCs w:val="24"/>
                <w:highlight w:val="none"/>
                <w:lang w:val="en-US" w:eastAsia="zh-CN"/>
              </w:rPr>
            </w:pPr>
          </w:p>
        </w:tc>
        <w:tc>
          <w:tcPr>
            <w:tcW w:w="4579" w:type="dxa"/>
            <w:noWrap w:val="0"/>
            <w:vAlign w:val="center"/>
          </w:tcPr>
          <w:p>
            <w:pPr>
              <w:keepNext w:val="0"/>
              <w:keepLines w:val="0"/>
              <w:widowControl/>
              <w:suppressLineNumbers w:val="0"/>
              <w:jc w:val="left"/>
              <w:rPr>
                <w:rFonts w:hint="eastAsia" w:ascii="宋体" w:hAnsi="宋体" w:eastAsia="宋体" w:cs="宋体"/>
                <w:kern w:val="0"/>
                <w:sz w:val="24"/>
                <w:szCs w:val="24"/>
                <w:highlight w:val="none"/>
                <w:lang w:val="en-US" w:eastAsia="zh-CN" w:bidi="ar"/>
              </w:rPr>
            </w:pPr>
            <w:r>
              <w:rPr>
                <w:rFonts w:hint="eastAsia" w:ascii="宋体" w:hAnsi="宋体" w:eastAsia="宋体" w:cs="宋体"/>
                <w:kern w:val="0"/>
                <w:sz w:val="24"/>
                <w:szCs w:val="24"/>
                <w:highlight w:val="none"/>
                <w:lang w:val="en-US" w:eastAsia="zh-CN" w:bidi="ar"/>
              </w:rPr>
              <w:t>投标人应具有福建省环境卫生行业主管部门或经行业主管部门授权的环境卫生行业协会评定的甲级资信</w:t>
            </w:r>
            <w:r>
              <w:rPr>
                <w:rFonts w:hint="eastAsia" w:ascii="宋体" w:hAnsi="宋体" w:cs="宋体"/>
                <w:kern w:val="0"/>
                <w:sz w:val="24"/>
                <w:szCs w:val="24"/>
                <w:highlight w:val="none"/>
                <w:lang w:val="en-US" w:eastAsia="zh-CN" w:bidi="ar"/>
              </w:rPr>
              <w:t>等级证书</w:t>
            </w:r>
            <w:r>
              <w:rPr>
                <w:rFonts w:hint="eastAsia" w:ascii="宋体" w:hAnsi="宋体" w:eastAsia="宋体" w:cs="宋体"/>
                <w:kern w:val="0"/>
                <w:sz w:val="24"/>
                <w:szCs w:val="24"/>
                <w:highlight w:val="none"/>
                <w:lang w:val="en-US" w:eastAsia="zh-CN" w:bidi="ar"/>
              </w:rPr>
              <w:t>，省外企业</w:t>
            </w:r>
            <w:r>
              <w:rPr>
                <w:rFonts w:hint="eastAsia" w:ascii="宋体" w:hAnsi="宋体" w:cs="宋体"/>
                <w:kern w:val="0"/>
                <w:sz w:val="24"/>
                <w:szCs w:val="24"/>
                <w:highlight w:val="none"/>
                <w:lang w:val="en-US" w:eastAsia="zh-CN" w:bidi="ar"/>
              </w:rPr>
              <w:t>应具有与本项目规模相应的一级/A级资信等级证书</w:t>
            </w:r>
            <w:r>
              <w:rPr>
                <w:rFonts w:hint="eastAsia" w:ascii="宋体" w:hAnsi="宋体" w:eastAsia="宋体" w:cs="宋体"/>
                <w:kern w:val="0"/>
                <w:sz w:val="24"/>
                <w:szCs w:val="24"/>
                <w:highlight w:val="none"/>
                <w:lang w:val="en-US" w:eastAsia="zh-CN" w:bidi="ar"/>
              </w:rPr>
              <w:t>。须提供有效的资信证明复印件加盖投标人公章。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3747" w:type="dxa"/>
            <w:noWrap w:val="0"/>
            <w:vAlign w:val="center"/>
          </w:tcPr>
          <w:p>
            <w:pPr>
              <w:keepNext w:val="0"/>
              <w:keepLines w:val="0"/>
              <w:widowControl/>
              <w:suppressLineNumbers w:val="0"/>
              <w:jc w:val="lef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bidi="ar"/>
              </w:rPr>
              <w:t>单位负责人授权书</w:t>
            </w:r>
          </w:p>
        </w:tc>
        <w:tc>
          <w:tcPr>
            <w:tcW w:w="4579" w:type="dxa"/>
            <w:noWrap w:val="0"/>
            <w:vAlign w:val="center"/>
          </w:tcPr>
          <w:p>
            <w:pPr>
              <w:keepNext w:val="0"/>
              <w:keepLines w:val="0"/>
              <w:widowControl/>
              <w:suppressLineNumbers w:val="0"/>
              <w:jc w:val="lef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bidi="ar"/>
              </w:rPr>
              <w:t>所有参加投标的投标方代表均需随身携带本人身份证原件</w:t>
            </w:r>
            <w:r>
              <w:rPr>
                <w:rFonts w:hint="eastAsia" w:ascii="宋体" w:hAnsi="宋体" w:eastAsia="宋体" w:cs="宋体"/>
                <w:kern w:val="0"/>
                <w:sz w:val="24"/>
                <w:szCs w:val="24"/>
                <w:lang w:val="en-US" w:eastAsia="zh-CN" w:bidi="ar"/>
              </w:rPr>
              <w:t>及CA认证卡（数字证书）用于现场解密电子版投标文件。如果投标方代表不是法定代表人，投标方代表还需随身携带《单位负责人授权书》。</w:t>
            </w:r>
          </w:p>
        </w:tc>
      </w:tr>
    </w:tbl>
    <w:p>
      <w:pPr>
        <w:pStyle w:val="6"/>
        <w:keepNext w:val="0"/>
        <w:keepLines w:val="0"/>
        <w:widowControl/>
        <w:suppressLineNumbers w:val="0"/>
        <w:spacing w:before="75" w:beforeAutospacing="0" w:after="75" w:afterAutospacing="0"/>
        <w:ind w:left="0" w:right="0" w:firstLine="480"/>
        <w:rPr>
          <w:rFonts w:hint="eastAsia" w:ascii="宋体" w:hAnsi="宋体" w:eastAsia="宋体" w:cs="宋体"/>
          <w:sz w:val="24"/>
          <w:szCs w:val="24"/>
        </w:rPr>
      </w:pPr>
      <w:r>
        <w:rPr>
          <w:rFonts w:hint="eastAsia" w:ascii="宋体" w:hAnsi="宋体" w:eastAsia="宋体" w:cs="宋体"/>
          <w:spacing w:val="0"/>
          <w:sz w:val="24"/>
          <w:szCs w:val="24"/>
        </w:rPr>
        <w:t>6.3是否接受联合体投标：不接受。</w:t>
      </w:r>
    </w:p>
    <w:p>
      <w:pPr>
        <w:pStyle w:val="6"/>
        <w:keepNext w:val="0"/>
        <w:keepLines w:val="0"/>
        <w:widowControl/>
        <w:suppressLineNumbers w:val="0"/>
        <w:spacing w:before="75" w:beforeAutospacing="0" w:after="75" w:afterAutospacing="0"/>
        <w:ind w:left="0" w:right="0" w:firstLine="480"/>
        <w:rPr>
          <w:rFonts w:hint="eastAsia" w:ascii="宋体" w:hAnsi="宋体" w:eastAsia="宋体" w:cs="宋体"/>
          <w:sz w:val="24"/>
          <w:szCs w:val="24"/>
        </w:rPr>
      </w:pPr>
      <w:r>
        <w:rPr>
          <w:rStyle w:val="10"/>
          <w:rFonts w:hint="eastAsia" w:ascii="宋体" w:hAnsi="宋体" w:eastAsia="宋体" w:cs="宋体"/>
          <w:spacing w:val="0"/>
          <w:sz w:val="24"/>
          <w:szCs w:val="24"/>
        </w:rPr>
        <w:t>※根据上述资格要求，投标文件中应提交的“投标人的资格及资信证明文件”详见招标文件第四章。</w:t>
      </w:r>
    </w:p>
    <w:p>
      <w:pPr>
        <w:pStyle w:val="6"/>
        <w:keepNext w:val="0"/>
        <w:keepLines w:val="0"/>
        <w:widowControl/>
        <w:suppressLineNumbers w:val="0"/>
        <w:spacing w:before="75" w:beforeAutospacing="0" w:after="75" w:afterAutospacing="0"/>
        <w:ind w:left="0" w:right="0" w:firstLine="480"/>
        <w:rPr>
          <w:rFonts w:hint="eastAsia" w:ascii="宋体" w:hAnsi="宋体" w:eastAsia="宋体" w:cs="宋体"/>
          <w:sz w:val="24"/>
          <w:szCs w:val="24"/>
        </w:rPr>
      </w:pPr>
      <w:r>
        <w:rPr>
          <w:rFonts w:hint="eastAsia" w:ascii="宋体" w:hAnsi="宋体" w:eastAsia="宋体" w:cs="宋体"/>
          <w:spacing w:val="0"/>
          <w:sz w:val="24"/>
          <w:szCs w:val="24"/>
        </w:rPr>
        <w:t>7、报名</w:t>
      </w:r>
    </w:p>
    <w:p>
      <w:pPr>
        <w:pStyle w:val="6"/>
        <w:keepNext w:val="0"/>
        <w:keepLines w:val="0"/>
        <w:widowControl/>
        <w:suppressLineNumbers w:val="0"/>
        <w:spacing w:before="75" w:beforeAutospacing="0" w:after="75" w:afterAutospacing="0"/>
        <w:ind w:left="0" w:right="0" w:firstLine="480"/>
        <w:rPr>
          <w:rFonts w:hint="eastAsia" w:ascii="宋体" w:hAnsi="宋体" w:eastAsia="宋体" w:cs="宋体"/>
          <w:sz w:val="24"/>
          <w:szCs w:val="24"/>
        </w:rPr>
      </w:pPr>
      <w:r>
        <w:rPr>
          <w:rFonts w:hint="eastAsia" w:ascii="宋体" w:hAnsi="宋体" w:eastAsia="宋体" w:cs="宋体"/>
          <w:spacing w:val="0"/>
          <w:sz w:val="24"/>
          <w:szCs w:val="24"/>
        </w:rPr>
        <w:t>7.1报名期限：详见招标公告或更正公告（若有），若不一致，以更正公告（若有）为准。</w:t>
      </w:r>
    </w:p>
    <w:p>
      <w:pPr>
        <w:pStyle w:val="6"/>
        <w:keepNext w:val="0"/>
        <w:keepLines w:val="0"/>
        <w:widowControl/>
        <w:suppressLineNumbers w:val="0"/>
        <w:spacing w:before="75" w:beforeAutospacing="0" w:after="75" w:afterAutospacing="0"/>
        <w:ind w:left="0" w:right="0" w:firstLine="480"/>
        <w:rPr>
          <w:rFonts w:hint="eastAsia" w:ascii="宋体" w:hAnsi="宋体" w:eastAsia="宋体" w:cs="宋体"/>
          <w:sz w:val="24"/>
          <w:szCs w:val="24"/>
        </w:rPr>
      </w:pPr>
      <w:r>
        <w:rPr>
          <w:rFonts w:hint="eastAsia" w:ascii="宋体" w:hAnsi="宋体" w:eastAsia="宋体" w:cs="宋体"/>
          <w:spacing w:val="0"/>
          <w:sz w:val="24"/>
          <w:szCs w:val="24"/>
        </w:rPr>
        <w:t>7.2报名期限内，供应商应通过福建省政府采购网上公开信息系统的注册会员账号（免费注册）对本项目进行报名(请根据项目所在地，登录对应的福建省政府采购网上公开信息系统报名(即省本级网址/地市分网))，否则</w:t>
      </w:r>
      <w:r>
        <w:rPr>
          <w:rStyle w:val="10"/>
          <w:rFonts w:hint="eastAsia" w:ascii="宋体" w:hAnsi="宋体" w:eastAsia="宋体" w:cs="宋体"/>
          <w:spacing w:val="0"/>
          <w:sz w:val="24"/>
          <w:szCs w:val="24"/>
        </w:rPr>
        <w:t>投标将被拒绝。</w:t>
      </w:r>
    </w:p>
    <w:p>
      <w:pPr>
        <w:pStyle w:val="6"/>
        <w:keepNext w:val="0"/>
        <w:keepLines w:val="0"/>
        <w:widowControl/>
        <w:suppressLineNumbers w:val="0"/>
        <w:spacing w:before="75" w:beforeAutospacing="0" w:after="75" w:afterAutospacing="0"/>
        <w:ind w:left="0" w:right="0" w:firstLine="480"/>
        <w:rPr>
          <w:rFonts w:hint="eastAsia" w:ascii="宋体" w:hAnsi="宋体" w:eastAsia="宋体" w:cs="宋体"/>
          <w:sz w:val="24"/>
          <w:szCs w:val="24"/>
        </w:rPr>
      </w:pPr>
      <w:r>
        <w:rPr>
          <w:rFonts w:hint="eastAsia" w:ascii="宋体" w:hAnsi="宋体" w:eastAsia="宋体" w:cs="宋体"/>
          <w:spacing w:val="0"/>
          <w:sz w:val="24"/>
          <w:szCs w:val="24"/>
        </w:rPr>
        <w:t>8、招标文件的获取</w:t>
      </w:r>
    </w:p>
    <w:p>
      <w:pPr>
        <w:pStyle w:val="6"/>
        <w:keepNext w:val="0"/>
        <w:keepLines w:val="0"/>
        <w:widowControl/>
        <w:suppressLineNumbers w:val="0"/>
        <w:spacing w:before="75" w:beforeAutospacing="0" w:after="75" w:afterAutospacing="0"/>
        <w:ind w:left="0" w:right="0" w:firstLine="480"/>
        <w:rPr>
          <w:rFonts w:hint="eastAsia" w:ascii="宋体" w:hAnsi="宋体" w:eastAsia="宋体" w:cs="宋体"/>
          <w:sz w:val="24"/>
          <w:szCs w:val="24"/>
        </w:rPr>
      </w:pPr>
      <w:r>
        <w:rPr>
          <w:rFonts w:hint="eastAsia" w:ascii="宋体" w:hAnsi="宋体" w:eastAsia="宋体" w:cs="宋体"/>
          <w:spacing w:val="0"/>
          <w:sz w:val="24"/>
          <w:szCs w:val="24"/>
        </w:rPr>
        <w:t>8.1招标文件提供期限：详见招标公告或更正公告（若有），若不一致，以更正公告（若有）为准。</w:t>
      </w:r>
    </w:p>
    <w:p>
      <w:pPr>
        <w:pStyle w:val="6"/>
        <w:keepNext w:val="0"/>
        <w:keepLines w:val="0"/>
        <w:widowControl/>
        <w:suppressLineNumbers w:val="0"/>
        <w:spacing w:before="75" w:beforeAutospacing="0" w:after="75" w:afterAutospacing="0"/>
        <w:ind w:left="0" w:right="0" w:firstLine="480"/>
        <w:rPr>
          <w:rFonts w:hint="eastAsia" w:ascii="宋体" w:hAnsi="宋体" w:eastAsia="宋体" w:cs="宋体"/>
          <w:sz w:val="24"/>
          <w:szCs w:val="24"/>
        </w:rPr>
      </w:pPr>
      <w:r>
        <w:rPr>
          <w:rFonts w:hint="eastAsia" w:ascii="宋体" w:hAnsi="宋体" w:eastAsia="宋体" w:cs="宋体"/>
          <w:spacing w:val="0"/>
          <w:sz w:val="24"/>
          <w:szCs w:val="24"/>
        </w:rPr>
        <w:t>8.2获取地点及方式：报名后，通过福建省政府采购网上公开信息系统以下载方式获取。</w:t>
      </w:r>
    </w:p>
    <w:p>
      <w:pPr>
        <w:pStyle w:val="6"/>
        <w:keepNext w:val="0"/>
        <w:keepLines w:val="0"/>
        <w:widowControl/>
        <w:suppressLineNumbers w:val="0"/>
        <w:spacing w:before="75" w:beforeAutospacing="0" w:after="75" w:afterAutospacing="0"/>
        <w:ind w:left="0" w:right="0" w:firstLine="480"/>
        <w:rPr>
          <w:rFonts w:hint="eastAsia" w:ascii="宋体" w:hAnsi="宋体" w:eastAsia="宋体" w:cs="宋体"/>
          <w:sz w:val="24"/>
          <w:szCs w:val="24"/>
        </w:rPr>
      </w:pPr>
      <w:r>
        <w:rPr>
          <w:rFonts w:hint="eastAsia" w:ascii="宋体" w:hAnsi="宋体" w:eastAsia="宋体" w:cs="宋体"/>
          <w:spacing w:val="0"/>
          <w:sz w:val="24"/>
          <w:szCs w:val="24"/>
        </w:rPr>
        <w:t>8.3、招标文件售价：0元。</w:t>
      </w:r>
    </w:p>
    <w:p>
      <w:pPr>
        <w:pStyle w:val="6"/>
        <w:keepNext w:val="0"/>
        <w:keepLines w:val="0"/>
        <w:widowControl/>
        <w:suppressLineNumbers w:val="0"/>
        <w:spacing w:before="75" w:beforeAutospacing="0" w:after="75" w:afterAutospacing="0"/>
        <w:ind w:left="0" w:right="0" w:firstLine="480"/>
        <w:rPr>
          <w:rFonts w:hint="eastAsia" w:ascii="宋体" w:hAnsi="宋体" w:eastAsia="宋体" w:cs="宋体"/>
          <w:sz w:val="24"/>
          <w:szCs w:val="24"/>
        </w:rPr>
      </w:pPr>
      <w:r>
        <w:rPr>
          <w:rFonts w:hint="eastAsia" w:ascii="宋体" w:hAnsi="宋体" w:eastAsia="宋体" w:cs="宋体"/>
          <w:spacing w:val="0"/>
          <w:sz w:val="24"/>
          <w:szCs w:val="24"/>
        </w:rPr>
        <w:t>9、投标截止</w:t>
      </w:r>
    </w:p>
    <w:p>
      <w:pPr>
        <w:pStyle w:val="6"/>
        <w:keepNext w:val="0"/>
        <w:keepLines w:val="0"/>
        <w:widowControl/>
        <w:suppressLineNumbers w:val="0"/>
        <w:spacing w:before="75" w:beforeAutospacing="0" w:after="75" w:afterAutospacing="0"/>
        <w:ind w:left="0" w:right="0" w:firstLine="480"/>
        <w:rPr>
          <w:rFonts w:hint="eastAsia" w:ascii="宋体" w:hAnsi="宋体" w:eastAsia="宋体" w:cs="宋体"/>
          <w:sz w:val="24"/>
          <w:szCs w:val="24"/>
        </w:rPr>
      </w:pPr>
      <w:r>
        <w:rPr>
          <w:rFonts w:hint="eastAsia" w:ascii="宋体" w:hAnsi="宋体" w:eastAsia="宋体" w:cs="宋体"/>
          <w:spacing w:val="0"/>
          <w:sz w:val="24"/>
          <w:szCs w:val="24"/>
        </w:rPr>
        <w:t>9.1投标截止时间：详见招标公告或更正公告（若有），若不一致，以更正公告（若有）为准。</w:t>
      </w:r>
    </w:p>
    <w:p>
      <w:pPr>
        <w:pStyle w:val="6"/>
        <w:keepNext w:val="0"/>
        <w:keepLines w:val="0"/>
        <w:widowControl/>
        <w:suppressLineNumbers w:val="0"/>
        <w:spacing w:before="75" w:beforeAutospacing="0" w:after="75" w:afterAutospacing="0"/>
        <w:ind w:left="0" w:right="0" w:firstLine="480"/>
        <w:rPr>
          <w:rFonts w:hint="eastAsia" w:ascii="宋体" w:hAnsi="宋体" w:eastAsia="宋体" w:cs="宋体"/>
          <w:sz w:val="24"/>
          <w:szCs w:val="24"/>
        </w:rPr>
      </w:pPr>
      <w:r>
        <w:rPr>
          <w:rFonts w:hint="eastAsia" w:ascii="宋体" w:hAnsi="宋体" w:eastAsia="宋体" w:cs="宋体"/>
          <w:spacing w:val="0"/>
          <w:sz w:val="24"/>
          <w:szCs w:val="24"/>
        </w:rPr>
        <w:t>9.2投标人应在投标截止时间前按照福建省政府采购网上公开信息系统设定的操作流程将电子投标文件上传至福建省政府采购网上公开信息系统，同时将</w:t>
      </w:r>
      <w:r>
        <w:rPr>
          <w:rStyle w:val="10"/>
          <w:rFonts w:hint="eastAsia" w:ascii="宋体" w:hAnsi="宋体" w:eastAsia="宋体" w:cs="宋体"/>
          <w:spacing w:val="0"/>
          <w:sz w:val="24"/>
          <w:szCs w:val="24"/>
        </w:rPr>
        <w:t>投标人的CA证书</w:t>
      </w:r>
      <w:r>
        <w:rPr>
          <w:rFonts w:hint="eastAsia" w:ascii="宋体" w:hAnsi="宋体" w:eastAsia="宋体" w:cs="宋体"/>
          <w:spacing w:val="0"/>
          <w:sz w:val="24"/>
          <w:szCs w:val="24"/>
        </w:rPr>
        <w:t>连同</w:t>
      </w:r>
      <w:r>
        <w:rPr>
          <w:rStyle w:val="10"/>
          <w:rFonts w:hint="eastAsia" w:ascii="宋体" w:hAnsi="宋体" w:eastAsia="宋体" w:cs="宋体"/>
          <w:spacing w:val="0"/>
          <w:sz w:val="24"/>
          <w:szCs w:val="24"/>
        </w:rPr>
        <w:t>密封的纸质投标文件</w:t>
      </w:r>
      <w:r>
        <w:rPr>
          <w:rFonts w:hint="eastAsia" w:ascii="宋体" w:hAnsi="宋体" w:eastAsia="宋体" w:cs="宋体"/>
          <w:spacing w:val="0"/>
          <w:sz w:val="24"/>
          <w:szCs w:val="24"/>
        </w:rPr>
        <w:t>送达招标文件第一章第10条载明的地点，否则</w:t>
      </w:r>
      <w:r>
        <w:rPr>
          <w:rStyle w:val="10"/>
          <w:rFonts w:hint="eastAsia" w:ascii="宋体" w:hAnsi="宋体" w:eastAsia="宋体" w:cs="宋体"/>
          <w:spacing w:val="0"/>
          <w:sz w:val="24"/>
          <w:szCs w:val="24"/>
        </w:rPr>
        <w:t>投标将被拒绝。</w:t>
      </w:r>
    </w:p>
    <w:p>
      <w:pPr>
        <w:pStyle w:val="6"/>
        <w:keepNext w:val="0"/>
        <w:keepLines w:val="0"/>
        <w:widowControl/>
        <w:suppressLineNumbers w:val="0"/>
        <w:spacing w:before="75" w:beforeAutospacing="0" w:after="75" w:afterAutospacing="0"/>
        <w:ind w:left="0" w:right="0" w:firstLine="480"/>
        <w:rPr>
          <w:rFonts w:hint="eastAsia" w:ascii="宋体" w:hAnsi="宋体" w:eastAsia="宋体" w:cs="宋体"/>
          <w:sz w:val="24"/>
          <w:szCs w:val="24"/>
        </w:rPr>
      </w:pPr>
      <w:r>
        <w:rPr>
          <w:rFonts w:hint="eastAsia" w:ascii="宋体" w:hAnsi="宋体" w:eastAsia="宋体" w:cs="宋体"/>
          <w:spacing w:val="0"/>
          <w:sz w:val="24"/>
          <w:szCs w:val="24"/>
        </w:rPr>
        <w:t>10、开标时间及地点：详见招标公告或更正公告（若有），若不一致，以更正公告（若有）为准。</w:t>
      </w:r>
      <w:r>
        <w:rPr>
          <w:rStyle w:val="10"/>
          <w:rFonts w:hint="eastAsia" w:ascii="宋体" w:hAnsi="宋体" w:eastAsia="宋体" w:cs="宋体"/>
          <w:spacing w:val="0"/>
          <w:sz w:val="24"/>
          <w:szCs w:val="24"/>
        </w:rPr>
        <w:t> </w:t>
      </w:r>
    </w:p>
    <w:p>
      <w:pPr>
        <w:pStyle w:val="6"/>
        <w:keepNext w:val="0"/>
        <w:keepLines w:val="0"/>
        <w:widowControl/>
        <w:suppressLineNumbers w:val="0"/>
        <w:spacing w:before="75" w:beforeAutospacing="0" w:after="75" w:afterAutospacing="0"/>
        <w:ind w:left="0" w:right="0" w:firstLine="480"/>
        <w:rPr>
          <w:rFonts w:hint="eastAsia" w:ascii="宋体" w:hAnsi="宋体" w:eastAsia="宋体" w:cs="宋体"/>
          <w:sz w:val="24"/>
          <w:szCs w:val="24"/>
        </w:rPr>
      </w:pPr>
      <w:r>
        <w:rPr>
          <w:rFonts w:hint="eastAsia" w:ascii="宋体" w:hAnsi="宋体" w:eastAsia="宋体" w:cs="宋体"/>
          <w:spacing w:val="0"/>
          <w:sz w:val="24"/>
          <w:szCs w:val="24"/>
        </w:rPr>
        <w:t>11、公告期限</w:t>
      </w:r>
    </w:p>
    <w:p>
      <w:pPr>
        <w:pStyle w:val="6"/>
        <w:keepNext w:val="0"/>
        <w:keepLines w:val="0"/>
        <w:widowControl/>
        <w:suppressLineNumbers w:val="0"/>
        <w:spacing w:before="75" w:beforeAutospacing="0" w:after="75" w:afterAutospacing="0"/>
        <w:ind w:left="0" w:right="0" w:firstLine="480"/>
        <w:rPr>
          <w:rFonts w:hint="eastAsia" w:ascii="宋体" w:hAnsi="宋体" w:eastAsia="宋体" w:cs="宋体"/>
          <w:sz w:val="24"/>
          <w:szCs w:val="24"/>
        </w:rPr>
      </w:pPr>
      <w:r>
        <w:rPr>
          <w:rFonts w:hint="eastAsia" w:ascii="宋体" w:hAnsi="宋体" w:eastAsia="宋体" w:cs="宋体"/>
          <w:spacing w:val="0"/>
          <w:sz w:val="24"/>
          <w:szCs w:val="24"/>
        </w:rPr>
        <w:t>11.1招标公告的公告期限：自财政部和福建省财政厅指定的政府采购信息发布媒体最先发布公告之日起5个工作日。</w:t>
      </w:r>
    </w:p>
    <w:p>
      <w:pPr>
        <w:pStyle w:val="6"/>
        <w:keepNext w:val="0"/>
        <w:keepLines w:val="0"/>
        <w:widowControl/>
        <w:suppressLineNumbers w:val="0"/>
        <w:spacing w:before="75" w:beforeAutospacing="0" w:after="75" w:afterAutospacing="0"/>
        <w:ind w:left="0" w:right="0" w:firstLine="480"/>
        <w:rPr>
          <w:rFonts w:hint="eastAsia" w:ascii="宋体" w:hAnsi="宋体" w:eastAsia="宋体" w:cs="宋体"/>
          <w:sz w:val="24"/>
          <w:szCs w:val="24"/>
        </w:rPr>
      </w:pPr>
      <w:r>
        <w:rPr>
          <w:rFonts w:hint="eastAsia" w:ascii="宋体" w:hAnsi="宋体" w:eastAsia="宋体" w:cs="宋体"/>
          <w:spacing w:val="0"/>
          <w:sz w:val="24"/>
          <w:szCs w:val="24"/>
        </w:rPr>
        <w:t>11.2招标文件公告期限：招标文件随同招标公告一并发布，其公告期限与本章第11.1条载明的期限保持一致。</w:t>
      </w:r>
    </w:p>
    <w:p>
      <w:pPr>
        <w:pStyle w:val="6"/>
        <w:keepNext w:val="0"/>
        <w:keepLines w:val="0"/>
        <w:widowControl/>
        <w:numPr>
          <w:ilvl w:val="0"/>
          <w:numId w:val="1"/>
        </w:numPr>
        <w:suppressLineNumbers w:val="0"/>
        <w:spacing w:before="75" w:beforeAutospacing="0" w:after="75" w:afterAutospacing="0"/>
        <w:ind w:left="0" w:right="0" w:firstLine="480"/>
        <w:rPr>
          <w:rFonts w:hint="eastAsia" w:ascii="宋体" w:hAnsi="宋体" w:eastAsia="宋体" w:cs="宋体"/>
          <w:color w:val="auto"/>
          <w:spacing w:val="0"/>
          <w:sz w:val="24"/>
          <w:szCs w:val="24"/>
          <w:lang w:val="en-US" w:eastAsia="zh-CN"/>
        </w:rPr>
      </w:pPr>
      <w:r>
        <w:rPr>
          <w:rFonts w:hint="eastAsia" w:ascii="宋体" w:hAnsi="宋体" w:eastAsia="宋体" w:cs="宋体"/>
          <w:color w:val="auto"/>
          <w:spacing w:val="0"/>
          <w:sz w:val="24"/>
          <w:szCs w:val="24"/>
        </w:rPr>
        <w:t>采购人：宁化县城市管理局</w:t>
      </w:r>
    </w:p>
    <w:p>
      <w:pPr>
        <w:pStyle w:val="6"/>
        <w:keepNext w:val="0"/>
        <w:keepLines w:val="0"/>
        <w:widowControl/>
        <w:suppressLineNumbers w:val="0"/>
        <w:spacing w:before="75" w:beforeAutospacing="0" w:after="75" w:afterAutospacing="0"/>
        <w:ind w:left="0" w:right="0" w:firstLine="480"/>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地址：宁化县翠江镇五星路79号</w:t>
      </w:r>
    </w:p>
    <w:p>
      <w:pPr>
        <w:pStyle w:val="6"/>
        <w:keepNext w:val="0"/>
        <w:keepLines w:val="0"/>
        <w:widowControl/>
        <w:suppressLineNumbers w:val="0"/>
        <w:spacing w:before="75" w:beforeAutospacing="0" w:after="75" w:afterAutospacing="0"/>
        <w:ind w:left="0" w:right="0" w:firstLine="480"/>
        <w:rPr>
          <w:rFonts w:hint="eastAsia" w:ascii="宋体" w:hAnsi="宋体" w:eastAsia="宋体" w:cs="宋体"/>
          <w:color w:val="auto"/>
          <w:sz w:val="24"/>
          <w:szCs w:val="24"/>
        </w:rPr>
      </w:pPr>
      <w:r>
        <w:rPr>
          <w:rFonts w:hint="eastAsia" w:ascii="宋体" w:hAnsi="宋体" w:eastAsia="宋体" w:cs="宋体"/>
          <w:color w:val="auto"/>
          <w:spacing w:val="0"/>
          <w:sz w:val="24"/>
          <w:szCs w:val="24"/>
        </w:rPr>
        <w:t>联系方法：18950930386</w:t>
      </w:r>
    </w:p>
    <w:p>
      <w:pPr>
        <w:pStyle w:val="6"/>
        <w:keepNext w:val="0"/>
        <w:keepLines w:val="0"/>
        <w:widowControl/>
        <w:numPr>
          <w:ilvl w:val="0"/>
          <w:numId w:val="1"/>
        </w:numPr>
        <w:suppressLineNumbers w:val="0"/>
        <w:spacing w:before="75" w:beforeAutospacing="0" w:after="75" w:afterAutospacing="0"/>
        <w:ind w:left="0" w:leftChars="0" w:right="0" w:firstLine="480" w:firstLineChars="0"/>
        <w:rPr>
          <w:rFonts w:hint="eastAsia" w:ascii="宋体" w:hAnsi="宋体" w:eastAsia="宋体" w:cs="宋体"/>
          <w:color w:val="auto"/>
          <w:spacing w:val="0"/>
          <w:sz w:val="24"/>
          <w:szCs w:val="24"/>
          <w:lang w:val="en-US" w:eastAsia="zh-CN"/>
        </w:rPr>
      </w:pPr>
      <w:r>
        <w:rPr>
          <w:rFonts w:hint="eastAsia" w:ascii="宋体" w:hAnsi="宋体" w:eastAsia="宋体" w:cs="宋体"/>
          <w:color w:val="auto"/>
          <w:spacing w:val="0"/>
          <w:sz w:val="24"/>
          <w:szCs w:val="24"/>
        </w:rPr>
        <w:t>代理机构：</w:t>
      </w:r>
      <w:r>
        <w:rPr>
          <w:rFonts w:hint="eastAsia" w:ascii="宋体" w:hAnsi="宋体" w:eastAsia="宋体" w:cs="宋体"/>
          <w:color w:val="auto"/>
          <w:spacing w:val="0"/>
          <w:sz w:val="24"/>
          <w:szCs w:val="24"/>
          <w:lang w:val="en-US" w:eastAsia="zh-CN"/>
        </w:rPr>
        <w:t>三明天和工程管理有限公司</w:t>
      </w:r>
    </w:p>
    <w:p>
      <w:pPr>
        <w:pStyle w:val="6"/>
        <w:keepNext w:val="0"/>
        <w:keepLines w:val="0"/>
        <w:widowControl/>
        <w:numPr>
          <w:ilvl w:val="0"/>
          <w:numId w:val="0"/>
        </w:numPr>
        <w:suppressLineNumbers w:val="0"/>
        <w:spacing w:before="75" w:beforeAutospacing="0" w:after="75" w:afterAutospacing="0"/>
        <w:ind w:left="480" w:leftChars="0" w:right="0" w:rightChars="0"/>
        <w:rPr>
          <w:rFonts w:hint="eastAsia" w:ascii="宋体" w:hAnsi="宋体" w:eastAsia="宋体" w:cs="宋体"/>
          <w:color w:val="auto"/>
          <w:sz w:val="24"/>
          <w:szCs w:val="24"/>
          <w:lang w:val="en-US"/>
        </w:rPr>
      </w:pPr>
      <w:r>
        <w:rPr>
          <w:rFonts w:hint="eastAsia" w:ascii="宋体" w:hAnsi="宋体" w:eastAsia="宋体" w:cs="宋体"/>
          <w:color w:val="auto"/>
          <w:spacing w:val="0"/>
          <w:sz w:val="24"/>
          <w:szCs w:val="24"/>
        </w:rPr>
        <w:t>地址：三明市梅列区东新六路乾龙新村汇鑫大厦21层</w:t>
      </w:r>
    </w:p>
    <w:p>
      <w:pPr>
        <w:pStyle w:val="6"/>
        <w:keepNext w:val="0"/>
        <w:keepLines w:val="0"/>
        <w:widowControl/>
        <w:suppressLineNumbers w:val="0"/>
        <w:spacing w:before="75" w:beforeAutospacing="0" w:after="75" w:afterAutospacing="0"/>
        <w:ind w:right="0" w:firstLine="480" w:firstLineChars="200"/>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联系方法：0598-8228858</w:t>
      </w:r>
    </w:p>
    <w:p>
      <w:pPr>
        <w:pStyle w:val="6"/>
        <w:keepNext w:val="0"/>
        <w:keepLines w:val="0"/>
        <w:widowControl/>
        <w:suppressLineNumbers w:val="0"/>
        <w:spacing w:before="75" w:beforeAutospacing="0" w:after="75" w:afterAutospacing="0"/>
        <w:ind w:right="0"/>
        <w:rPr>
          <w:rFonts w:hint="eastAsia" w:ascii="宋体" w:hAnsi="宋体" w:eastAsia="宋体" w:cs="宋体"/>
          <w:sz w:val="24"/>
          <w:szCs w:val="24"/>
        </w:rPr>
      </w:pPr>
      <w:r>
        <w:rPr>
          <w:rFonts w:hint="eastAsia" w:ascii="宋体" w:hAnsi="宋体" w:eastAsia="宋体" w:cs="宋体"/>
          <w:spacing w:val="0"/>
          <w:sz w:val="24"/>
          <w:szCs w:val="24"/>
        </w:rPr>
        <w:t>附1：账户信息</w:t>
      </w:r>
    </w:p>
    <w:tbl>
      <w:tblPr>
        <w:tblStyle w:val="7"/>
        <w:tblW w:w="8576" w:type="dxa"/>
        <w:tblCellSpacing w:w="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85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8516" w:type="dxa"/>
            <w:noWrap w:val="0"/>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Style w:val="10"/>
                <w:rFonts w:hint="eastAsia" w:ascii="宋体" w:hAnsi="宋体" w:eastAsia="宋体" w:cs="宋体"/>
                <w:spacing w:val="0"/>
                <w:sz w:val="24"/>
                <w:szCs w:val="24"/>
              </w:rPr>
              <w:t>投标保证金账户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8516" w:type="dxa"/>
            <w:noWrap w:val="0"/>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ind w:left="0" w:right="0"/>
              <w:jc w:val="both"/>
              <w:rPr>
                <w:rFonts w:hint="eastAsia" w:ascii="宋体" w:hAnsi="宋体" w:eastAsia="宋体" w:cs="宋体"/>
                <w:sz w:val="24"/>
                <w:szCs w:val="24"/>
                <w:lang w:val="en-US" w:eastAsia="zh-CN"/>
              </w:rPr>
            </w:pPr>
            <w:r>
              <w:rPr>
                <w:rFonts w:hint="eastAsia" w:ascii="宋体" w:hAnsi="宋体" w:eastAsia="宋体" w:cs="宋体"/>
                <w:spacing w:val="0"/>
                <w:sz w:val="24"/>
                <w:szCs w:val="24"/>
              </w:rPr>
              <w:t>开户名称：</w:t>
            </w:r>
            <w:r>
              <w:rPr>
                <w:rFonts w:hint="eastAsia" w:ascii="宋体" w:hAnsi="宋体" w:eastAsia="宋体" w:cs="宋体"/>
                <w:spacing w:val="0"/>
                <w:sz w:val="24"/>
                <w:szCs w:val="24"/>
                <w:u w:val="single"/>
                <w:shd w:val="clear" w:color="auto" w:fill="FFFFFF"/>
                <w:lang w:val="en-US" w:eastAsia="zh-CN"/>
              </w:rPr>
              <w:t>三明天和工程管理有限公司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51" w:hRule="atLeast"/>
          <w:tblCellSpacing w:w="15" w:type="dxa"/>
        </w:trPr>
        <w:tc>
          <w:tcPr>
            <w:tcW w:w="8516" w:type="dxa"/>
            <w:noWrap w:val="0"/>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ind w:left="0" w:right="0"/>
              <w:jc w:val="both"/>
              <w:rPr>
                <w:rFonts w:hint="eastAsia" w:ascii="宋体" w:hAnsi="宋体" w:eastAsia="宋体" w:cs="宋体"/>
                <w:sz w:val="24"/>
                <w:szCs w:val="24"/>
              </w:rPr>
            </w:pPr>
            <w:r>
              <w:rPr>
                <w:rFonts w:hint="eastAsia" w:ascii="宋体" w:hAnsi="宋体" w:eastAsia="宋体" w:cs="宋体"/>
                <w:spacing w:val="0"/>
                <w:sz w:val="24"/>
                <w:szCs w:val="24"/>
              </w:rPr>
              <w:t>开户银行：</w:t>
            </w:r>
            <w:r>
              <w:rPr>
                <w:rFonts w:hint="eastAsia" w:ascii="宋体" w:hAnsi="宋体" w:eastAsia="宋体" w:cs="宋体"/>
                <w:spacing w:val="0"/>
                <w:sz w:val="24"/>
                <w:szCs w:val="24"/>
                <w:u w:val="none"/>
              </w:rPr>
              <w:t>供应商在福建省政府采购网上公开信息系统报名后，根据其提示自行选择要缴交的投标保证金托管银行</w:t>
            </w:r>
            <w:r>
              <w:rPr>
                <w:rFonts w:hint="eastAsia" w:ascii="宋体" w:hAnsi="宋体" w:eastAsia="宋体" w:cs="宋体"/>
                <w:spacing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8516" w:type="dxa"/>
            <w:noWrap w:val="0"/>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ind w:left="0" w:right="0"/>
              <w:jc w:val="both"/>
              <w:rPr>
                <w:rFonts w:hint="eastAsia" w:ascii="宋体" w:hAnsi="宋体" w:eastAsia="宋体" w:cs="宋体"/>
                <w:sz w:val="24"/>
                <w:szCs w:val="24"/>
              </w:rPr>
            </w:pPr>
            <w:r>
              <w:rPr>
                <w:rFonts w:hint="eastAsia" w:ascii="宋体" w:hAnsi="宋体" w:eastAsia="宋体" w:cs="宋体"/>
                <w:spacing w:val="0"/>
                <w:sz w:val="24"/>
                <w:szCs w:val="24"/>
              </w:rPr>
              <w:t>银行账号：</w:t>
            </w:r>
            <w:r>
              <w:rPr>
                <w:rFonts w:hint="eastAsia" w:ascii="宋体" w:hAnsi="宋体" w:eastAsia="宋体" w:cs="宋体"/>
                <w:spacing w:val="0"/>
                <w:sz w:val="24"/>
                <w:szCs w:val="24"/>
                <w:u w:val="none"/>
              </w:rPr>
              <w:t>福建省政府采购网上公开信息系统根据供应商选择的投标保证金托管银行，以合同包为单位，自动生成供应商所投合同包的缴交银行账号（即多个合同包将对应生成多个缴交账号）。供应商应按照所投合同包的投标保证金要求，缴交相应的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8516" w:type="dxa"/>
            <w:noWrap w:val="0"/>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ind w:left="0" w:right="0"/>
              <w:jc w:val="both"/>
              <w:rPr>
                <w:rFonts w:hint="eastAsia" w:ascii="宋体" w:hAnsi="宋体" w:eastAsia="宋体" w:cs="宋体"/>
                <w:sz w:val="24"/>
                <w:szCs w:val="24"/>
              </w:rPr>
            </w:pPr>
            <w:r>
              <w:rPr>
                <w:rStyle w:val="10"/>
                <w:rFonts w:hint="eastAsia" w:ascii="宋体" w:hAnsi="宋体" w:eastAsia="宋体" w:cs="宋体"/>
                <w:spacing w:val="0"/>
                <w:sz w:val="24"/>
                <w:szCs w:val="24"/>
              </w:rPr>
              <w:t>特别提示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8516" w:type="dxa"/>
            <w:noWrap w:val="0"/>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ind w:left="0" w:right="0"/>
              <w:jc w:val="both"/>
              <w:rPr>
                <w:rFonts w:hint="eastAsia" w:ascii="宋体" w:hAnsi="宋体" w:eastAsia="宋体" w:cs="宋体"/>
                <w:sz w:val="24"/>
                <w:szCs w:val="24"/>
              </w:rPr>
            </w:pPr>
            <w:r>
              <w:rPr>
                <w:rFonts w:hint="eastAsia" w:ascii="宋体" w:hAnsi="宋体" w:eastAsia="宋体" w:cs="宋体"/>
                <w:spacing w:val="0"/>
                <w:sz w:val="24"/>
                <w:szCs w:val="24"/>
              </w:rPr>
              <w:t>1、投标人应认真核对账户信息，将投标保证金汇入以上账户，并自行承担因汇错投标保证金而产生的一切后果。</w:t>
            </w:r>
          </w:p>
          <w:p>
            <w:pPr>
              <w:pStyle w:val="6"/>
              <w:keepNext w:val="0"/>
              <w:keepLines w:val="0"/>
              <w:widowControl/>
              <w:suppressLineNumbers w:val="0"/>
              <w:spacing w:before="0" w:beforeAutospacing="0" w:after="0" w:afterAutospacing="0"/>
              <w:ind w:left="0" w:right="0"/>
              <w:jc w:val="both"/>
              <w:rPr>
                <w:rFonts w:hint="eastAsia" w:ascii="宋体" w:hAnsi="宋体" w:eastAsia="宋体" w:cs="宋体"/>
                <w:sz w:val="24"/>
                <w:szCs w:val="24"/>
              </w:rPr>
            </w:pPr>
            <w:r>
              <w:rPr>
                <w:rFonts w:hint="eastAsia" w:ascii="宋体" w:hAnsi="宋体" w:eastAsia="宋体" w:cs="宋体"/>
                <w:spacing w:val="0"/>
                <w:sz w:val="24"/>
                <w:szCs w:val="24"/>
              </w:rPr>
              <w:t>2、投标人在转账或电汇的凭证上应按照以下格式注明，以便核对：“（招标编号：***、合同包：***）的投标保证金”。</w:t>
            </w:r>
          </w:p>
        </w:tc>
      </w:tr>
    </w:tbl>
    <w:p>
      <w:pPr>
        <w:pStyle w:val="6"/>
        <w:keepNext w:val="0"/>
        <w:keepLines w:val="0"/>
        <w:widowControl/>
        <w:suppressLineNumbers w:val="0"/>
        <w:spacing w:before="75" w:beforeAutospacing="0" w:after="75" w:afterAutospacing="0"/>
        <w:ind w:left="0" w:right="0" w:firstLine="0"/>
        <w:rPr>
          <w:rFonts w:hint="eastAsia" w:ascii="宋体" w:hAnsi="宋体" w:eastAsia="宋体" w:cs="宋体"/>
          <w:sz w:val="24"/>
          <w:szCs w:val="24"/>
        </w:rPr>
      </w:pPr>
      <w:r>
        <w:rPr>
          <w:rFonts w:hint="eastAsia" w:ascii="宋体" w:hAnsi="宋体" w:eastAsia="宋体" w:cs="宋体"/>
          <w:spacing w:val="0"/>
          <w:sz w:val="24"/>
          <w:szCs w:val="24"/>
        </w:rPr>
        <w:t> </w:t>
      </w:r>
    </w:p>
    <w:p>
      <w:pPr>
        <w:pStyle w:val="6"/>
        <w:keepNext w:val="0"/>
        <w:keepLines w:val="0"/>
        <w:widowControl/>
        <w:suppressLineNumbers w:val="0"/>
        <w:spacing w:before="75" w:beforeAutospacing="0" w:after="75" w:afterAutospacing="0"/>
        <w:ind w:left="0" w:right="0" w:firstLine="0"/>
        <w:rPr>
          <w:rFonts w:hint="eastAsia" w:ascii="宋体" w:hAnsi="宋体" w:eastAsia="宋体" w:cs="宋体"/>
          <w:sz w:val="24"/>
          <w:szCs w:val="24"/>
        </w:rPr>
      </w:pPr>
      <w:r>
        <w:rPr>
          <w:rFonts w:hint="eastAsia" w:ascii="宋体" w:hAnsi="宋体" w:eastAsia="宋体" w:cs="宋体"/>
          <w:spacing w:val="0"/>
          <w:sz w:val="24"/>
          <w:szCs w:val="24"/>
        </w:rPr>
        <w:t>附2：采购标的一览表</w:t>
      </w:r>
    </w:p>
    <w:p>
      <w:pPr>
        <w:pStyle w:val="6"/>
        <w:keepNext w:val="0"/>
        <w:keepLines w:val="0"/>
        <w:widowControl/>
        <w:suppressLineNumbers w:val="0"/>
        <w:spacing w:before="75" w:beforeAutospacing="0" w:after="75" w:afterAutospacing="0"/>
        <w:ind w:left="0" w:right="0" w:firstLine="0"/>
        <w:rPr>
          <w:rFonts w:hint="eastAsia" w:ascii="宋体" w:hAnsi="宋体" w:eastAsia="宋体" w:cs="宋体"/>
          <w:sz w:val="24"/>
          <w:szCs w:val="24"/>
        </w:rPr>
      </w:pPr>
      <w:r>
        <w:rPr>
          <w:rFonts w:hint="eastAsia" w:ascii="宋体" w:hAnsi="宋体" w:eastAsia="宋体" w:cs="宋体"/>
          <w:spacing w:val="0"/>
          <w:sz w:val="24"/>
          <w:szCs w:val="24"/>
        </w:rPr>
        <w:t> </w:t>
      </w:r>
    </w:p>
    <w:p>
      <w:pPr>
        <w:pStyle w:val="6"/>
        <w:keepNext w:val="0"/>
        <w:keepLines w:val="0"/>
        <w:widowControl/>
        <w:suppressLineNumbers w:val="0"/>
        <w:jc w:val="right"/>
        <w:rPr>
          <w:rFonts w:hint="eastAsia" w:ascii="宋体" w:hAnsi="宋体" w:eastAsia="宋体" w:cs="宋体"/>
          <w:sz w:val="24"/>
          <w:szCs w:val="24"/>
        </w:rPr>
      </w:pPr>
      <w:r>
        <w:rPr>
          <w:rFonts w:hint="eastAsia" w:ascii="宋体" w:hAnsi="宋体" w:eastAsia="宋体" w:cs="宋体"/>
          <w:sz w:val="24"/>
          <w:szCs w:val="24"/>
        </w:rPr>
        <w:t xml:space="preserve">金额单位：人民币元 </w:t>
      </w:r>
    </w:p>
    <w:tbl>
      <w:tblPr>
        <w:tblStyle w:val="7"/>
        <w:tblW w:w="85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00"/>
        <w:gridCol w:w="900"/>
        <w:gridCol w:w="1824"/>
        <w:gridCol w:w="900"/>
        <w:gridCol w:w="900"/>
        <w:gridCol w:w="900"/>
        <w:gridCol w:w="1091"/>
        <w:gridCol w:w="11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Header/>
        </w:trPr>
        <w:tc>
          <w:tcPr>
            <w:tcW w:w="900" w:type="dxa"/>
            <w:noWrap w:val="0"/>
            <w:vAlign w:val="center"/>
          </w:tcPr>
          <w:p>
            <w:pPr>
              <w:keepNext w:val="0"/>
              <w:keepLines w:val="0"/>
              <w:widowControl/>
              <w:suppressLineNumbers w:val="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合同包</w:t>
            </w:r>
          </w:p>
        </w:tc>
        <w:tc>
          <w:tcPr>
            <w:tcW w:w="900" w:type="dxa"/>
            <w:noWrap w:val="0"/>
            <w:vAlign w:val="center"/>
          </w:tcPr>
          <w:p>
            <w:pPr>
              <w:keepNext w:val="0"/>
              <w:keepLines w:val="0"/>
              <w:widowControl/>
              <w:suppressLineNumbers w:val="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品目号</w:t>
            </w:r>
          </w:p>
        </w:tc>
        <w:tc>
          <w:tcPr>
            <w:tcW w:w="1824" w:type="dxa"/>
            <w:noWrap w:val="0"/>
            <w:vAlign w:val="center"/>
          </w:tcPr>
          <w:p>
            <w:pPr>
              <w:keepNext w:val="0"/>
              <w:keepLines w:val="0"/>
              <w:widowControl/>
              <w:suppressLineNumbers w:val="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采购标的</w:t>
            </w:r>
          </w:p>
        </w:tc>
        <w:tc>
          <w:tcPr>
            <w:tcW w:w="900" w:type="dxa"/>
            <w:noWrap w:val="0"/>
            <w:vAlign w:val="center"/>
          </w:tcPr>
          <w:p>
            <w:pPr>
              <w:keepNext w:val="0"/>
              <w:keepLines w:val="0"/>
              <w:widowControl/>
              <w:suppressLineNumbers w:val="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允许进口</w:t>
            </w:r>
          </w:p>
        </w:tc>
        <w:tc>
          <w:tcPr>
            <w:tcW w:w="900" w:type="dxa"/>
            <w:noWrap w:val="0"/>
            <w:vAlign w:val="center"/>
          </w:tcPr>
          <w:p>
            <w:pPr>
              <w:keepNext w:val="0"/>
              <w:keepLines w:val="0"/>
              <w:widowControl/>
              <w:suppressLineNumbers w:val="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数量</w:t>
            </w:r>
          </w:p>
        </w:tc>
        <w:tc>
          <w:tcPr>
            <w:tcW w:w="900" w:type="dxa"/>
            <w:noWrap w:val="0"/>
            <w:vAlign w:val="center"/>
          </w:tcPr>
          <w:p>
            <w:pPr>
              <w:keepNext w:val="0"/>
              <w:keepLines w:val="0"/>
              <w:widowControl/>
              <w:suppressLineNumbers w:val="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品目号预算</w:t>
            </w:r>
          </w:p>
        </w:tc>
        <w:tc>
          <w:tcPr>
            <w:tcW w:w="1091" w:type="dxa"/>
            <w:noWrap w:val="0"/>
            <w:vAlign w:val="center"/>
          </w:tcPr>
          <w:p>
            <w:pPr>
              <w:keepNext w:val="0"/>
              <w:keepLines w:val="0"/>
              <w:widowControl/>
              <w:suppressLineNumbers w:val="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合同包预算</w:t>
            </w:r>
          </w:p>
        </w:tc>
        <w:tc>
          <w:tcPr>
            <w:tcW w:w="1128" w:type="dxa"/>
            <w:noWrap w:val="0"/>
            <w:vAlign w:val="center"/>
          </w:tcPr>
          <w:p>
            <w:pPr>
              <w:keepNext w:val="0"/>
              <w:keepLines w:val="0"/>
              <w:widowControl/>
              <w:suppressLineNumbers w:val="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900" w:type="dxa"/>
            <w:noWrap w:val="0"/>
            <w:vAlign w:val="center"/>
          </w:tcPr>
          <w:p>
            <w:pPr>
              <w:keepNext w:val="0"/>
              <w:keepLines w:val="0"/>
              <w:widowControl/>
              <w:suppressLineNumbers w:val="0"/>
              <w:jc w:val="center"/>
              <w:rPr>
                <w:rFonts w:hint="eastAsia" w:ascii="宋体" w:hAnsi="宋体" w:eastAsia="宋体" w:cs="宋体"/>
                <w:sz w:val="24"/>
                <w:szCs w:val="24"/>
                <w:highlight w:val="none"/>
              </w:rPr>
            </w:pPr>
            <w:r>
              <w:rPr>
                <w:rFonts w:hint="eastAsia" w:ascii="宋体" w:hAnsi="宋体" w:eastAsia="宋体" w:cs="宋体"/>
                <w:kern w:val="0"/>
                <w:sz w:val="24"/>
                <w:szCs w:val="24"/>
                <w:highlight w:val="none"/>
                <w:lang w:val="en-US" w:eastAsia="zh-CN" w:bidi="ar"/>
              </w:rPr>
              <w:t>1</w:t>
            </w:r>
          </w:p>
        </w:tc>
        <w:tc>
          <w:tcPr>
            <w:tcW w:w="5424" w:type="dxa"/>
            <w:gridSpan w:val="5"/>
            <w:noWrap w:val="0"/>
            <w:vAlign w:val="center"/>
          </w:tcPr>
          <w:tbl>
            <w:tblPr>
              <w:tblStyle w:val="7"/>
              <w:tblW w:w="5399" w:type="dxa"/>
              <w:jc w:val="center"/>
              <w:tblInd w:w="1" w:type="dxa"/>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tblLayout w:type="fixed"/>
              <w:tblCellMar>
                <w:top w:w="0" w:type="dxa"/>
                <w:left w:w="0" w:type="dxa"/>
                <w:bottom w:w="0" w:type="dxa"/>
                <w:right w:w="0" w:type="dxa"/>
              </w:tblCellMar>
            </w:tblPr>
            <w:tblGrid>
              <w:gridCol w:w="881"/>
              <w:gridCol w:w="1814"/>
              <w:gridCol w:w="914"/>
              <w:gridCol w:w="694"/>
              <w:gridCol w:w="1096"/>
            </w:tblGrid>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881"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rPr>
                      <w:rFonts w:hint="eastAsia" w:ascii="宋体" w:hAnsi="宋体" w:eastAsia="宋体" w:cs="宋体"/>
                      <w:sz w:val="24"/>
                      <w:szCs w:val="24"/>
                      <w:highlight w:val="none"/>
                    </w:rPr>
                  </w:pPr>
                  <w:r>
                    <w:rPr>
                      <w:rFonts w:hint="eastAsia" w:ascii="宋体" w:hAnsi="宋体" w:eastAsia="宋体" w:cs="宋体"/>
                      <w:kern w:val="0"/>
                      <w:sz w:val="24"/>
                      <w:szCs w:val="24"/>
                      <w:highlight w:val="none"/>
                      <w:lang w:val="en-US" w:eastAsia="zh-CN" w:bidi="ar"/>
                    </w:rPr>
                    <w:t>1-1</w:t>
                  </w:r>
                </w:p>
              </w:tc>
              <w:tc>
                <w:tcPr>
                  <w:tcW w:w="1814"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rPr>
                      <w:rFonts w:hint="eastAsia" w:ascii="宋体" w:hAnsi="宋体" w:eastAsia="宋体" w:cs="宋体"/>
                      <w:sz w:val="24"/>
                      <w:szCs w:val="24"/>
                      <w:highlight w:val="none"/>
                    </w:rPr>
                  </w:pPr>
                  <w:r>
                    <w:rPr>
                      <w:rFonts w:hint="eastAsia" w:ascii="宋体" w:hAnsi="宋体" w:eastAsia="宋体" w:cs="宋体"/>
                      <w:kern w:val="0"/>
                      <w:sz w:val="24"/>
                      <w:szCs w:val="24"/>
                      <w:highlight w:val="none"/>
                      <w:lang w:val="en-US" w:eastAsia="zh-CN" w:bidi="ar"/>
                    </w:rPr>
                    <w:t>城区公共卫生服务</w:t>
                  </w:r>
                </w:p>
              </w:tc>
              <w:tc>
                <w:tcPr>
                  <w:tcW w:w="914"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rPr>
                      <w:rFonts w:hint="eastAsia" w:ascii="宋体" w:hAnsi="宋体" w:eastAsia="宋体" w:cs="宋体"/>
                      <w:sz w:val="24"/>
                      <w:szCs w:val="24"/>
                      <w:highlight w:val="none"/>
                    </w:rPr>
                  </w:pPr>
                  <w:r>
                    <w:rPr>
                      <w:rFonts w:hint="eastAsia" w:ascii="宋体" w:hAnsi="宋体" w:eastAsia="宋体" w:cs="宋体"/>
                      <w:kern w:val="0"/>
                      <w:sz w:val="24"/>
                      <w:szCs w:val="24"/>
                      <w:highlight w:val="none"/>
                      <w:lang w:val="en-US" w:eastAsia="zh-CN" w:bidi="ar"/>
                    </w:rPr>
                    <w:t>否</w:t>
                  </w:r>
                </w:p>
              </w:tc>
              <w:tc>
                <w:tcPr>
                  <w:tcW w:w="694"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rPr>
                      <w:rFonts w:hint="eastAsia" w:ascii="宋体" w:hAnsi="宋体" w:eastAsia="宋体" w:cs="宋体"/>
                      <w:sz w:val="24"/>
                      <w:szCs w:val="24"/>
                      <w:highlight w:val="none"/>
                    </w:rPr>
                  </w:pPr>
                  <w:r>
                    <w:rPr>
                      <w:rFonts w:hint="eastAsia" w:ascii="宋体" w:hAnsi="宋体" w:eastAsia="宋体" w:cs="宋体"/>
                      <w:kern w:val="0"/>
                      <w:sz w:val="24"/>
                      <w:szCs w:val="24"/>
                      <w:highlight w:val="none"/>
                      <w:lang w:val="en-US" w:eastAsia="zh-CN" w:bidi="ar"/>
                    </w:rPr>
                    <w:t>9（年）</w:t>
                  </w:r>
                </w:p>
              </w:tc>
              <w:tc>
                <w:tcPr>
                  <w:tcW w:w="1096"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rPr>
                      <w:rFonts w:hint="eastAsia" w:ascii="宋体" w:hAnsi="宋体" w:eastAsia="宋体" w:cs="宋体"/>
                      <w:sz w:val="24"/>
                      <w:szCs w:val="24"/>
                      <w:highlight w:val="none"/>
                      <w:lang w:val="en-US"/>
                    </w:rPr>
                  </w:pPr>
                  <w:r>
                    <w:rPr>
                      <w:rFonts w:hint="eastAsia" w:ascii="宋体" w:hAnsi="宋体" w:eastAsia="宋体" w:cs="宋体"/>
                      <w:kern w:val="0"/>
                      <w:sz w:val="24"/>
                      <w:szCs w:val="24"/>
                      <w:highlight w:val="none"/>
                      <w:lang w:val="en-US" w:eastAsia="zh-CN" w:bidi="ar"/>
                    </w:rPr>
                    <w:t>161367570</w:t>
                  </w:r>
                </w:p>
              </w:tc>
            </w:tr>
          </w:tbl>
          <w:p>
            <w:pPr>
              <w:jc w:val="center"/>
              <w:rPr>
                <w:rFonts w:hint="eastAsia" w:ascii="宋体" w:hAnsi="宋体" w:eastAsia="宋体" w:cs="宋体"/>
                <w:sz w:val="24"/>
                <w:szCs w:val="24"/>
                <w:highlight w:val="none"/>
              </w:rPr>
            </w:pPr>
          </w:p>
        </w:tc>
        <w:tc>
          <w:tcPr>
            <w:tcW w:w="1091" w:type="dxa"/>
            <w:noWrap w:val="0"/>
            <w:vAlign w:val="center"/>
          </w:tcPr>
          <w:p>
            <w:pPr>
              <w:keepNext w:val="0"/>
              <w:keepLines w:val="0"/>
              <w:widowControl/>
              <w:suppressLineNumbers w:val="0"/>
              <w:jc w:val="center"/>
              <w:rPr>
                <w:rFonts w:hint="eastAsia" w:ascii="宋体" w:hAnsi="宋体" w:eastAsia="宋体" w:cs="宋体"/>
                <w:sz w:val="24"/>
                <w:szCs w:val="24"/>
                <w:highlight w:val="none"/>
              </w:rPr>
            </w:pPr>
            <w:r>
              <w:rPr>
                <w:rFonts w:hint="eastAsia" w:ascii="宋体" w:hAnsi="宋体" w:eastAsia="宋体" w:cs="宋体"/>
                <w:kern w:val="0"/>
                <w:sz w:val="24"/>
                <w:szCs w:val="24"/>
                <w:highlight w:val="none"/>
                <w:lang w:val="en-US" w:eastAsia="zh-CN" w:bidi="ar"/>
              </w:rPr>
              <w:t>161367570</w:t>
            </w:r>
          </w:p>
        </w:tc>
        <w:tc>
          <w:tcPr>
            <w:tcW w:w="1128" w:type="dxa"/>
            <w:noWrap w:val="0"/>
            <w:vAlign w:val="center"/>
          </w:tcPr>
          <w:p>
            <w:pPr>
              <w:keepNext w:val="0"/>
              <w:keepLines w:val="0"/>
              <w:widowControl/>
              <w:suppressLineNumbers w:val="0"/>
              <w:jc w:val="center"/>
              <w:rPr>
                <w:rFonts w:hint="eastAsia" w:ascii="宋体" w:hAnsi="宋体" w:eastAsia="宋体" w:cs="宋体"/>
                <w:sz w:val="24"/>
                <w:szCs w:val="24"/>
                <w:highlight w:val="none"/>
                <w:lang w:val="en-US"/>
              </w:rPr>
            </w:pPr>
            <w:r>
              <w:rPr>
                <w:rFonts w:hint="eastAsia" w:ascii="宋体" w:hAnsi="宋体" w:eastAsia="宋体" w:cs="宋体"/>
                <w:kern w:val="0"/>
                <w:sz w:val="24"/>
                <w:szCs w:val="24"/>
                <w:highlight w:val="none"/>
                <w:lang w:val="en-US" w:eastAsia="zh-CN" w:bidi="ar"/>
              </w:rPr>
              <w:t>3227351</w:t>
            </w:r>
          </w:p>
        </w:tc>
      </w:tr>
    </w:tbl>
    <w:p>
      <w:pPr>
        <w:pStyle w:val="6"/>
        <w:keepNext w:val="0"/>
        <w:keepLines w:val="0"/>
        <w:widowControl/>
        <w:suppressLineNumbers w:val="0"/>
        <w:spacing w:before="75" w:beforeAutospacing="0" w:after="75" w:afterAutospacing="0"/>
        <w:ind w:left="0" w:right="0" w:firstLine="0"/>
        <w:jc w:val="center"/>
        <w:rPr>
          <w:rFonts w:hint="eastAsia" w:ascii="宋体" w:hAnsi="宋体" w:eastAsia="宋体" w:cs="宋体"/>
          <w:sz w:val="24"/>
          <w:szCs w:val="24"/>
        </w:rPr>
      </w:pPr>
      <w:r>
        <w:rPr>
          <w:rStyle w:val="10"/>
          <w:rFonts w:hint="eastAsia" w:ascii="宋体" w:hAnsi="宋体" w:eastAsia="宋体" w:cs="宋体"/>
          <w:spacing w:val="0"/>
          <w:sz w:val="24"/>
          <w:szCs w:val="24"/>
        </w:rPr>
        <w:t>第二章   投标人须知前附表（表1、2）</w:t>
      </w:r>
    </w:p>
    <w:p>
      <w:pPr>
        <w:pStyle w:val="6"/>
        <w:keepNext w:val="0"/>
        <w:keepLines w:val="0"/>
        <w:widowControl/>
        <w:suppressLineNumbers w:val="0"/>
        <w:spacing w:before="75" w:beforeAutospacing="0" w:after="75" w:afterAutospacing="0"/>
        <w:ind w:left="0" w:right="0" w:firstLine="0"/>
        <w:rPr>
          <w:rFonts w:hint="eastAsia" w:ascii="宋体" w:hAnsi="宋体" w:eastAsia="宋体" w:cs="宋体"/>
          <w:sz w:val="24"/>
          <w:szCs w:val="24"/>
        </w:rPr>
      </w:pPr>
      <w:r>
        <w:rPr>
          <w:rFonts w:hint="eastAsia" w:ascii="宋体" w:hAnsi="宋体" w:eastAsia="宋体" w:cs="宋体"/>
          <w:spacing w:val="0"/>
          <w:sz w:val="24"/>
          <w:szCs w:val="24"/>
        </w:rPr>
        <w:t> </w:t>
      </w:r>
    </w:p>
    <w:p>
      <w:pPr>
        <w:pStyle w:val="6"/>
        <w:keepNext w:val="0"/>
        <w:keepLines w:val="0"/>
        <w:widowControl/>
        <w:suppressLineNumbers w:val="0"/>
        <w:spacing w:before="75" w:beforeAutospacing="0" w:after="75" w:afterAutospacing="0"/>
        <w:ind w:left="0" w:right="0" w:firstLine="0"/>
        <w:rPr>
          <w:rFonts w:hint="eastAsia" w:ascii="宋体" w:hAnsi="宋体" w:eastAsia="宋体" w:cs="宋体"/>
          <w:sz w:val="24"/>
          <w:szCs w:val="24"/>
        </w:rPr>
      </w:pPr>
      <w:r>
        <w:rPr>
          <w:rFonts w:hint="eastAsia" w:ascii="宋体" w:hAnsi="宋体" w:eastAsia="宋体" w:cs="宋体"/>
          <w:spacing w:val="0"/>
          <w:sz w:val="24"/>
          <w:szCs w:val="24"/>
        </w:rPr>
        <w:t>表1</w:t>
      </w:r>
    </w:p>
    <w:tbl>
      <w:tblPr>
        <w:tblStyle w:val="7"/>
        <w:tblW w:w="8880" w:type="dxa"/>
        <w:tblCellSpacing w:w="15"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661"/>
        <w:gridCol w:w="1515"/>
        <w:gridCol w:w="6689"/>
        <w:gridCol w:w="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8820" w:type="dxa"/>
            <w:gridSpan w:val="4"/>
            <w:noWrap w:val="0"/>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Style w:val="10"/>
                <w:rFonts w:hint="eastAsia" w:ascii="宋体" w:hAnsi="宋体" w:eastAsia="宋体" w:cs="宋体"/>
                <w:spacing w:val="0"/>
                <w:sz w:val="24"/>
                <w:szCs w:val="24"/>
              </w:rPr>
              <w:t>特别提示：本表与招标文件对应章节的内容若不一致，以本表为准。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15" w:type="dxa"/>
          <w:tblCellSpacing w:w="15" w:type="dxa"/>
        </w:trPr>
        <w:tc>
          <w:tcPr>
            <w:tcW w:w="616" w:type="dxa"/>
            <w:noWrap w:val="0"/>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spacing w:val="0"/>
                <w:sz w:val="24"/>
                <w:szCs w:val="24"/>
              </w:rPr>
              <w:t>项号</w:t>
            </w:r>
          </w:p>
        </w:tc>
        <w:tc>
          <w:tcPr>
            <w:tcW w:w="1485" w:type="dxa"/>
            <w:noWrap w:val="0"/>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spacing w:val="0"/>
                <w:sz w:val="24"/>
                <w:szCs w:val="24"/>
              </w:rPr>
              <w:t>招标文件</w:t>
            </w:r>
          </w:p>
          <w:p>
            <w:pPr>
              <w:pStyle w:val="6"/>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spacing w:val="0"/>
                <w:sz w:val="24"/>
                <w:szCs w:val="24"/>
              </w:rPr>
              <w:t>（第三章）</w:t>
            </w:r>
          </w:p>
        </w:tc>
        <w:tc>
          <w:tcPr>
            <w:tcW w:w="6644" w:type="dxa"/>
            <w:noWrap w:val="0"/>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spacing w:val="0"/>
                <w:sz w:val="24"/>
                <w:szCs w:val="24"/>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15" w:type="dxa"/>
          <w:tblCellSpacing w:w="15" w:type="dxa"/>
        </w:trPr>
        <w:tc>
          <w:tcPr>
            <w:tcW w:w="616" w:type="dxa"/>
            <w:noWrap w:val="0"/>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spacing w:val="0"/>
                <w:sz w:val="24"/>
                <w:szCs w:val="24"/>
              </w:rPr>
              <w:t>1</w:t>
            </w:r>
          </w:p>
        </w:tc>
        <w:tc>
          <w:tcPr>
            <w:tcW w:w="1485" w:type="dxa"/>
            <w:noWrap w:val="0"/>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spacing w:val="0"/>
                <w:sz w:val="24"/>
                <w:szCs w:val="24"/>
              </w:rPr>
              <w:t>6.1</w:t>
            </w:r>
          </w:p>
        </w:tc>
        <w:tc>
          <w:tcPr>
            <w:tcW w:w="6644" w:type="dxa"/>
            <w:noWrap w:val="0"/>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ind w:left="0" w:right="0"/>
              <w:rPr>
                <w:rFonts w:hint="eastAsia" w:ascii="宋体" w:hAnsi="宋体" w:eastAsia="宋体" w:cs="宋体"/>
                <w:sz w:val="24"/>
                <w:szCs w:val="24"/>
              </w:rPr>
            </w:pPr>
            <w:r>
              <w:rPr>
                <w:rStyle w:val="10"/>
                <w:rFonts w:hint="eastAsia" w:ascii="宋体" w:hAnsi="宋体" w:eastAsia="宋体" w:cs="宋体"/>
                <w:spacing w:val="0"/>
                <w:sz w:val="24"/>
                <w:szCs w:val="24"/>
              </w:rPr>
              <w:t>是否组织现场考察或召开开标前答疑会：</w:t>
            </w:r>
            <w:r>
              <w:rPr>
                <w:rFonts w:hint="eastAsia" w:ascii="宋体" w:hAnsi="宋体" w:eastAsia="宋体" w:cs="宋体"/>
                <w:color w:val="auto"/>
                <w:spacing w:val="0"/>
                <w:sz w:val="24"/>
                <w:szCs w:val="24"/>
                <w:highlight w:val="none"/>
              </w:rPr>
              <w:t>现场考察：(1)潜在投标人应在递交投标文件前对现场进行现场考察，以便获取有关编制投标文件所涉及现场的资料，对于服务现场、服务条件、服务面积等原因造成费用增加时，各投标人应综合考虑在投标报价内。采购人对投标人现场考察后做出的任何推论、理解和结论均不负责任，踏勘现场所发生的费用及发生的意外均由潜在投标人自行承担。 联系人：</w:t>
            </w:r>
            <w:r>
              <w:rPr>
                <w:rFonts w:hint="eastAsia" w:ascii="宋体" w:hAnsi="宋体" w:eastAsia="宋体" w:cs="宋体"/>
                <w:color w:val="auto"/>
                <w:spacing w:val="0"/>
                <w:sz w:val="24"/>
                <w:szCs w:val="24"/>
                <w:highlight w:val="none"/>
                <w:lang w:val="en-US" w:eastAsia="zh-CN"/>
              </w:rPr>
              <w:t>曹先生</w:t>
            </w:r>
            <w:r>
              <w:rPr>
                <w:rFonts w:hint="eastAsia" w:ascii="宋体" w:hAnsi="宋体" w:eastAsia="宋体" w:cs="宋体"/>
                <w:color w:val="auto"/>
                <w:spacing w:val="0"/>
                <w:sz w:val="24"/>
                <w:szCs w:val="24"/>
                <w:highlight w:val="none"/>
              </w:rPr>
              <w:t xml:space="preserve"> 联系电话：</w:t>
            </w:r>
            <w:r>
              <w:rPr>
                <w:rFonts w:hint="eastAsia" w:ascii="宋体" w:hAnsi="宋体" w:eastAsia="宋体" w:cs="宋体"/>
                <w:color w:val="auto"/>
                <w:spacing w:val="0"/>
                <w:sz w:val="24"/>
                <w:szCs w:val="24"/>
                <w:highlight w:val="none"/>
                <w:lang w:val="en-US" w:eastAsia="zh-CN"/>
              </w:rPr>
              <w:t>18950930386</w:t>
            </w:r>
            <w:r>
              <w:rPr>
                <w:rFonts w:hint="eastAsia" w:ascii="宋体" w:hAnsi="宋体" w:cs="宋体"/>
                <w:color w:val="auto"/>
                <w:spacing w:val="0"/>
                <w:sz w:val="24"/>
                <w:szCs w:val="24"/>
                <w:highlight w:val="none"/>
                <w:lang w:val="en-US" w:eastAsia="zh-CN"/>
              </w:rPr>
              <w:t>；</w:t>
            </w:r>
            <w:r>
              <w:rPr>
                <w:rFonts w:hint="eastAsia" w:ascii="宋体" w:hAnsi="宋体" w:eastAsia="宋体" w:cs="宋体"/>
                <w:color w:val="auto"/>
                <w:spacing w:val="0"/>
                <w:sz w:val="24"/>
                <w:szCs w:val="24"/>
                <w:highlight w:val="none"/>
              </w:rPr>
              <w:t>(2)</w:t>
            </w:r>
            <w:r>
              <w:rPr>
                <w:rFonts w:hint="eastAsia" w:ascii="宋体" w:hAnsi="宋体" w:cs="宋体"/>
                <w:color w:val="auto"/>
                <w:spacing w:val="0"/>
                <w:sz w:val="24"/>
                <w:szCs w:val="24"/>
                <w:highlight w:val="none"/>
                <w:lang w:val="en-US" w:eastAsia="zh-CN"/>
              </w:rPr>
              <w:t>时间：招标公告发布之日起报名截至时间后三日内</w:t>
            </w:r>
            <w:r>
              <w:rPr>
                <w:rFonts w:hint="eastAsia" w:ascii="宋体" w:hAnsi="宋体" w:eastAsia="宋体" w:cs="宋体"/>
                <w:color w:val="auto"/>
                <w:spacing w:val="0"/>
                <w:sz w:val="24"/>
                <w:szCs w:val="24"/>
                <w:highlight w:val="none"/>
              </w:rPr>
              <w:t>，</w:t>
            </w:r>
            <w:r>
              <w:rPr>
                <w:rFonts w:hint="eastAsia" w:ascii="宋体" w:hAnsi="宋体" w:cs="宋体"/>
                <w:color w:val="auto"/>
                <w:spacing w:val="0"/>
                <w:sz w:val="24"/>
                <w:szCs w:val="24"/>
                <w:highlight w:val="none"/>
                <w:lang w:val="en-US" w:eastAsia="zh-CN"/>
              </w:rPr>
              <w:t>请</w:t>
            </w:r>
            <w:r>
              <w:rPr>
                <w:rFonts w:hint="eastAsia" w:ascii="宋体" w:hAnsi="宋体" w:eastAsia="宋体" w:cs="宋体"/>
                <w:color w:val="auto"/>
                <w:spacing w:val="0"/>
                <w:sz w:val="24"/>
                <w:szCs w:val="24"/>
                <w:highlight w:val="none"/>
              </w:rPr>
              <w:t>各潜在投标人须事先和采购人约定勘查时间后</w:t>
            </w:r>
            <w:r>
              <w:rPr>
                <w:rFonts w:hint="eastAsia" w:ascii="宋体" w:hAnsi="宋体" w:cs="宋体"/>
                <w:color w:val="auto"/>
                <w:spacing w:val="0"/>
                <w:sz w:val="24"/>
                <w:szCs w:val="24"/>
                <w:highlight w:val="none"/>
                <w:lang w:eastAsia="zh-CN"/>
              </w:rPr>
              <w:t>按照招标文件规定的作业范围自行</w:t>
            </w:r>
            <w:r>
              <w:rPr>
                <w:rFonts w:hint="eastAsia" w:ascii="宋体" w:hAnsi="宋体" w:eastAsia="宋体" w:cs="宋体"/>
                <w:color w:val="auto"/>
                <w:spacing w:val="0"/>
                <w:sz w:val="24"/>
                <w:szCs w:val="24"/>
                <w:highlight w:val="none"/>
              </w:rPr>
              <w:t>前往实地考察； (3)</w:t>
            </w:r>
            <w:r>
              <w:rPr>
                <w:rFonts w:hint="eastAsia" w:ascii="宋体" w:hAnsi="宋体" w:eastAsia="宋体" w:cs="宋体"/>
                <w:color w:val="auto"/>
                <w:spacing w:val="0"/>
                <w:sz w:val="24"/>
                <w:szCs w:val="24"/>
                <w:highlight w:val="none"/>
                <w:lang w:val="en-US" w:eastAsia="zh-CN"/>
              </w:rPr>
              <w:t>各</w:t>
            </w:r>
            <w:r>
              <w:rPr>
                <w:rFonts w:hint="eastAsia" w:ascii="宋体" w:hAnsi="宋体" w:eastAsia="宋体" w:cs="宋体"/>
                <w:color w:val="auto"/>
                <w:spacing w:val="0"/>
                <w:sz w:val="24"/>
                <w:szCs w:val="24"/>
                <w:highlight w:val="none"/>
              </w:rPr>
              <w:t>潜在投标人进行现场考察时应</w:t>
            </w:r>
            <w:r>
              <w:rPr>
                <w:rFonts w:hint="eastAsia" w:ascii="宋体" w:hAnsi="宋体" w:eastAsia="宋体" w:cs="宋体"/>
                <w:color w:val="auto"/>
                <w:spacing w:val="0"/>
                <w:sz w:val="24"/>
                <w:szCs w:val="24"/>
                <w:highlight w:val="none"/>
                <w:lang w:val="en-US" w:eastAsia="zh-CN"/>
              </w:rPr>
              <w:t>携带单位介绍信原件（须加盖供应商公章）、</w:t>
            </w:r>
            <w:r>
              <w:rPr>
                <w:rFonts w:hint="eastAsia" w:ascii="宋体" w:hAnsi="宋体" w:eastAsia="宋体" w:cs="宋体"/>
                <w:color w:val="auto"/>
                <w:spacing w:val="0"/>
                <w:sz w:val="24"/>
                <w:szCs w:val="24"/>
                <w:highlight w:val="none"/>
              </w:rPr>
              <w:t>营业执照</w:t>
            </w:r>
            <w:r>
              <w:rPr>
                <w:rFonts w:hint="eastAsia" w:ascii="宋体" w:hAnsi="宋体" w:eastAsia="宋体" w:cs="宋体"/>
                <w:color w:val="auto"/>
                <w:spacing w:val="0"/>
                <w:sz w:val="24"/>
                <w:szCs w:val="24"/>
                <w:highlight w:val="none"/>
                <w:lang w:val="en-US" w:eastAsia="zh-CN"/>
              </w:rPr>
              <w:t>、</w:t>
            </w:r>
            <w:r>
              <w:rPr>
                <w:rFonts w:hint="eastAsia" w:ascii="宋体" w:hAnsi="宋体" w:eastAsia="宋体" w:cs="宋体"/>
                <w:color w:val="auto"/>
                <w:spacing w:val="0"/>
                <w:sz w:val="24"/>
                <w:szCs w:val="24"/>
                <w:highlight w:val="none"/>
              </w:rPr>
              <w:t>现场考察确认书（一式叁份）</w:t>
            </w:r>
            <w:r>
              <w:rPr>
                <w:rFonts w:hint="eastAsia" w:ascii="宋体" w:hAnsi="宋体" w:eastAsia="宋体" w:cs="宋体"/>
                <w:color w:val="auto"/>
                <w:spacing w:val="0"/>
                <w:sz w:val="24"/>
                <w:szCs w:val="24"/>
                <w:highlight w:val="none"/>
                <w:lang w:val="en-US" w:eastAsia="zh-CN"/>
              </w:rPr>
              <w:t>以及必要的考察设备并做好现场考察记录；</w:t>
            </w:r>
            <w:r>
              <w:rPr>
                <w:rFonts w:hint="eastAsia" w:ascii="宋体" w:hAnsi="宋体" w:eastAsia="宋体" w:cs="宋体"/>
                <w:color w:val="auto"/>
                <w:spacing w:val="0"/>
                <w:sz w:val="24"/>
                <w:szCs w:val="24"/>
                <w:highlight w:val="none"/>
              </w:rPr>
              <w:t xml:space="preserve"> (4)实地考察完毕，采购人将在已考察过潜在投标人“</w:t>
            </w:r>
            <w:r>
              <w:rPr>
                <w:rFonts w:hint="eastAsia" w:ascii="宋体" w:hAnsi="宋体" w:eastAsia="宋体" w:cs="宋体"/>
                <w:color w:val="auto"/>
                <w:spacing w:val="0"/>
                <w:sz w:val="24"/>
                <w:szCs w:val="24"/>
                <w:highlight w:val="none"/>
                <w:lang w:val="en-US" w:eastAsia="zh-CN"/>
              </w:rPr>
              <w:t>现场</w:t>
            </w:r>
            <w:r>
              <w:rPr>
                <w:rFonts w:hint="eastAsia" w:ascii="宋体" w:hAnsi="宋体" w:eastAsia="宋体" w:cs="宋体"/>
                <w:color w:val="auto"/>
                <w:spacing w:val="0"/>
                <w:sz w:val="24"/>
                <w:szCs w:val="24"/>
                <w:highlight w:val="none"/>
              </w:rPr>
              <w:t>考察确认书”上加盖公章予以确认。采购人确认后的“</w:t>
            </w:r>
            <w:r>
              <w:rPr>
                <w:rFonts w:hint="eastAsia" w:ascii="宋体" w:hAnsi="宋体" w:eastAsia="宋体" w:cs="宋体"/>
                <w:color w:val="auto"/>
                <w:spacing w:val="0"/>
                <w:sz w:val="24"/>
                <w:szCs w:val="24"/>
                <w:highlight w:val="none"/>
                <w:lang w:val="en-US" w:eastAsia="zh-CN"/>
              </w:rPr>
              <w:t>现场</w:t>
            </w:r>
            <w:r>
              <w:rPr>
                <w:rFonts w:hint="eastAsia" w:ascii="宋体" w:hAnsi="宋体" w:eastAsia="宋体" w:cs="宋体"/>
                <w:color w:val="auto"/>
                <w:spacing w:val="0"/>
                <w:sz w:val="24"/>
                <w:szCs w:val="24"/>
                <w:highlight w:val="none"/>
              </w:rPr>
              <w:t>考察确认书”一份原件作为递交投标文依据之一，随同投标文件一同递交(另一份原件另需同时放入技术商务投标文件正本中一起胶装)，未考察过现场或未按上述要求提供“现场考察确认书”原件的，将不接受其投标文件或按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15" w:type="dxa"/>
          <w:tblCellSpacing w:w="15" w:type="dxa"/>
        </w:trPr>
        <w:tc>
          <w:tcPr>
            <w:tcW w:w="616" w:type="dxa"/>
            <w:noWrap w:val="0"/>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spacing w:val="0"/>
                <w:sz w:val="24"/>
                <w:szCs w:val="24"/>
              </w:rPr>
              <w:t>2</w:t>
            </w:r>
          </w:p>
        </w:tc>
        <w:tc>
          <w:tcPr>
            <w:tcW w:w="1485" w:type="dxa"/>
            <w:noWrap w:val="0"/>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spacing w:val="0"/>
                <w:sz w:val="24"/>
                <w:szCs w:val="24"/>
              </w:rPr>
              <w:t>10.4</w:t>
            </w:r>
          </w:p>
        </w:tc>
        <w:tc>
          <w:tcPr>
            <w:tcW w:w="6644" w:type="dxa"/>
            <w:noWrap w:val="0"/>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ind w:left="0" w:right="0"/>
              <w:rPr>
                <w:rFonts w:hint="eastAsia" w:ascii="宋体" w:hAnsi="宋体" w:eastAsia="宋体" w:cs="宋体"/>
                <w:sz w:val="24"/>
                <w:szCs w:val="24"/>
              </w:rPr>
            </w:pPr>
            <w:r>
              <w:rPr>
                <w:rStyle w:val="10"/>
                <w:rFonts w:hint="eastAsia" w:ascii="宋体" w:hAnsi="宋体" w:eastAsia="宋体" w:cs="宋体"/>
                <w:spacing w:val="0"/>
                <w:sz w:val="24"/>
                <w:szCs w:val="24"/>
              </w:rPr>
              <w:t>投标文件的份数：</w:t>
            </w:r>
          </w:p>
          <w:p>
            <w:pPr>
              <w:pStyle w:val="6"/>
              <w:keepNext w:val="0"/>
              <w:keepLines w:val="0"/>
              <w:widowControl/>
              <w:suppressLineNumbers w:val="0"/>
              <w:spacing w:before="0" w:beforeAutospacing="0" w:after="0" w:afterAutospacing="0"/>
              <w:ind w:left="0" w:right="0"/>
              <w:rPr>
                <w:rFonts w:hint="eastAsia" w:ascii="宋体" w:hAnsi="宋体" w:eastAsia="宋体" w:cs="宋体"/>
                <w:sz w:val="24"/>
                <w:szCs w:val="24"/>
              </w:rPr>
            </w:pPr>
            <w:r>
              <w:rPr>
                <w:rFonts w:hint="eastAsia" w:ascii="宋体" w:hAnsi="宋体" w:eastAsia="宋体" w:cs="宋体"/>
                <w:spacing w:val="0"/>
                <w:sz w:val="24"/>
                <w:szCs w:val="24"/>
              </w:rPr>
              <w:t>（1）纸质投标文件：</w:t>
            </w:r>
          </w:p>
          <w:p>
            <w:pPr>
              <w:pStyle w:val="6"/>
              <w:keepNext w:val="0"/>
              <w:keepLines w:val="0"/>
              <w:widowControl/>
              <w:suppressLineNumbers w:val="0"/>
              <w:spacing w:before="0" w:beforeAutospacing="0" w:after="0" w:afterAutospacing="0"/>
              <w:ind w:left="0" w:right="0"/>
              <w:rPr>
                <w:rFonts w:hint="eastAsia" w:ascii="宋体" w:hAnsi="宋体" w:eastAsia="宋体" w:cs="宋体"/>
                <w:sz w:val="24"/>
                <w:szCs w:val="24"/>
              </w:rPr>
            </w:pPr>
            <w:r>
              <w:rPr>
                <w:rFonts w:hint="eastAsia" w:ascii="宋体" w:hAnsi="宋体" w:eastAsia="宋体" w:cs="宋体"/>
                <w:spacing w:val="0"/>
                <w:sz w:val="24"/>
                <w:szCs w:val="24"/>
              </w:rPr>
              <w:t>①资格及资信证明部分的正本</w:t>
            </w:r>
            <w:r>
              <w:rPr>
                <w:rFonts w:hint="eastAsia" w:ascii="宋体" w:hAnsi="宋体" w:eastAsia="宋体" w:cs="宋体"/>
                <w:spacing w:val="0"/>
                <w:sz w:val="24"/>
                <w:szCs w:val="24"/>
                <w:u w:val="single"/>
              </w:rPr>
              <w:t>1</w:t>
            </w:r>
            <w:r>
              <w:rPr>
                <w:rFonts w:hint="eastAsia" w:ascii="宋体" w:hAnsi="宋体" w:eastAsia="宋体" w:cs="宋体"/>
                <w:spacing w:val="0"/>
                <w:sz w:val="24"/>
                <w:szCs w:val="24"/>
              </w:rPr>
              <w:t>份、副本</w:t>
            </w:r>
            <w:r>
              <w:rPr>
                <w:rFonts w:hint="eastAsia" w:ascii="宋体" w:hAnsi="宋体" w:eastAsia="宋体" w:cs="宋体"/>
                <w:spacing w:val="0"/>
                <w:sz w:val="24"/>
                <w:szCs w:val="24"/>
                <w:u w:val="single"/>
              </w:rPr>
              <w:t>3</w:t>
            </w:r>
            <w:r>
              <w:rPr>
                <w:rFonts w:hint="eastAsia" w:ascii="宋体" w:hAnsi="宋体" w:eastAsia="宋体" w:cs="宋体"/>
                <w:spacing w:val="0"/>
                <w:sz w:val="24"/>
                <w:szCs w:val="24"/>
              </w:rPr>
              <w:t>份，报价部分的正本</w:t>
            </w:r>
            <w:r>
              <w:rPr>
                <w:rFonts w:hint="eastAsia" w:ascii="宋体" w:hAnsi="宋体" w:eastAsia="宋体" w:cs="宋体"/>
                <w:spacing w:val="0"/>
                <w:sz w:val="24"/>
                <w:szCs w:val="24"/>
                <w:u w:val="single"/>
              </w:rPr>
              <w:t>1</w:t>
            </w:r>
            <w:r>
              <w:rPr>
                <w:rFonts w:hint="eastAsia" w:ascii="宋体" w:hAnsi="宋体" w:eastAsia="宋体" w:cs="宋体"/>
                <w:spacing w:val="0"/>
                <w:sz w:val="24"/>
                <w:szCs w:val="24"/>
              </w:rPr>
              <w:t>份、副本</w:t>
            </w:r>
            <w:r>
              <w:rPr>
                <w:rFonts w:hint="eastAsia" w:ascii="宋体" w:hAnsi="宋体" w:eastAsia="宋体" w:cs="宋体"/>
                <w:spacing w:val="0"/>
                <w:sz w:val="24"/>
                <w:szCs w:val="24"/>
                <w:u w:val="single"/>
              </w:rPr>
              <w:t>3</w:t>
            </w:r>
            <w:r>
              <w:rPr>
                <w:rFonts w:hint="eastAsia" w:ascii="宋体" w:hAnsi="宋体" w:eastAsia="宋体" w:cs="宋体"/>
                <w:spacing w:val="0"/>
                <w:sz w:val="24"/>
                <w:szCs w:val="24"/>
              </w:rPr>
              <w:t>份，技术商务部分的正本</w:t>
            </w:r>
            <w:r>
              <w:rPr>
                <w:rFonts w:hint="eastAsia" w:ascii="宋体" w:hAnsi="宋体" w:eastAsia="宋体" w:cs="宋体"/>
                <w:spacing w:val="0"/>
                <w:sz w:val="24"/>
                <w:szCs w:val="24"/>
                <w:u w:val="single"/>
              </w:rPr>
              <w:t>1</w:t>
            </w:r>
            <w:r>
              <w:rPr>
                <w:rFonts w:hint="eastAsia" w:ascii="宋体" w:hAnsi="宋体" w:eastAsia="宋体" w:cs="宋体"/>
                <w:spacing w:val="0"/>
                <w:sz w:val="24"/>
                <w:szCs w:val="24"/>
              </w:rPr>
              <w:t>份、副本</w:t>
            </w:r>
            <w:r>
              <w:rPr>
                <w:rFonts w:hint="eastAsia" w:ascii="宋体" w:hAnsi="宋体" w:eastAsia="宋体" w:cs="宋体"/>
                <w:spacing w:val="0"/>
                <w:sz w:val="24"/>
                <w:szCs w:val="24"/>
                <w:u w:val="single"/>
              </w:rPr>
              <w:t>3</w:t>
            </w:r>
            <w:r>
              <w:rPr>
                <w:rFonts w:hint="eastAsia" w:ascii="宋体" w:hAnsi="宋体" w:eastAsia="宋体" w:cs="宋体"/>
                <w:spacing w:val="0"/>
                <w:sz w:val="24"/>
                <w:szCs w:val="24"/>
              </w:rPr>
              <w:t>份。</w:t>
            </w:r>
          </w:p>
          <w:p>
            <w:pPr>
              <w:pStyle w:val="6"/>
              <w:keepNext w:val="0"/>
              <w:keepLines w:val="0"/>
              <w:widowControl/>
              <w:suppressLineNumbers w:val="0"/>
              <w:spacing w:before="0" w:beforeAutospacing="0" w:after="0" w:afterAutospacing="0"/>
              <w:ind w:left="0" w:right="0"/>
              <w:rPr>
                <w:rFonts w:hint="eastAsia" w:ascii="宋体" w:hAnsi="宋体" w:eastAsia="宋体" w:cs="宋体"/>
                <w:sz w:val="24"/>
                <w:szCs w:val="24"/>
              </w:rPr>
            </w:pPr>
            <w:r>
              <w:rPr>
                <w:rFonts w:hint="eastAsia" w:ascii="宋体" w:hAnsi="宋体" w:eastAsia="宋体" w:cs="宋体"/>
                <w:spacing w:val="0"/>
                <w:sz w:val="24"/>
                <w:szCs w:val="24"/>
              </w:rPr>
              <w:t>②可读介质（光盘或U盘）</w:t>
            </w:r>
            <w:r>
              <w:rPr>
                <w:rFonts w:hint="eastAsia" w:ascii="宋体" w:hAnsi="宋体" w:eastAsia="宋体" w:cs="宋体"/>
                <w:spacing w:val="0"/>
                <w:sz w:val="24"/>
                <w:szCs w:val="24"/>
                <w:u w:val="single"/>
              </w:rPr>
              <w:t>1</w:t>
            </w:r>
            <w:r>
              <w:rPr>
                <w:rFonts w:hint="eastAsia" w:ascii="宋体" w:hAnsi="宋体" w:eastAsia="宋体" w:cs="宋体"/>
                <w:spacing w:val="0"/>
                <w:sz w:val="24"/>
                <w:szCs w:val="24"/>
              </w:rPr>
              <w:t>份：投标人应将其上传至福建省政府采购网上公开信息系统的电子投标文件在该可读介质中另存</w:t>
            </w:r>
            <w:r>
              <w:rPr>
                <w:rFonts w:hint="eastAsia" w:ascii="宋体" w:hAnsi="宋体" w:eastAsia="宋体" w:cs="宋体"/>
                <w:spacing w:val="0"/>
                <w:sz w:val="24"/>
                <w:szCs w:val="24"/>
                <w:u w:val="single"/>
              </w:rPr>
              <w:t>1</w:t>
            </w:r>
            <w:r>
              <w:rPr>
                <w:rFonts w:hint="eastAsia" w:ascii="宋体" w:hAnsi="宋体" w:eastAsia="宋体" w:cs="宋体"/>
                <w:spacing w:val="0"/>
                <w:sz w:val="24"/>
                <w:szCs w:val="24"/>
              </w:rPr>
              <w:t>份。</w:t>
            </w:r>
          </w:p>
          <w:p>
            <w:pPr>
              <w:pStyle w:val="6"/>
              <w:keepNext w:val="0"/>
              <w:keepLines w:val="0"/>
              <w:widowControl/>
              <w:suppressLineNumbers w:val="0"/>
              <w:spacing w:before="0" w:beforeAutospacing="0" w:after="0" w:afterAutospacing="0"/>
              <w:ind w:left="0" w:right="0"/>
              <w:rPr>
                <w:rFonts w:hint="eastAsia" w:ascii="宋体" w:hAnsi="宋体" w:eastAsia="宋体" w:cs="宋体"/>
                <w:sz w:val="24"/>
                <w:szCs w:val="24"/>
              </w:rPr>
            </w:pPr>
            <w:r>
              <w:rPr>
                <w:rFonts w:hint="eastAsia" w:ascii="宋体" w:hAnsi="宋体" w:eastAsia="宋体" w:cs="宋体"/>
                <w:spacing w:val="0"/>
                <w:sz w:val="24"/>
                <w:szCs w:val="24"/>
              </w:rPr>
              <w:t>（2）电子投标文件：详见表2《关于电子招标投标活动的专门规定》。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15" w:type="dxa"/>
          <w:tblCellSpacing w:w="15" w:type="dxa"/>
        </w:trPr>
        <w:tc>
          <w:tcPr>
            <w:tcW w:w="616" w:type="dxa"/>
            <w:noWrap w:val="0"/>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spacing w:val="0"/>
                <w:sz w:val="24"/>
                <w:szCs w:val="24"/>
              </w:rPr>
              <w:t>3</w:t>
            </w:r>
          </w:p>
        </w:tc>
        <w:tc>
          <w:tcPr>
            <w:tcW w:w="1485" w:type="dxa"/>
            <w:noWrap w:val="0"/>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ind w:left="0" w:right="0"/>
              <w:rPr>
                <w:rFonts w:hint="eastAsia" w:ascii="宋体" w:hAnsi="宋体" w:eastAsia="宋体" w:cs="宋体"/>
                <w:sz w:val="24"/>
                <w:szCs w:val="24"/>
              </w:rPr>
            </w:pPr>
            <w:r>
              <w:rPr>
                <w:rFonts w:hint="eastAsia" w:ascii="宋体" w:hAnsi="宋体" w:eastAsia="宋体" w:cs="宋体"/>
                <w:spacing w:val="0"/>
                <w:sz w:val="24"/>
                <w:szCs w:val="24"/>
              </w:rPr>
              <w:t>10.5-（2）-③</w:t>
            </w:r>
          </w:p>
        </w:tc>
        <w:tc>
          <w:tcPr>
            <w:tcW w:w="6644" w:type="dxa"/>
            <w:noWrap w:val="0"/>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ind w:left="0" w:right="0"/>
              <w:rPr>
                <w:rFonts w:hint="eastAsia" w:ascii="宋体" w:hAnsi="宋体" w:eastAsia="宋体" w:cs="宋体"/>
                <w:sz w:val="24"/>
                <w:szCs w:val="24"/>
              </w:rPr>
            </w:pPr>
            <w:r>
              <w:rPr>
                <w:rStyle w:val="10"/>
                <w:rFonts w:hint="eastAsia" w:ascii="宋体" w:hAnsi="宋体" w:eastAsia="宋体" w:cs="宋体"/>
                <w:spacing w:val="0"/>
                <w:sz w:val="24"/>
                <w:szCs w:val="24"/>
              </w:rPr>
              <w:t>允许散装或活页装订的内容或材料：</w:t>
            </w:r>
          </w:p>
          <w:p>
            <w:pPr>
              <w:pStyle w:val="6"/>
              <w:keepNext w:val="0"/>
              <w:keepLines w:val="0"/>
              <w:widowControl/>
              <w:suppressLineNumbers w:val="0"/>
              <w:spacing w:before="0" w:beforeAutospacing="0" w:after="0" w:afterAutospacing="0"/>
              <w:ind w:left="0" w:right="0"/>
              <w:rPr>
                <w:rFonts w:hint="eastAsia" w:ascii="宋体" w:hAnsi="宋体" w:eastAsia="宋体" w:cs="宋体"/>
                <w:sz w:val="24"/>
                <w:szCs w:val="24"/>
              </w:rPr>
            </w:pPr>
            <w:r>
              <w:rPr>
                <w:rFonts w:hint="eastAsia" w:ascii="宋体" w:hAnsi="宋体" w:eastAsia="宋体" w:cs="宋体"/>
                <w:spacing w:val="0"/>
                <w:sz w:val="24"/>
                <w:szCs w:val="24"/>
              </w:rPr>
              <w:t>（1）投标文件的补充、修改或撤回；</w:t>
            </w:r>
          </w:p>
          <w:p>
            <w:pPr>
              <w:pStyle w:val="6"/>
              <w:keepNext w:val="0"/>
              <w:keepLines w:val="0"/>
              <w:widowControl/>
              <w:suppressLineNumbers w:val="0"/>
              <w:spacing w:before="0" w:beforeAutospacing="0" w:after="0" w:afterAutospacing="0"/>
              <w:ind w:left="0" w:right="0"/>
              <w:rPr>
                <w:rFonts w:hint="eastAsia" w:ascii="宋体" w:hAnsi="宋体" w:eastAsia="宋体" w:cs="宋体"/>
                <w:sz w:val="24"/>
                <w:szCs w:val="24"/>
              </w:rPr>
            </w:pPr>
            <w:r>
              <w:rPr>
                <w:rFonts w:hint="eastAsia" w:ascii="宋体" w:hAnsi="宋体" w:eastAsia="宋体" w:cs="宋体"/>
                <w:spacing w:val="0"/>
                <w:sz w:val="24"/>
                <w:szCs w:val="24"/>
              </w:rPr>
              <w:t>（2）其他内容或材料：不允许活页装订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15" w:type="dxa"/>
          <w:tblCellSpacing w:w="15" w:type="dxa"/>
        </w:trPr>
        <w:tc>
          <w:tcPr>
            <w:tcW w:w="616" w:type="dxa"/>
            <w:noWrap w:val="0"/>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spacing w:val="0"/>
                <w:sz w:val="24"/>
                <w:szCs w:val="24"/>
              </w:rPr>
              <w:t>4</w:t>
            </w:r>
          </w:p>
        </w:tc>
        <w:tc>
          <w:tcPr>
            <w:tcW w:w="1485" w:type="dxa"/>
            <w:noWrap w:val="0"/>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ind w:left="0" w:right="0"/>
              <w:rPr>
                <w:rFonts w:hint="eastAsia" w:ascii="宋体" w:hAnsi="宋体" w:eastAsia="宋体" w:cs="宋体"/>
                <w:sz w:val="24"/>
                <w:szCs w:val="24"/>
              </w:rPr>
            </w:pPr>
            <w:r>
              <w:rPr>
                <w:rFonts w:hint="eastAsia" w:ascii="宋体" w:hAnsi="宋体" w:eastAsia="宋体" w:cs="宋体"/>
                <w:spacing w:val="0"/>
                <w:sz w:val="24"/>
                <w:szCs w:val="24"/>
              </w:rPr>
              <w:t> 10.7-（1）</w:t>
            </w:r>
          </w:p>
        </w:tc>
        <w:tc>
          <w:tcPr>
            <w:tcW w:w="6644" w:type="dxa"/>
            <w:noWrap w:val="0"/>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ind w:left="0" w:right="0"/>
              <w:rPr>
                <w:rFonts w:hint="eastAsia" w:ascii="宋体" w:hAnsi="宋体" w:eastAsia="宋体" w:cs="宋体"/>
                <w:sz w:val="24"/>
                <w:szCs w:val="24"/>
              </w:rPr>
            </w:pPr>
            <w:r>
              <w:rPr>
                <w:rStyle w:val="10"/>
                <w:rFonts w:hint="eastAsia" w:ascii="宋体" w:hAnsi="宋体" w:eastAsia="宋体" w:cs="宋体"/>
                <w:spacing w:val="0"/>
                <w:sz w:val="24"/>
                <w:szCs w:val="24"/>
              </w:rPr>
              <w:t>是否允许中标人将本项目的非主体、非关键性工作进行分包：</w:t>
            </w:r>
          </w:p>
          <w:p>
            <w:pPr>
              <w:pStyle w:val="6"/>
              <w:keepNext w:val="0"/>
              <w:keepLines w:val="0"/>
              <w:widowControl/>
              <w:suppressLineNumbers w:val="0"/>
              <w:spacing w:before="0" w:beforeAutospacing="0" w:after="0" w:afterAutospacing="0"/>
              <w:ind w:left="0" w:right="0"/>
              <w:rPr>
                <w:rFonts w:hint="eastAsia" w:ascii="宋体" w:hAnsi="宋体" w:eastAsia="宋体" w:cs="宋体"/>
                <w:sz w:val="24"/>
                <w:szCs w:val="24"/>
              </w:rPr>
            </w:pPr>
            <w:r>
              <w:rPr>
                <w:rFonts w:hint="eastAsia" w:ascii="宋体" w:hAnsi="宋体" w:eastAsia="宋体" w:cs="宋体"/>
                <w:spacing w:val="0"/>
                <w:sz w:val="24"/>
                <w:szCs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15" w:type="dxa"/>
          <w:tblCellSpacing w:w="15" w:type="dxa"/>
        </w:trPr>
        <w:tc>
          <w:tcPr>
            <w:tcW w:w="616" w:type="dxa"/>
            <w:noWrap w:val="0"/>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spacing w:val="0"/>
                <w:sz w:val="24"/>
                <w:szCs w:val="24"/>
              </w:rPr>
              <w:t>5</w:t>
            </w:r>
          </w:p>
        </w:tc>
        <w:tc>
          <w:tcPr>
            <w:tcW w:w="1485" w:type="dxa"/>
            <w:noWrap w:val="0"/>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spacing w:val="0"/>
                <w:sz w:val="24"/>
                <w:szCs w:val="24"/>
              </w:rPr>
              <w:t>10.8-（1）</w:t>
            </w:r>
          </w:p>
        </w:tc>
        <w:tc>
          <w:tcPr>
            <w:tcW w:w="6644" w:type="dxa"/>
            <w:noWrap w:val="0"/>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ind w:left="0" w:right="0"/>
              <w:rPr>
                <w:rFonts w:hint="eastAsia" w:ascii="宋体" w:hAnsi="宋体" w:eastAsia="宋体" w:cs="宋体"/>
                <w:sz w:val="24"/>
                <w:szCs w:val="24"/>
              </w:rPr>
            </w:pPr>
            <w:r>
              <w:rPr>
                <w:rStyle w:val="10"/>
                <w:rFonts w:hint="eastAsia" w:ascii="宋体" w:hAnsi="宋体" w:eastAsia="宋体" w:cs="宋体"/>
                <w:spacing w:val="0"/>
                <w:sz w:val="24"/>
                <w:szCs w:val="24"/>
              </w:rPr>
              <w:t>投标有效期</w:t>
            </w:r>
            <w:r>
              <w:rPr>
                <w:rFonts w:hint="eastAsia" w:ascii="宋体" w:hAnsi="宋体" w:eastAsia="宋体" w:cs="宋体"/>
                <w:spacing w:val="0"/>
                <w:sz w:val="24"/>
                <w:szCs w:val="24"/>
              </w:rPr>
              <w:t>：投标截止时间起90个日历日。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15" w:type="dxa"/>
          <w:tblCellSpacing w:w="15" w:type="dxa"/>
        </w:trPr>
        <w:tc>
          <w:tcPr>
            <w:tcW w:w="616" w:type="dxa"/>
            <w:noWrap w:val="0"/>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spacing w:val="0"/>
                <w:sz w:val="24"/>
                <w:szCs w:val="24"/>
              </w:rPr>
              <w:t>6</w:t>
            </w:r>
          </w:p>
        </w:tc>
        <w:tc>
          <w:tcPr>
            <w:tcW w:w="1485" w:type="dxa"/>
            <w:noWrap w:val="0"/>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spacing w:val="0"/>
                <w:sz w:val="24"/>
                <w:szCs w:val="24"/>
              </w:rPr>
              <w:t>10.10-（2）</w:t>
            </w:r>
          </w:p>
        </w:tc>
        <w:tc>
          <w:tcPr>
            <w:tcW w:w="6644" w:type="dxa"/>
            <w:noWrap w:val="0"/>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ind w:left="0" w:right="0"/>
              <w:rPr>
                <w:rFonts w:hint="eastAsia" w:ascii="宋体" w:hAnsi="宋体" w:eastAsia="宋体" w:cs="宋体"/>
                <w:sz w:val="24"/>
                <w:szCs w:val="24"/>
              </w:rPr>
            </w:pPr>
            <w:r>
              <w:rPr>
                <w:rStyle w:val="10"/>
                <w:rFonts w:hint="eastAsia" w:ascii="宋体" w:hAnsi="宋体" w:eastAsia="宋体" w:cs="宋体"/>
                <w:spacing w:val="0"/>
                <w:sz w:val="24"/>
                <w:szCs w:val="24"/>
              </w:rPr>
              <w:t>密封及其标记的具体形式：</w:t>
            </w:r>
          </w:p>
          <w:p>
            <w:pPr>
              <w:pStyle w:val="6"/>
              <w:keepNext w:val="0"/>
              <w:keepLines w:val="0"/>
              <w:widowControl/>
              <w:suppressLineNumbers w:val="0"/>
              <w:spacing w:before="0" w:beforeAutospacing="0" w:after="0" w:afterAutospacing="0"/>
              <w:ind w:left="0" w:right="0"/>
              <w:rPr>
                <w:rFonts w:hint="eastAsia" w:ascii="宋体" w:hAnsi="宋体" w:eastAsia="宋体" w:cs="宋体"/>
                <w:sz w:val="24"/>
                <w:szCs w:val="24"/>
              </w:rPr>
            </w:pPr>
            <w:r>
              <w:rPr>
                <w:rFonts w:hint="eastAsia" w:ascii="宋体" w:hAnsi="宋体" w:eastAsia="宋体" w:cs="宋体"/>
                <w:spacing w:val="0"/>
                <w:sz w:val="24"/>
                <w:szCs w:val="24"/>
              </w:rPr>
              <w:t>（1）全部纸质投标文件（包括正本、副本及可读介质）均应密封，否则</w:t>
            </w:r>
            <w:r>
              <w:rPr>
                <w:rStyle w:val="10"/>
                <w:rFonts w:hint="eastAsia" w:ascii="宋体" w:hAnsi="宋体" w:eastAsia="宋体" w:cs="宋体"/>
                <w:spacing w:val="0"/>
                <w:sz w:val="24"/>
                <w:szCs w:val="24"/>
              </w:rPr>
              <w:t>投标将被拒绝。</w:t>
            </w:r>
          </w:p>
          <w:p>
            <w:pPr>
              <w:pStyle w:val="6"/>
              <w:keepNext w:val="0"/>
              <w:keepLines w:val="0"/>
              <w:widowControl/>
              <w:suppressLineNumbers w:val="0"/>
              <w:spacing w:before="0" w:beforeAutospacing="0" w:after="0" w:afterAutospacing="0"/>
              <w:ind w:left="0" w:right="0"/>
              <w:rPr>
                <w:rFonts w:hint="eastAsia" w:ascii="宋体" w:hAnsi="宋体" w:eastAsia="宋体" w:cs="宋体"/>
                <w:sz w:val="24"/>
                <w:szCs w:val="24"/>
              </w:rPr>
            </w:pPr>
            <w:r>
              <w:rPr>
                <w:rFonts w:hint="eastAsia" w:ascii="宋体" w:hAnsi="宋体" w:eastAsia="宋体" w:cs="宋体"/>
                <w:spacing w:val="0"/>
                <w:sz w:val="24"/>
                <w:szCs w:val="24"/>
              </w:rPr>
              <w:t>（2）密封的外包装应至少标记“项目名称、招标编号、所投合同包、投标人的全称”等内容，否则造成投标文件误投、遗漏或提前拆封的，</w:t>
            </w:r>
            <w:r>
              <w:rPr>
                <w:rFonts w:hint="eastAsia" w:ascii="宋体" w:hAnsi="宋体" w:eastAsia="宋体" w:cs="宋体"/>
                <w:spacing w:val="0"/>
                <w:sz w:val="24"/>
                <w:szCs w:val="24"/>
                <w:u w:val="single"/>
                <w:lang w:val="en-US" w:eastAsia="zh-CN"/>
              </w:rPr>
              <w:t>三明天和工程管理有限公司</w:t>
            </w:r>
            <w:r>
              <w:rPr>
                <w:rFonts w:hint="eastAsia" w:ascii="宋体" w:hAnsi="宋体" w:eastAsia="宋体" w:cs="宋体"/>
                <w:spacing w:val="0"/>
                <w:sz w:val="24"/>
                <w:szCs w:val="24"/>
              </w:rPr>
              <w:t>不承担责任。</w:t>
            </w:r>
          </w:p>
          <w:p>
            <w:pPr>
              <w:pStyle w:val="6"/>
              <w:keepNext w:val="0"/>
              <w:keepLines w:val="0"/>
              <w:widowControl/>
              <w:suppressLineNumbers w:val="0"/>
              <w:spacing w:before="0" w:beforeAutospacing="0" w:after="0" w:afterAutospacing="0"/>
              <w:ind w:left="0" w:right="0"/>
              <w:rPr>
                <w:rFonts w:hint="eastAsia" w:ascii="宋体" w:hAnsi="宋体" w:eastAsia="宋体" w:cs="宋体"/>
                <w:sz w:val="24"/>
                <w:szCs w:val="24"/>
              </w:rPr>
            </w:pPr>
            <w:r>
              <w:rPr>
                <w:rFonts w:hint="eastAsia" w:ascii="宋体" w:hAnsi="宋体" w:eastAsia="宋体" w:cs="宋体"/>
                <w:spacing w:val="0"/>
                <w:sz w:val="24"/>
                <w:szCs w:val="24"/>
              </w:rPr>
              <w:t>（3）其他：正本、副本必须用A4幅面纸张打印装订，应编制封面、目录、页码，必须胶装（为永久性、无破坏不可拆分）装订成册，并加盖投标单位公章和骑缝章，并在封面标明“正本”、“副本”字样。副本可以是正本的完整复印件，正本与副本如有不一致，则以正本为准。投标人应将资格及资信证明部分正本、资格及资信证明部分副本、报价部分正本、报价部分副本、技术商务部分正本、技术商务部分副本（技术商务部分中不得出现与报价有关的内容）分开装袋密封。（本项目采用电子招投标形式，具体详见电子招标投标活动的专门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15" w:type="dxa"/>
          <w:tblCellSpacing w:w="15" w:type="dxa"/>
        </w:trPr>
        <w:tc>
          <w:tcPr>
            <w:tcW w:w="616" w:type="dxa"/>
            <w:noWrap w:val="0"/>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spacing w:val="0"/>
                <w:sz w:val="24"/>
                <w:szCs w:val="24"/>
              </w:rPr>
              <w:t>7</w:t>
            </w:r>
          </w:p>
        </w:tc>
        <w:tc>
          <w:tcPr>
            <w:tcW w:w="1485" w:type="dxa"/>
            <w:noWrap w:val="0"/>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spacing w:val="0"/>
                <w:sz w:val="24"/>
                <w:szCs w:val="24"/>
              </w:rPr>
              <w:t>12.1</w:t>
            </w:r>
          </w:p>
        </w:tc>
        <w:tc>
          <w:tcPr>
            <w:tcW w:w="6644" w:type="dxa"/>
            <w:noWrap w:val="0"/>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ind w:left="0" w:right="0"/>
              <w:rPr>
                <w:rFonts w:hint="eastAsia" w:ascii="宋体" w:hAnsi="宋体" w:eastAsia="宋体" w:cs="宋体"/>
                <w:sz w:val="24"/>
                <w:szCs w:val="24"/>
              </w:rPr>
            </w:pPr>
            <w:r>
              <w:rPr>
                <w:rFonts w:hint="eastAsia" w:ascii="宋体" w:hAnsi="宋体" w:eastAsia="宋体" w:cs="宋体"/>
                <w:spacing w:val="0"/>
                <w:sz w:val="24"/>
                <w:szCs w:val="24"/>
              </w:rPr>
              <w:t>本项目推荐合同包1中标候选人数为</w:t>
            </w:r>
            <w:r>
              <w:rPr>
                <w:rFonts w:hint="eastAsia" w:ascii="宋体" w:hAnsi="宋体" w:cs="宋体"/>
                <w:spacing w:val="0"/>
                <w:sz w:val="24"/>
                <w:szCs w:val="24"/>
                <w:lang w:val="en-US" w:eastAsia="zh-CN"/>
              </w:rPr>
              <w:t>3</w:t>
            </w:r>
            <w:r>
              <w:rPr>
                <w:rFonts w:hint="eastAsia" w:ascii="宋体" w:hAnsi="宋体" w:eastAsia="宋体" w:cs="宋体"/>
                <w:spacing w:val="0"/>
                <w:sz w:val="24"/>
                <w:szCs w:val="24"/>
              </w:rPr>
              <w:t>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15" w:type="dxa"/>
          <w:tblCellSpacing w:w="15" w:type="dxa"/>
        </w:trPr>
        <w:tc>
          <w:tcPr>
            <w:tcW w:w="616" w:type="dxa"/>
            <w:noWrap w:val="0"/>
            <w:tcMar>
              <w:top w:w="75" w:type="dxa"/>
              <w:left w:w="150" w:type="dxa"/>
              <w:bottom w:w="75" w:type="dxa"/>
              <w:right w:w="150" w:type="dxa"/>
            </w:tcMar>
            <w:vAlign w:val="center"/>
          </w:tcPr>
          <w:p>
            <w:pPr>
              <w:pStyle w:val="6"/>
              <w:keepNext w:val="0"/>
              <w:keepLines w:val="0"/>
              <w:widowControl/>
              <w:suppressLineNumbers w:val="0"/>
              <w:spacing w:before="0" w:beforeAutospacing="0" w:after="0" w:afterAutospacing="0"/>
              <w:ind w:left="0" w:right="0" w:firstLine="0"/>
              <w:rPr>
                <w:rFonts w:hint="eastAsia" w:ascii="宋体" w:hAnsi="宋体" w:eastAsia="宋体" w:cs="宋体"/>
                <w:sz w:val="24"/>
                <w:szCs w:val="24"/>
              </w:rPr>
            </w:pPr>
            <w:r>
              <w:rPr>
                <w:rFonts w:hint="eastAsia" w:ascii="宋体" w:hAnsi="宋体" w:eastAsia="宋体" w:cs="宋体"/>
                <w:spacing w:val="0"/>
                <w:sz w:val="24"/>
                <w:szCs w:val="24"/>
              </w:rPr>
              <w:t>  8</w:t>
            </w:r>
          </w:p>
        </w:tc>
        <w:tc>
          <w:tcPr>
            <w:tcW w:w="1485" w:type="dxa"/>
            <w:noWrap w:val="0"/>
            <w:tcMar>
              <w:top w:w="75" w:type="dxa"/>
              <w:left w:w="150" w:type="dxa"/>
              <w:bottom w:w="75" w:type="dxa"/>
              <w:right w:w="150" w:type="dxa"/>
            </w:tcMar>
            <w:vAlign w:val="center"/>
          </w:tcPr>
          <w:p>
            <w:pPr>
              <w:pStyle w:val="6"/>
              <w:keepNext w:val="0"/>
              <w:keepLines w:val="0"/>
              <w:widowControl/>
              <w:suppressLineNumbers w:val="0"/>
              <w:spacing w:before="0" w:beforeAutospacing="0" w:after="0" w:afterAutospacing="0"/>
              <w:ind w:left="0" w:right="0" w:firstLine="0"/>
              <w:rPr>
                <w:rFonts w:hint="eastAsia" w:ascii="宋体" w:hAnsi="宋体" w:eastAsia="宋体" w:cs="宋体"/>
                <w:sz w:val="24"/>
                <w:szCs w:val="24"/>
              </w:rPr>
            </w:pPr>
            <w:r>
              <w:rPr>
                <w:rFonts w:hint="eastAsia" w:ascii="宋体" w:hAnsi="宋体" w:eastAsia="宋体" w:cs="宋体"/>
                <w:spacing w:val="0"/>
                <w:sz w:val="24"/>
                <w:szCs w:val="24"/>
              </w:rPr>
              <w:t>  12.2</w:t>
            </w:r>
          </w:p>
        </w:tc>
        <w:tc>
          <w:tcPr>
            <w:tcW w:w="6644" w:type="dxa"/>
            <w:noWrap w:val="0"/>
            <w:tcMar>
              <w:top w:w="75" w:type="dxa"/>
              <w:left w:w="150" w:type="dxa"/>
              <w:bottom w:w="75" w:type="dxa"/>
              <w:right w:w="150" w:type="dxa"/>
            </w:tcMar>
            <w:vAlign w:val="center"/>
          </w:tcPr>
          <w:p>
            <w:pPr>
              <w:pStyle w:val="6"/>
              <w:keepNext w:val="0"/>
              <w:keepLines w:val="0"/>
              <w:widowControl/>
              <w:suppressLineNumbers w:val="0"/>
              <w:spacing w:before="0" w:beforeAutospacing="0" w:after="0" w:afterAutospacing="0"/>
              <w:ind w:left="0" w:right="0" w:firstLine="0"/>
              <w:rPr>
                <w:rFonts w:hint="eastAsia" w:ascii="宋体" w:hAnsi="宋体" w:eastAsia="宋体" w:cs="宋体"/>
                <w:sz w:val="24"/>
                <w:szCs w:val="24"/>
              </w:rPr>
            </w:pPr>
            <w:r>
              <w:rPr>
                <w:rStyle w:val="10"/>
                <w:rFonts w:hint="eastAsia" w:ascii="宋体" w:hAnsi="宋体" w:eastAsia="宋体" w:cs="宋体"/>
                <w:spacing w:val="0"/>
                <w:sz w:val="24"/>
                <w:szCs w:val="24"/>
              </w:rPr>
              <w:t>本项目中标人的确定（以合同包为单位）：</w:t>
            </w:r>
          </w:p>
          <w:p>
            <w:pPr>
              <w:pStyle w:val="6"/>
              <w:keepNext w:val="0"/>
              <w:keepLines w:val="0"/>
              <w:widowControl/>
              <w:suppressLineNumbers w:val="0"/>
              <w:spacing w:before="0" w:beforeAutospacing="0" w:after="0" w:afterAutospacing="0"/>
              <w:ind w:left="0" w:right="0"/>
              <w:rPr>
                <w:rFonts w:hint="eastAsia" w:ascii="宋体" w:hAnsi="宋体" w:eastAsia="宋体" w:cs="宋体"/>
                <w:sz w:val="24"/>
                <w:szCs w:val="24"/>
              </w:rPr>
            </w:pPr>
            <w:r>
              <w:rPr>
                <w:rFonts w:hint="eastAsia" w:ascii="宋体" w:hAnsi="宋体" w:eastAsia="宋体" w:cs="宋体"/>
                <w:spacing w:val="0"/>
                <w:sz w:val="24"/>
                <w:szCs w:val="24"/>
              </w:rPr>
              <w:t>（1）采购人应在政府采购招投标管理办法规定的时限内确定中标人。</w:t>
            </w:r>
          </w:p>
          <w:p>
            <w:pPr>
              <w:pStyle w:val="6"/>
              <w:keepNext w:val="0"/>
              <w:keepLines w:val="0"/>
              <w:widowControl/>
              <w:suppressLineNumbers w:val="0"/>
              <w:spacing w:before="0" w:beforeAutospacing="0" w:after="0" w:afterAutospacing="0"/>
              <w:ind w:left="0" w:right="0"/>
              <w:rPr>
                <w:rFonts w:hint="eastAsia" w:ascii="宋体" w:hAnsi="宋体" w:eastAsia="宋体" w:cs="宋体"/>
                <w:sz w:val="24"/>
                <w:szCs w:val="24"/>
              </w:rPr>
            </w:pPr>
            <w:r>
              <w:rPr>
                <w:rFonts w:hint="eastAsia" w:ascii="宋体" w:hAnsi="宋体" w:eastAsia="宋体" w:cs="宋体"/>
                <w:spacing w:val="0"/>
                <w:sz w:val="24"/>
                <w:szCs w:val="24"/>
              </w:rPr>
              <w:t>（2）若出现中标候选人并列情形，则按照下列方式确定中标人：</w:t>
            </w:r>
          </w:p>
          <w:p>
            <w:pPr>
              <w:pStyle w:val="6"/>
              <w:keepNext w:val="0"/>
              <w:keepLines w:val="0"/>
              <w:widowControl/>
              <w:suppressLineNumbers w:val="0"/>
              <w:spacing w:before="0" w:beforeAutospacing="0" w:after="0" w:afterAutospacing="0"/>
              <w:ind w:left="0" w:right="0"/>
              <w:rPr>
                <w:rFonts w:hint="eastAsia" w:ascii="宋体" w:hAnsi="宋体" w:eastAsia="宋体" w:cs="宋体"/>
                <w:spacing w:val="0"/>
                <w:sz w:val="24"/>
                <w:szCs w:val="24"/>
              </w:rPr>
            </w:pPr>
            <w:r>
              <w:rPr>
                <w:rFonts w:hint="eastAsia" w:ascii="宋体" w:hAnsi="宋体" w:eastAsia="宋体" w:cs="宋体"/>
                <w:spacing w:val="0"/>
                <w:sz w:val="24"/>
                <w:szCs w:val="24"/>
              </w:rPr>
              <w:t xml:space="preserve">①招标文件规定的方式：a.按照评标总得分由高到低顺序排列。 b.评标总得分相同的，按照投标报价由低到高顺序排列。 c.评标总得分且投标报价相同的，按照技术指标优劣（即F2项的得分高低）顺序排列。 </w:t>
            </w:r>
          </w:p>
          <w:p>
            <w:pPr>
              <w:pStyle w:val="6"/>
              <w:keepNext w:val="0"/>
              <w:keepLines w:val="0"/>
              <w:widowControl/>
              <w:suppressLineNumbers w:val="0"/>
              <w:spacing w:before="0" w:beforeAutospacing="0" w:after="0" w:afterAutospacing="0"/>
              <w:ind w:left="0" w:right="0"/>
              <w:rPr>
                <w:rFonts w:hint="eastAsia" w:ascii="宋体" w:hAnsi="宋体" w:eastAsia="宋体" w:cs="宋体"/>
                <w:sz w:val="24"/>
                <w:szCs w:val="24"/>
              </w:rPr>
            </w:pPr>
            <w:r>
              <w:rPr>
                <w:rFonts w:hint="eastAsia" w:ascii="宋体" w:hAnsi="宋体" w:eastAsia="宋体" w:cs="宋体"/>
                <w:spacing w:val="0"/>
                <w:sz w:val="24"/>
                <w:szCs w:val="24"/>
              </w:rPr>
              <w:t>②若本款第①点规定方式为“无”，则按照下列方式确定：无。。</w:t>
            </w:r>
          </w:p>
          <w:p>
            <w:pPr>
              <w:pStyle w:val="6"/>
              <w:keepNext w:val="0"/>
              <w:keepLines w:val="0"/>
              <w:widowControl/>
              <w:suppressLineNumbers w:val="0"/>
              <w:spacing w:before="0" w:beforeAutospacing="0" w:after="0" w:afterAutospacing="0"/>
              <w:ind w:left="0" w:right="0"/>
              <w:rPr>
                <w:rFonts w:hint="eastAsia" w:ascii="宋体" w:hAnsi="宋体" w:eastAsia="宋体" w:cs="宋体"/>
                <w:sz w:val="24"/>
                <w:szCs w:val="24"/>
              </w:rPr>
            </w:pPr>
            <w:r>
              <w:rPr>
                <w:rFonts w:hint="eastAsia" w:ascii="宋体" w:hAnsi="宋体" w:eastAsia="宋体" w:cs="宋体"/>
                <w:spacing w:val="0"/>
                <w:sz w:val="24"/>
                <w:szCs w:val="24"/>
              </w:rPr>
              <w:t>③若本款第①、②点规定方式均为“无”，则按照下列方式确定：随机抽取。</w:t>
            </w:r>
          </w:p>
          <w:p>
            <w:pPr>
              <w:pStyle w:val="6"/>
              <w:keepNext w:val="0"/>
              <w:keepLines w:val="0"/>
              <w:widowControl/>
              <w:suppressLineNumbers w:val="0"/>
              <w:spacing w:before="0" w:beforeAutospacing="0" w:after="0" w:afterAutospacing="0"/>
              <w:ind w:left="0" w:right="0"/>
              <w:rPr>
                <w:rFonts w:hint="eastAsia" w:ascii="宋体" w:hAnsi="宋体" w:eastAsia="宋体" w:cs="宋体"/>
                <w:sz w:val="24"/>
                <w:szCs w:val="24"/>
              </w:rPr>
            </w:pPr>
            <w:r>
              <w:rPr>
                <w:rFonts w:hint="eastAsia" w:ascii="宋体" w:hAnsi="宋体" w:eastAsia="宋体" w:cs="宋体"/>
                <w:spacing w:val="0"/>
                <w:sz w:val="24"/>
                <w:szCs w:val="24"/>
              </w:rPr>
              <w:t>（3）本项目确定的中标人家数：</w:t>
            </w:r>
          </w:p>
          <w:p>
            <w:pPr>
              <w:pStyle w:val="6"/>
              <w:keepNext w:val="0"/>
              <w:keepLines w:val="0"/>
              <w:widowControl/>
              <w:suppressLineNumbers w:val="0"/>
              <w:spacing w:before="0" w:beforeAutospacing="0" w:after="0" w:afterAutospacing="0"/>
              <w:ind w:left="0" w:right="0"/>
              <w:rPr>
                <w:rFonts w:hint="eastAsia" w:ascii="宋体" w:hAnsi="宋体" w:eastAsia="宋体" w:cs="宋体"/>
                <w:sz w:val="24"/>
                <w:szCs w:val="24"/>
              </w:rPr>
            </w:pPr>
            <w:r>
              <w:rPr>
                <w:rFonts w:hint="eastAsia" w:ascii="宋体" w:hAnsi="宋体" w:eastAsia="宋体" w:cs="宋体"/>
                <w:spacing w:val="0"/>
                <w:sz w:val="24"/>
                <w:szCs w:val="24"/>
              </w:rPr>
              <w:t>①本项目确定合同包1中标人数为1家；</w:t>
            </w:r>
          </w:p>
          <w:p>
            <w:pPr>
              <w:pStyle w:val="6"/>
              <w:keepNext w:val="0"/>
              <w:keepLines w:val="0"/>
              <w:widowControl/>
              <w:suppressLineNumbers w:val="0"/>
              <w:spacing w:before="0" w:beforeAutospacing="0" w:after="0" w:afterAutospacing="0"/>
              <w:ind w:left="0" w:right="0"/>
              <w:rPr>
                <w:rFonts w:hint="eastAsia" w:ascii="宋体" w:hAnsi="宋体" w:eastAsia="宋体" w:cs="宋体"/>
                <w:sz w:val="24"/>
                <w:szCs w:val="24"/>
              </w:rPr>
            </w:pPr>
            <w:r>
              <w:rPr>
                <w:rFonts w:hint="eastAsia" w:ascii="宋体" w:hAnsi="宋体" w:eastAsia="宋体" w:cs="宋体"/>
                <w:spacing w:val="0"/>
                <w:sz w:val="24"/>
                <w:szCs w:val="24"/>
              </w:rPr>
              <w:t>②若出现中标候选人符合法定家数但不足本款第①点规定中标人家数情形，则按照中标候选人的实际家数确定中标人。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15" w:type="dxa"/>
          <w:tblCellSpacing w:w="15" w:type="dxa"/>
        </w:trPr>
        <w:tc>
          <w:tcPr>
            <w:tcW w:w="616" w:type="dxa"/>
            <w:noWrap w:val="0"/>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spacing w:val="0"/>
                <w:sz w:val="24"/>
                <w:szCs w:val="24"/>
              </w:rPr>
              <w:t>9</w:t>
            </w:r>
          </w:p>
        </w:tc>
        <w:tc>
          <w:tcPr>
            <w:tcW w:w="1485" w:type="dxa"/>
            <w:noWrap w:val="0"/>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ind w:left="0" w:right="0"/>
              <w:rPr>
                <w:rFonts w:hint="eastAsia" w:ascii="宋体" w:hAnsi="宋体" w:eastAsia="宋体" w:cs="宋体"/>
                <w:sz w:val="24"/>
                <w:szCs w:val="24"/>
              </w:rPr>
            </w:pPr>
            <w:r>
              <w:rPr>
                <w:rFonts w:hint="eastAsia" w:ascii="宋体" w:hAnsi="宋体" w:eastAsia="宋体" w:cs="宋体"/>
                <w:spacing w:val="0"/>
                <w:sz w:val="24"/>
                <w:szCs w:val="24"/>
              </w:rPr>
              <w:t> 15.1-（2）</w:t>
            </w:r>
          </w:p>
        </w:tc>
        <w:tc>
          <w:tcPr>
            <w:tcW w:w="6644" w:type="dxa"/>
            <w:noWrap w:val="0"/>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ind w:left="0" w:right="0"/>
              <w:rPr>
                <w:rFonts w:hint="eastAsia" w:ascii="宋体" w:hAnsi="宋体" w:eastAsia="宋体" w:cs="宋体"/>
                <w:sz w:val="24"/>
                <w:szCs w:val="24"/>
              </w:rPr>
            </w:pPr>
            <w:r>
              <w:rPr>
                <w:rStyle w:val="10"/>
                <w:rFonts w:hint="eastAsia" w:ascii="宋体" w:hAnsi="宋体" w:eastAsia="宋体" w:cs="宋体"/>
                <w:spacing w:val="0"/>
                <w:sz w:val="24"/>
                <w:szCs w:val="24"/>
              </w:rPr>
              <w:t>质疑函原件应采用下列方式提交：</w:t>
            </w:r>
            <w:r>
              <w:rPr>
                <w:rFonts w:hint="eastAsia" w:ascii="宋体" w:hAnsi="宋体" w:eastAsia="宋体" w:cs="宋体"/>
                <w:spacing w:val="0"/>
                <w:sz w:val="24"/>
                <w:szCs w:val="24"/>
              </w:rPr>
              <w:t>现场方式。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15" w:type="dxa"/>
          <w:tblCellSpacing w:w="15" w:type="dxa"/>
        </w:trPr>
        <w:tc>
          <w:tcPr>
            <w:tcW w:w="616" w:type="dxa"/>
            <w:noWrap w:val="0"/>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spacing w:val="0"/>
                <w:sz w:val="24"/>
                <w:szCs w:val="24"/>
              </w:rPr>
              <w:t>10</w:t>
            </w:r>
          </w:p>
        </w:tc>
        <w:tc>
          <w:tcPr>
            <w:tcW w:w="1485" w:type="dxa"/>
            <w:noWrap w:val="0"/>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ind w:left="0" w:right="0"/>
              <w:rPr>
                <w:rFonts w:hint="eastAsia" w:ascii="宋体" w:hAnsi="宋体" w:eastAsia="宋体" w:cs="宋体"/>
                <w:sz w:val="24"/>
                <w:szCs w:val="24"/>
              </w:rPr>
            </w:pPr>
            <w:r>
              <w:rPr>
                <w:rFonts w:hint="eastAsia" w:ascii="宋体" w:hAnsi="宋体" w:eastAsia="宋体" w:cs="宋体"/>
                <w:spacing w:val="0"/>
                <w:sz w:val="24"/>
                <w:szCs w:val="24"/>
              </w:rPr>
              <w:t> </w:t>
            </w:r>
          </w:p>
          <w:p>
            <w:pPr>
              <w:pStyle w:val="6"/>
              <w:keepNext w:val="0"/>
              <w:keepLines w:val="0"/>
              <w:widowControl/>
              <w:suppressLineNumbers w:val="0"/>
              <w:spacing w:before="0" w:beforeAutospacing="0" w:after="0" w:afterAutospacing="0"/>
              <w:ind w:left="0" w:right="0"/>
              <w:rPr>
                <w:rFonts w:hint="eastAsia" w:ascii="宋体" w:hAnsi="宋体" w:eastAsia="宋体" w:cs="宋体"/>
                <w:sz w:val="24"/>
                <w:szCs w:val="24"/>
              </w:rPr>
            </w:pPr>
            <w:r>
              <w:rPr>
                <w:rFonts w:hint="eastAsia" w:ascii="宋体" w:hAnsi="宋体" w:eastAsia="宋体" w:cs="宋体"/>
                <w:spacing w:val="0"/>
                <w:sz w:val="24"/>
                <w:szCs w:val="24"/>
              </w:rPr>
              <w:t>   15.4</w:t>
            </w:r>
          </w:p>
          <w:p>
            <w:pPr>
              <w:pStyle w:val="6"/>
              <w:keepNext w:val="0"/>
              <w:keepLines w:val="0"/>
              <w:widowControl/>
              <w:suppressLineNumbers w:val="0"/>
              <w:spacing w:before="0" w:beforeAutospacing="0" w:after="0" w:afterAutospacing="0"/>
              <w:ind w:left="0" w:right="0"/>
              <w:rPr>
                <w:rFonts w:hint="eastAsia" w:ascii="宋体" w:hAnsi="宋体" w:eastAsia="宋体" w:cs="宋体"/>
                <w:sz w:val="24"/>
                <w:szCs w:val="24"/>
              </w:rPr>
            </w:pPr>
            <w:r>
              <w:rPr>
                <w:rFonts w:hint="eastAsia" w:ascii="宋体" w:hAnsi="宋体" w:eastAsia="宋体" w:cs="宋体"/>
                <w:spacing w:val="0"/>
                <w:sz w:val="24"/>
                <w:szCs w:val="24"/>
              </w:rPr>
              <w:t> </w:t>
            </w:r>
          </w:p>
          <w:p>
            <w:pPr>
              <w:pStyle w:val="6"/>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spacing w:val="0"/>
                <w:sz w:val="24"/>
                <w:szCs w:val="24"/>
              </w:rPr>
              <w:t> </w:t>
            </w:r>
          </w:p>
        </w:tc>
        <w:tc>
          <w:tcPr>
            <w:tcW w:w="6644" w:type="dxa"/>
            <w:noWrap w:val="0"/>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ind w:left="0" w:right="0"/>
              <w:rPr>
                <w:rFonts w:hint="eastAsia" w:ascii="宋体" w:hAnsi="宋体" w:eastAsia="宋体" w:cs="宋体"/>
                <w:sz w:val="24"/>
                <w:szCs w:val="24"/>
              </w:rPr>
            </w:pPr>
            <w:r>
              <w:rPr>
                <w:rStyle w:val="10"/>
                <w:rFonts w:hint="eastAsia" w:ascii="宋体" w:hAnsi="宋体" w:eastAsia="宋体" w:cs="宋体"/>
                <w:spacing w:val="0"/>
                <w:sz w:val="24"/>
                <w:szCs w:val="24"/>
              </w:rPr>
              <w:t>招标文件的质疑</w:t>
            </w:r>
          </w:p>
          <w:p>
            <w:pPr>
              <w:pStyle w:val="6"/>
              <w:keepNext w:val="0"/>
              <w:keepLines w:val="0"/>
              <w:widowControl/>
              <w:suppressLineNumbers w:val="0"/>
              <w:spacing w:before="0" w:beforeAutospacing="0" w:after="0" w:afterAutospacing="0"/>
              <w:ind w:left="0" w:right="0"/>
              <w:rPr>
                <w:rFonts w:hint="eastAsia" w:ascii="宋体" w:hAnsi="宋体" w:eastAsia="宋体" w:cs="宋体"/>
                <w:sz w:val="24"/>
                <w:szCs w:val="24"/>
              </w:rPr>
            </w:pPr>
            <w:r>
              <w:rPr>
                <w:rFonts w:hint="eastAsia" w:ascii="宋体" w:hAnsi="宋体" w:eastAsia="宋体" w:cs="宋体"/>
                <w:spacing w:val="0"/>
                <w:sz w:val="24"/>
                <w:szCs w:val="24"/>
              </w:rPr>
              <w:t>（1）潜在投标人可在质疑时效期间内对招标文件以书面形式提出质疑。</w:t>
            </w:r>
          </w:p>
          <w:p>
            <w:pPr>
              <w:pStyle w:val="6"/>
              <w:keepNext w:val="0"/>
              <w:keepLines w:val="0"/>
              <w:widowControl/>
              <w:suppressLineNumbers w:val="0"/>
              <w:spacing w:before="0" w:beforeAutospacing="0" w:after="0" w:afterAutospacing="0"/>
              <w:ind w:left="0" w:right="0"/>
              <w:rPr>
                <w:rFonts w:hint="eastAsia" w:ascii="宋体" w:hAnsi="宋体" w:eastAsia="宋体" w:cs="宋体"/>
                <w:sz w:val="24"/>
                <w:szCs w:val="24"/>
              </w:rPr>
            </w:pPr>
            <w:r>
              <w:rPr>
                <w:rFonts w:hint="eastAsia" w:ascii="宋体" w:hAnsi="宋体" w:eastAsia="宋体" w:cs="宋体"/>
                <w:spacing w:val="0"/>
                <w:sz w:val="24"/>
                <w:szCs w:val="24"/>
              </w:rPr>
              <w:t>（2）质疑时效期间：</w:t>
            </w:r>
          </w:p>
          <w:p>
            <w:pPr>
              <w:pStyle w:val="6"/>
              <w:keepNext w:val="0"/>
              <w:keepLines w:val="0"/>
              <w:widowControl/>
              <w:suppressLineNumbers w:val="0"/>
              <w:spacing w:before="0" w:beforeAutospacing="0" w:after="0" w:afterAutospacing="0"/>
              <w:ind w:left="0" w:right="0"/>
              <w:rPr>
                <w:rFonts w:hint="eastAsia" w:ascii="宋体" w:hAnsi="宋体" w:eastAsia="宋体" w:cs="宋体"/>
                <w:sz w:val="24"/>
                <w:szCs w:val="24"/>
              </w:rPr>
            </w:pPr>
            <w:r>
              <w:rPr>
                <w:rFonts w:hint="eastAsia" w:ascii="宋体" w:hAnsi="宋体" w:eastAsia="宋体" w:cs="宋体"/>
                <w:spacing w:val="0"/>
                <w:sz w:val="24"/>
                <w:szCs w:val="24"/>
              </w:rPr>
              <w:t>①在招标文件公告期限内：自招标文件首次下载之日起7个工作日内向</w:t>
            </w:r>
            <w:r>
              <w:rPr>
                <w:rFonts w:hint="eastAsia" w:ascii="宋体" w:hAnsi="宋体" w:eastAsia="宋体" w:cs="宋体"/>
                <w:spacing w:val="0"/>
                <w:sz w:val="24"/>
                <w:szCs w:val="24"/>
                <w:u w:val="single"/>
                <w:lang w:eastAsia="zh-CN"/>
              </w:rPr>
              <w:t>三明天和工程管理有限公司</w:t>
            </w:r>
            <w:r>
              <w:rPr>
                <w:rFonts w:hint="eastAsia" w:ascii="宋体" w:hAnsi="宋体" w:eastAsia="宋体" w:cs="宋体"/>
                <w:spacing w:val="0"/>
                <w:sz w:val="24"/>
                <w:szCs w:val="24"/>
              </w:rPr>
              <w:t>提出，招标文件公告期限、首次下载之日均以福建省政府采购网上公开信息系统记载的为准。</w:t>
            </w:r>
          </w:p>
          <w:p>
            <w:pPr>
              <w:pStyle w:val="6"/>
              <w:keepNext w:val="0"/>
              <w:keepLines w:val="0"/>
              <w:widowControl/>
              <w:suppressLineNumbers w:val="0"/>
              <w:spacing w:before="0" w:beforeAutospacing="0" w:after="0" w:afterAutospacing="0"/>
              <w:ind w:left="0" w:right="0"/>
              <w:rPr>
                <w:rFonts w:hint="eastAsia" w:ascii="宋体" w:hAnsi="宋体" w:eastAsia="宋体" w:cs="宋体"/>
                <w:sz w:val="24"/>
                <w:szCs w:val="24"/>
              </w:rPr>
            </w:pPr>
            <w:r>
              <w:rPr>
                <w:rFonts w:hint="eastAsia" w:ascii="宋体" w:hAnsi="宋体" w:eastAsia="宋体" w:cs="宋体"/>
                <w:spacing w:val="0"/>
                <w:sz w:val="24"/>
                <w:szCs w:val="24"/>
              </w:rPr>
              <w:t>②在招标文件公告期限截止后至招标文件提供期限届满前的期间内：自招标文件公告期限届满之日起7个工作日内向</w:t>
            </w:r>
            <w:r>
              <w:rPr>
                <w:rFonts w:hint="eastAsia" w:ascii="宋体" w:hAnsi="宋体" w:eastAsia="宋体" w:cs="宋体"/>
                <w:spacing w:val="0"/>
                <w:sz w:val="24"/>
                <w:szCs w:val="24"/>
                <w:u w:val="single"/>
                <w:lang w:eastAsia="zh-CN"/>
              </w:rPr>
              <w:t>三明天和工程管理有限公司</w:t>
            </w:r>
            <w:r>
              <w:rPr>
                <w:rFonts w:hint="eastAsia" w:ascii="宋体" w:hAnsi="宋体" w:eastAsia="宋体" w:cs="宋体"/>
                <w:spacing w:val="0"/>
                <w:sz w:val="24"/>
                <w:szCs w:val="24"/>
              </w:rPr>
              <w:t>提出，招标文件公告期限、招标文件提供期限均以福建省政府采购网上公开信息系统记载的为准。</w:t>
            </w:r>
          </w:p>
          <w:p>
            <w:pPr>
              <w:pStyle w:val="6"/>
              <w:keepNext w:val="0"/>
              <w:keepLines w:val="0"/>
              <w:widowControl/>
              <w:suppressLineNumbers w:val="0"/>
              <w:spacing w:before="0" w:beforeAutospacing="0" w:after="0" w:afterAutospacing="0"/>
              <w:ind w:left="0" w:right="0"/>
              <w:rPr>
                <w:rFonts w:hint="eastAsia" w:ascii="宋体" w:hAnsi="宋体" w:eastAsia="宋体" w:cs="宋体"/>
                <w:sz w:val="24"/>
                <w:szCs w:val="24"/>
              </w:rPr>
            </w:pPr>
            <w:r>
              <w:rPr>
                <w:rStyle w:val="10"/>
                <w:rFonts w:hint="eastAsia" w:ascii="宋体" w:hAnsi="宋体" w:eastAsia="宋体" w:cs="宋体"/>
                <w:spacing w:val="0"/>
                <w:sz w:val="24"/>
                <w:szCs w:val="24"/>
              </w:rPr>
              <w:t>※除上述规定外，对招标文件提出的质疑还应符合招标文件第三章第15.1条的有关规定。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15" w:type="dxa"/>
          <w:tblCellSpacing w:w="15" w:type="dxa"/>
        </w:trPr>
        <w:tc>
          <w:tcPr>
            <w:tcW w:w="616" w:type="dxa"/>
            <w:noWrap w:val="0"/>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spacing w:val="0"/>
                <w:sz w:val="24"/>
                <w:szCs w:val="24"/>
              </w:rPr>
              <w:t>11</w:t>
            </w:r>
          </w:p>
        </w:tc>
        <w:tc>
          <w:tcPr>
            <w:tcW w:w="1485" w:type="dxa"/>
            <w:noWrap w:val="0"/>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spacing w:val="0"/>
                <w:sz w:val="24"/>
                <w:szCs w:val="24"/>
              </w:rPr>
              <w:t>16.1</w:t>
            </w:r>
          </w:p>
        </w:tc>
        <w:tc>
          <w:tcPr>
            <w:tcW w:w="6644" w:type="dxa"/>
            <w:noWrap w:val="0"/>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ind w:left="0" w:right="0"/>
              <w:rPr>
                <w:rFonts w:hint="eastAsia" w:ascii="宋体" w:hAnsi="宋体" w:eastAsia="宋体" w:cs="宋体"/>
                <w:sz w:val="24"/>
                <w:szCs w:val="24"/>
              </w:rPr>
            </w:pPr>
            <w:r>
              <w:rPr>
                <w:rStyle w:val="10"/>
                <w:rFonts w:hint="eastAsia" w:ascii="宋体" w:hAnsi="宋体" w:eastAsia="宋体" w:cs="宋体"/>
                <w:spacing w:val="0"/>
                <w:sz w:val="24"/>
                <w:szCs w:val="24"/>
              </w:rPr>
              <w:t>监督管理部门：</w:t>
            </w:r>
            <w:r>
              <w:rPr>
                <w:rFonts w:hint="eastAsia" w:ascii="宋体" w:hAnsi="宋体" w:eastAsia="宋体" w:cs="宋体"/>
                <w:spacing w:val="0"/>
                <w:sz w:val="24"/>
                <w:szCs w:val="24"/>
                <w:lang w:val="en-US" w:eastAsia="zh-CN"/>
              </w:rPr>
              <w:t>宁化县财政局</w:t>
            </w:r>
            <w:r>
              <w:rPr>
                <w:rStyle w:val="10"/>
                <w:rFonts w:hint="eastAsia" w:ascii="宋体" w:hAnsi="宋体" w:eastAsia="宋体" w:cs="宋体"/>
                <w:spacing w:val="0"/>
                <w:sz w:val="24"/>
                <w:szCs w:val="24"/>
              </w:rPr>
              <w:t>（仅限依法进行政府采购的货物或服务类项目）</w:t>
            </w:r>
            <w:r>
              <w:rPr>
                <w:rFonts w:hint="eastAsia" w:ascii="宋体" w:hAnsi="宋体" w:eastAsia="宋体" w:cs="宋体"/>
                <w:spacing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15" w:type="dxa"/>
          <w:tblCellSpacing w:w="15" w:type="dxa"/>
        </w:trPr>
        <w:tc>
          <w:tcPr>
            <w:tcW w:w="616" w:type="dxa"/>
            <w:noWrap w:val="0"/>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spacing w:val="0"/>
                <w:sz w:val="24"/>
                <w:szCs w:val="24"/>
              </w:rPr>
              <w:t>12</w:t>
            </w:r>
          </w:p>
        </w:tc>
        <w:tc>
          <w:tcPr>
            <w:tcW w:w="1485" w:type="dxa"/>
            <w:noWrap w:val="0"/>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spacing w:val="0"/>
                <w:sz w:val="24"/>
                <w:szCs w:val="24"/>
              </w:rPr>
              <w:t>18.1</w:t>
            </w:r>
          </w:p>
        </w:tc>
        <w:tc>
          <w:tcPr>
            <w:tcW w:w="6644" w:type="dxa"/>
            <w:noWrap w:val="0"/>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ind w:left="0" w:right="0"/>
              <w:rPr>
                <w:rFonts w:hint="eastAsia" w:ascii="宋体" w:hAnsi="宋体" w:eastAsia="宋体" w:cs="宋体"/>
                <w:sz w:val="24"/>
                <w:szCs w:val="24"/>
              </w:rPr>
            </w:pPr>
            <w:r>
              <w:rPr>
                <w:rStyle w:val="10"/>
                <w:rFonts w:hint="eastAsia" w:ascii="宋体" w:hAnsi="宋体" w:eastAsia="宋体" w:cs="宋体"/>
                <w:spacing w:val="0"/>
                <w:sz w:val="24"/>
                <w:szCs w:val="24"/>
              </w:rPr>
              <w:t>财政部和福建省财政厅指定的政府采购信息发布媒体（以下简称：“指定媒体”）：</w:t>
            </w:r>
          </w:p>
          <w:p>
            <w:pPr>
              <w:pStyle w:val="6"/>
              <w:keepNext w:val="0"/>
              <w:keepLines w:val="0"/>
              <w:widowControl/>
              <w:suppressLineNumbers w:val="0"/>
              <w:spacing w:before="0" w:beforeAutospacing="0" w:after="0" w:afterAutospacing="0"/>
              <w:ind w:left="0" w:right="0"/>
              <w:rPr>
                <w:rFonts w:hint="eastAsia" w:ascii="宋体" w:hAnsi="宋体" w:eastAsia="宋体" w:cs="宋体"/>
                <w:sz w:val="24"/>
                <w:szCs w:val="24"/>
              </w:rPr>
            </w:pPr>
            <w:r>
              <w:rPr>
                <w:rFonts w:hint="eastAsia" w:ascii="宋体" w:hAnsi="宋体" w:eastAsia="宋体" w:cs="宋体"/>
                <w:spacing w:val="0"/>
                <w:sz w:val="24"/>
                <w:szCs w:val="24"/>
              </w:rPr>
              <w:t>（1）中国政府采购网，网址</w:t>
            </w:r>
            <w:r>
              <w:rPr>
                <w:rFonts w:hint="eastAsia" w:ascii="宋体" w:hAnsi="宋体" w:eastAsia="宋体" w:cs="宋体"/>
                <w:spacing w:val="0"/>
                <w:sz w:val="24"/>
                <w:szCs w:val="24"/>
              </w:rPr>
              <w:fldChar w:fldCharType="begin"/>
            </w:r>
            <w:r>
              <w:rPr>
                <w:rFonts w:hint="eastAsia" w:ascii="宋体" w:hAnsi="宋体" w:eastAsia="宋体" w:cs="宋体"/>
                <w:spacing w:val="0"/>
                <w:sz w:val="24"/>
                <w:szCs w:val="24"/>
              </w:rPr>
              <w:instrText xml:space="preserve"> HYPERLINK "http://www.ccgp.gov.cn/" </w:instrText>
            </w:r>
            <w:r>
              <w:rPr>
                <w:rFonts w:hint="eastAsia" w:ascii="宋体" w:hAnsi="宋体" w:eastAsia="宋体" w:cs="宋体"/>
                <w:spacing w:val="0"/>
                <w:sz w:val="24"/>
                <w:szCs w:val="24"/>
              </w:rPr>
              <w:fldChar w:fldCharType="separate"/>
            </w:r>
            <w:r>
              <w:rPr>
                <w:rStyle w:val="11"/>
                <w:rFonts w:hint="eastAsia" w:ascii="宋体" w:hAnsi="宋体" w:eastAsia="宋体" w:cs="宋体"/>
                <w:spacing w:val="0"/>
                <w:sz w:val="24"/>
                <w:szCs w:val="24"/>
              </w:rPr>
              <w:t>http://www.ccgp.gov.cn</w:t>
            </w:r>
            <w:r>
              <w:rPr>
                <w:rFonts w:hint="eastAsia" w:ascii="宋体" w:hAnsi="宋体" w:eastAsia="宋体" w:cs="宋体"/>
                <w:spacing w:val="0"/>
                <w:sz w:val="24"/>
                <w:szCs w:val="24"/>
              </w:rPr>
              <w:fldChar w:fldCharType="end"/>
            </w:r>
            <w:r>
              <w:rPr>
                <w:rFonts w:hint="eastAsia" w:ascii="宋体" w:hAnsi="宋体" w:eastAsia="宋体" w:cs="宋体"/>
                <w:sz w:val="24"/>
                <w:szCs w:val="24"/>
              </w:rPr>
              <w:t>。</w:t>
            </w:r>
          </w:p>
          <w:p>
            <w:pPr>
              <w:pStyle w:val="6"/>
              <w:keepNext w:val="0"/>
              <w:keepLines w:val="0"/>
              <w:widowControl/>
              <w:suppressLineNumbers w:val="0"/>
              <w:spacing w:before="0" w:beforeAutospacing="0" w:after="0" w:afterAutospacing="0"/>
              <w:ind w:left="0" w:right="0"/>
              <w:rPr>
                <w:rFonts w:hint="eastAsia" w:ascii="宋体" w:hAnsi="宋体" w:eastAsia="宋体" w:cs="宋体"/>
                <w:sz w:val="24"/>
                <w:szCs w:val="24"/>
              </w:rPr>
            </w:pPr>
            <w:r>
              <w:rPr>
                <w:rFonts w:hint="eastAsia" w:ascii="宋体" w:hAnsi="宋体" w:eastAsia="宋体" w:cs="宋体"/>
                <w:spacing w:val="0"/>
                <w:sz w:val="24"/>
                <w:szCs w:val="24"/>
              </w:rPr>
              <w:t>（2）中国政府采购网福建分网（福建省政府采购网），网址</w:t>
            </w:r>
            <w:r>
              <w:rPr>
                <w:rFonts w:hint="eastAsia" w:ascii="宋体" w:hAnsi="宋体" w:eastAsia="宋体" w:cs="宋体"/>
                <w:spacing w:val="0"/>
                <w:sz w:val="24"/>
                <w:szCs w:val="24"/>
              </w:rPr>
              <w:fldChar w:fldCharType="begin"/>
            </w:r>
            <w:r>
              <w:rPr>
                <w:rFonts w:hint="eastAsia" w:ascii="宋体" w:hAnsi="宋体" w:eastAsia="宋体" w:cs="宋体"/>
                <w:spacing w:val="0"/>
                <w:sz w:val="24"/>
                <w:szCs w:val="24"/>
              </w:rPr>
              <w:instrText xml:space="preserve"> HYPERLINK "http://cz.fjzfcg.gov.cn/" </w:instrText>
            </w:r>
            <w:r>
              <w:rPr>
                <w:rFonts w:hint="eastAsia" w:ascii="宋体" w:hAnsi="宋体" w:eastAsia="宋体" w:cs="宋体"/>
                <w:spacing w:val="0"/>
                <w:sz w:val="24"/>
                <w:szCs w:val="24"/>
              </w:rPr>
              <w:fldChar w:fldCharType="separate"/>
            </w:r>
            <w:r>
              <w:rPr>
                <w:rStyle w:val="11"/>
                <w:rFonts w:hint="eastAsia" w:ascii="宋体" w:hAnsi="宋体" w:eastAsia="宋体" w:cs="宋体"/>
                <w:spacing w:val="0"/>
                <w:sz w:val="24"/>
                <w:szCs w:val="24"/>
              </w:rPr>
              <w:t>http://cz.fjzfcg.gov.cn</w:t>
            </w:r>
            <w:r>
              <w:rPr>
                <w:rFonts w:hint="eastAsia" w:ascii="宋体" w:hAnsi="宋体" w:eastAsia="宋体" w:cs="宋体"/>
                <w:spacing w:val="0"/>
                <w:sz w:val="24"/>
                <w:szCs w:val="24"/>
              </w:rPr>
              <w:fldChar w:fldCharType="end"/>
            </w:r>
            <w:r>
              <w:rPr>
                <w:rFonts w:hint="eastAsia" w:ascii="宋体" w:hAnsi="宋体" w:eastAsia="宋体" w:cs="宋体"/>
                <w:sz w:val="24"/>
                <w:szCs w:val="24"/>
              </w:rPr>
              <w:t>。</w:t>
            </w:r>
          </w:p>
          <w:p>
            <w:pPr>
              <w:pStyle w:val="6"/>
              <w:keepNext w:val="0"/>
              <w:keepLines w:val="0"/>
              <w:widowControl/>
              <w:suppressLineNumbers w:val="0"/>
              <w:spacing w:before="0" w:beforeAutospacing="0" w:after="0" w:afterAutospacing="0"/>
              <w:ind w:left="0" w:right="0"/>
              <w:rPr>
                <w:rFonts w:hint="eastAsia" w:ascii="宋体" w:hAnsi="宋体" w:eastAsia="宋体" w:cs="宋体"/>
                <w:sz w:val="24"/>
                <w:szCs w:val="24"/>
              </w:rPr>
            </w:pPr>
            <w:r>
              <w:rPr>
                <w:rStyle w:val="10"/>
                <w:rFonts w:hint="eastAsia" w:ascii="宋体" w:hAnsi="宋体" w:eastAsia="宋体" w:cs="宋体"/>
                <w:spacing w:val="0"/>
                <w:sz w:val="24"/>
                <w:szCs w:val="24"/>
              </w:rPr>
              <w:t>※除招标文件第一章第11.1条规定情形外，若出现上述指定媒体信息不一致情形，应以中国政府采购网福建分网（福建省政府采购网）发布的为准。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15" w:type="dxa"/>
          <w:tblCellSpacing w:w="15" w:type="dxa"/>
        </w:trPr>
        <w:tc>
          <w:tcPr>
            <w:tcW w:w="616" w:type="dxa"/>
            <w:noWrap w:val="0"/>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spacing w:val="0"/>
                <w:sz w:val="24"/>
                <w:szCs w:val="24"/>
              </w:rPr>
              <w:t>13</w:t>
            </w:r>
          </w:p>
        </w:tc>
        <w:tc>
          <w:tcPr>
            <w:tcW w:w="1485" w:type="dxa"/>
            <w:noWrap w:val="0"/>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spacing w:val="0"/>
                <w:sz w:val="24"/>
                <w:szCs w:val="24"/>
              </w:rPr>
              <w:t>19</w:t>
            </w:r>
          </w:p>
        </w:tc>
        <w:tc>
          <w:tcPr>
            <w:tcW w:w="6644" w:type="dxa"/>
            <w:noWrap w:val="0"/>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ind w:left="0" w:right="0"/>
              <w:rPr>
                <w:rFonts w:hint="eastAsia" w:ascii="宋体" w:hAnsi="宋体" w:eastAsia="宋体" w:cs="宋体"/>
                <w:sz w:val="24"/>
                <w:szCs w:val="24"/>
              </w:rPr>
            </w:pPr>
            <w:r>
              <w:rPr>
                <w:rStyle w:val="10"/>
                <w:rFonts w:hint="eastAsia" w:ascii="宋体" w:hAnsi="宋体" w:eastAsia="宋体" w:cs="宋体"/>
                <w:spacing w:val="0"/>
                <w:sz w:val="24"/>
                <w:szCs w:val="24"/>
              </w:rPr>
              <w:t>其他事项：</w:t>
            </w:r>
          </w:p>
          <w:p>
            <w:pPr>
              <w:pStyle w:val="6"/>
              <w:keepNext w:val="0"/>
              <w:keepLines w:val="0"/>
              <w:widowControl/>
              <w:numPr>
                <w:ilvl w:val="0"/>
                <w:numId w:val="0"/>
              </w:numPr>
              <w:suppressLineNumbers w:val="0"/>
              <w:spacing w:before="0" w:beforeAutospacing="0" w:after="0" w:afterAutospacing="0"/>
              <w:ind w:right="0" w:rightChars="0"/>
              <w:rPr>
                <w:rFonts w:hint="eastAsia" w:ascii="宋体" w:hAnsi="宋体" w:eastAsia="宋体" w:cs="宋体"/>
                <w:spacing w:val="0"/>
                <w:sz w:val="24"/>
                <w:szCs w:val="24"/>
                <w:lang w:eastAsia="zh-CN"/>
              </w:rPr>
            </w:pPr>
            <w:r>
              <w:rPr>
                <w:rStyle w:val="10"/>
                <w:rFonts w:hint="eastAsia" w:ascii="宋体" w:hAnsi="宋体" w:eastAsia="宋体" w:cs="宋体"/>
                <w:spacing w:val="0"/>
                <w:sz w:val="24"/>
                <w:szCs w:val="24"/>
              </w:rPr>
              <w:t>本项目的招标代理服务费由</w:t>
            </w:r>
            <w:r>
              <w:rPr>
                <w:rStyle w:val="10"/>
                <w:rFonts w:hint="eastAsia" w:ascii="宋体" w:hAnsi="宋体" w:cs="宋体"/>
                <w:spacing w:val="0"/>
                <w:sz w:val="24"/>
                <w:szCs w:val="24"/>
                <w:lang w:val="en-US" w:eastAsia="zh-CN"/>
              </w:rPr>
              <w:t>中标人</w:t>
            </w:r>
            <w:r>
              <w:rPr>
                <w:rStyle w:val="10"/>
                <w:rFonts w:hint="eastAsia" w:ascii="宋体" w:hAnsi="宋体" w:eastAsia="宋体" w:cs="宋体"/>
                <w:spacing w:val="0"/>
                <w:sz w:val="24"/>
                <w:szCs w:val="24"/>
              </w:rPr>
              <w:t>支付。</w:t>
            </w:r>
            <w:r>
              <w:rPr>
                <w:rStyle w:val="10"/>
                <w:rFonts w:hint="eastAsia" w:ascii="宋体" w:hAnsi="宋体" w:eastAsia="宋体" w:cs="宋体"/>
                <w:spacing w:val="0"/>
                <w:sz w:val="24"/>
                <w:szCs w:val="24"/>
              </w:rPr>
              <w:br w:type="textWrapping"/>
            </w:r>
            <w:r>
              <w:rPr>
                <w:rStyle w:val="10"/>
                <w:rFonts w:hint="eastAsia" w:ascii="宋体" w:hAnsi="宋体" w:eastAsia="宋体" w:cs="宋体"/>
                <w:spacing w:val="0"/>
                <w:sz w:val="24"/>
                <w:szCs w:val="24"/>
              </w:rPr>
              <w:t>(2)其他：</w:t>
            </w:r>
            <w:r>
              <w:rPr>
                <w:rFonts w:hint="eastAsia" w:ascii="宋体" w:hAnsi="宋体" w:eastAsia="宋体" w:cs="宋体"/>
                <w:spacing w:val="0"/>
                <w:sz w:val="24"/>
                <w:szCs w:val="24"/>
              </w:rPr>
              <w:t>本项目的招标代理服务费由中标人支付，</w:t>
            </w:r>
            <w:r>
              <w:rPr>
                <w:rFonts w:hint="eastAsia" w:ascii="宋体" w:hAnsi="宋体" w:eastAsia="宋体" w:cs="宋体"/>
                <w:spacing w:val="0"/>
                <w:sz w:val="24"/>
                <w:szCs w:val="24"/>
                <w:lang w:val="en-US" w:eastAsia="zh-CN"/>
              </w:rPr>
              <w:t>招标代理服务费18.3万元，由中标人在领取中标通知书前，向招标代理机构缴纳招标代理服务费。缴费账号</w:t>
            </w:r>
            <w:r>
              <w:rPr>
                <w:rFonts w:hint="eastAsia" w:ascii="宋体" w:hAnsi="宋体" w:eastAsia="宋体" w:cs="宋体"/>
                <w:sz w:val="24"/>
                <w:szCs w:val="24"/>
              </w:rPr>
              <w:t>信息：开户名：三明天和工程管理有限公司</w:t>
            </w:r>
            <w:r>
              <w:rPr>
                <w:rFonts w:hint="eastAsia" w:ascii="宋体" w:hAnsi="宋体" w:eastAsia="宋体" w:cs="宋体"/>
                <w:sz w:val="24"/>
                <w:szCs w:val="24"/>
                <w:lang w:eastAsia="zh-CN"/>
              </w:rPr>
              <w:t>，</w:t>
            </w:r>
            <w:r>
              <w:rPr>
                <w:rFonts w:hint="eastAsia" w:ascii="宋体" w:hAnsi="宋体" w:eastAsia="宋体" w:cs="宋体"/>
                <w:sz w:val="24"/>
                <w:szCs w:val="24"/>
              </w:rPr>
              <w:t>开户行：中国建设银行三明梅列支行</w:t>
            </w:r>
            <w:r>
              <w:rPr>
                <w:rFonts w:hint="eastAsia" w:ascii="宋体" w:hAnsi="宋体" w:eastAsia="宋体" w:cs="宋体"/>
                <w:sz w:val="24"/>
                <w:szCs w:val="24"/>
                <w:lang w:eastAsia="zh-CN"/>
              </w:rPr>
              <w:t>，</w:t>
            </w:r>
            <w:r>
              <w:rPr>
                <w:rFonts w:hint="eastAsia" w:ascii="宋体" w:hAnsi="宋体" w:eastAsia="宋体" w:cs="宋体"/>
                <w:sz w:val="24"/>
                <w:szCs w:val="24"/>
              </w:rPr>
              <w:t>帐 号：35050164700700000283。</w:t>
            </w:r>
          </w:p>
          <w:p>
            <w:pPr>
              <w:pStyle w:val="6"/>
              <w:keepNext w:val="0"/>
              <w:keepLines w:val="0"/>
              <w:widowControl/>
              <w:numPr>
                <w:ilvl w:val="0"/>
                <w:numId w:val="0"/>
              </w:numPr>
              <w:suppressLineNumbers w:val="0"/>
              <w:spacing w:before="0" w:beforeAutospacing="0" w:after="0" w:afterAutospacing="0"/>
              <w:ind w:right="0" w:rightChars="0"/>
              <w:rPr>
                <w:rFonts w:hint="eastAsia" w:ascii="宋体" w:hAnsi="宋体" w:eastAsia="宋体" w:cs="宋体"/>
                <w:sz w:val="24"/>
                <w:szCs w:val="24"/>
                <w:lang w:val="en-US" w:eastAsia="zh-CN"/>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3</w:t>
            </w:r>
            <w:r>
              <w:rPr>
                <w:rFonts w:hint="eastAsia" w:ascii="宋体" w:hAnsi="宋体" w:eastAsia="宋体" w:cs="宋体"/>
                <w:sz w:val="24"/>
                <w:szCs w:val="24"/>
                <w:lang w:eastAsia="zh-CN"/>
              </w:rPr>
              <w:t>）</w:t>
            </w:r>
            <w:r>
              <w:rPr>
                <w:rFonts w:hint="eastAsia" w:ascii="宋体" w:hAnsi="宋体" w:eastAsia="宋体" w:cs="宋体"/>
                <w:sz w:val="24"/>
                <w:szCs w:val="24"/>
              </w:rPr>
              <w:t>中标人退还保证金</w:t>
            </w:r>
            <w:r>
              <w:rPr>
                <w:rFonts w:hint="eastAsia" w:ascii="宋体" w:hAnsi="宋体" w:eastAsia="宋体" w:cs="宋体"/>
                <w:sz w:val="24"/>
                <w:szCs w:val="24"/>
                <w:lang w:val="en-US" w:eastAsia="zh-CN"/>
              </w:rPr>
              <w:t>须知</w:t>
            </w:r>
            <w:r>
              <w:rPr>
                <w:rFonts w:hint="eastAsia" w:ascii="宋体" w:hAnsi="宋体" w:eastAsia="宋体" w:cs="宋体"/>
                <w:sz w:val="24"/>
                <w:szCs w:val="24"/>
              </w:rPr>
              <w:t>：</w:t>
            </w:r>
            <w:r>
              <w:rPr>
                <w:rFonts w:hint="eastAsia" w:ascii="宋体" w:hAnsi="宋体" w:eastAsia="宋体" w:cs="宋体"/>
                <w:spacing w:val="0"/>
                <w:sz w:val="24"/>
                <w:szCs w:val="24"/>
              </w:rPr>
              <w:t xml:space="preserve"> </w:t>
            </w:r>
            <w:r>
              <w:rPr>
                <w:rFonts w:hint="eastAsia" w:ascii="宋体" w:hAnsi="宋体" w:eastAsia="宋体" w:cs="宋体"/>
                <w:spacing w:val="0"/>
                <w:sz w:val="24"/>
                <w:szCs w:val="24"/>
                <w:lang w:val="en-US" w:eastAsia="zh-CN"/>
              </w:rPr>
              <w:t>中标人在中标通知书的规定时间内发起合同发送采购人确认，双方盖上政府采购专用章进行合同公开。采购合同在政府采购网站公开并彩打一份送至三明天和工程管理有限公司留存备案，中标人方可办理投标保证金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15" w:type="dxa"/>
          <w:tblCellSpacing w:w="15" w:type="dxa"/>
        </w:trPr>
        <w:tc>
          <w:tcPr>
            <w:tcW w:w="2131" w:type="dxa"/>
            <w:gridSpan w:val="2"/>
            <w:noWrap w:val="0"/>
            <w:tcMar>
              <w:top w:w="75" w:type="dxa"/>
              <w:left w:w="150" w:type="dxa"/>
              <w:bottom w:w="75" w:type="dxa"/>
              <w:right w:w="150" w:type="dxa"/>
            </w:tcMar>
            <w:vAlign w:val="center"/>
          </w:tcPr>
          <w:p>
            <w:pPr>
              <w:pStyle w:val="6"/>
              <w:keepNext w:val="0"/>
              <w:keepLines w:val="0"/>
              <w:widowControl/>
              <w:suppressLineNumbers w:val="0"/>
              <w:spacing w:before="0" w:beforeAutospacing="0" w:after="0" w:afterAutospacing="0"/>
              <w:ind w:left="0" w:right="0" w:firstLine="0"/>
              <w:rPr>
                <w:rFonts w:hint="eastAsia" w:ascii="宋体" w:hAnsi="宋体" w:eastAsia="宋体" w:cs="宋体"/>
                <w:sz w:val="24"/>
                <w:szCs w:val="24"/>
              </w:rPr>
            </w:pPr>
            <w:r>
              <w:rPr>
                <w:rFonts w:hint="eastAsia" w:ascii="宋体" w:hAnsi="宋体" w:eastAsia="宋体" w:cs="宋体"/>
                <w:spacing w:val="0"/>
                <w:sz w:val="24"/>
                <w:szCs w:val="24"/>
              </w:rPr>
              <w:t>     备注</w:t>
            </w:r>
          </w:p>
        </w:tc>
        <w:tc>
          <w:tcPr>
            <w:tcW w:w="6644" w:type="dxa"/>
            <w:noWrap w:val="0"/>
            <w:tcMar>
              <w:top w:w="75" w:type="dxa"/>
              <w:left w:w="150" w:type="dxa"/>
              <w:bottom w:w="75" w:type="dxa"/>
              <w:right w:w="150" w:type="dxa"/>
            </w:tcMar>
            <w:vAlign w:val="center"/>
          </w:tcPr>
          <w:p>
            <w:pPr>
              <w:pStyle w:val="6"/>
              <w:keepNext w:val="0"/>
              <w:keepLines w:val="0"/>
              <w:widowControl/>
              <w:suppressLineNumbers w:val="0"/>
              <w:spacing w:before="0" w:beforeAutospacing="0" w:after="0" w:afterAutospacing="0"/>
              <w:ind w:left="0" w:right="0" w:firstLine="0"/>
              <w:rPr>
                <w:rFonts w:hint="eastAsia" w:ascii="宋体" w:hAnsi="宋体" w:eastAsia="宋体" w:cs="宋体"/>
                <w:sz w:val="24"/>
                <w:szCs w:val="24"/>
              </w:rPr>
            </w:pPr>
            <w:r>
              <w:rPr>
                <w:rStyle w:val="10"/>
                <w:rFonts w:hint="eastAsia" w:ascii="宋体" w:hAnsi="宋体" w:eastAsia="宋体" w:cs="宋体"/>
                <w:spacing w:val="0"/>
                <w:sz w:val="24"/>
                <w:szCs w:val="24"/>
              </w:rPr>
              <w:t>后有表2，请勿遗漏。</w:t>
            </w:r>
          </w:p>
        </w:tc>
      </w:tr>
    </w:tbl>
    <w:p>
      <w:pPr>
        <w:pStyle w:val="6"/>
        <w:keepNext w:val="0"/>
        <w:keepLines w:val="0"/>
        <w:widowControl/>
        <w:suppressLineNumbers w:val="0"/>
        <w:spacing w:before="75" w:beforeAutospacing="0" w:after="75" w:afterAutospacing="0"/>
        <w:ind w:left="0" w:right="0" w:firstLine="0"/>
        <w:rPr>
          <w:rFonts w:hint="eastAsia" w:ascii="宋体" w:hAnsi="宋体" w:eastAsia="宋体" w:cs="宋体"/>
          <w:sz w:val="24"/>
          <w:szCs w:val="24"/>
        </w:rPr>
      </w:pPr>
      <w:r>
        <w:rPr>
          <w:rFonts w:hint="eastAsia" w:ascii="宋体" w:hAnsi="宋体" w:eastAsia="宋体" w:cs="宋体"/>
          <w:spacing w:val="0"/>
          <w:sz w:val="24"/>
          <w:szCs w:val="24"/>
        </w:rPr>
        <w:t> 表2</w:t>
      </w:r>
    </w:p>
    <w:tbl>
      <w:tblPr>
        <w:tblStyle w:val="7"/>
        <w:tblW w:w="8903" w:type="dxa"/>
        <w:tblCellSpacing w:w="15"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522"/>
        <w:gridCol w:w="8351"/>
        <w:gridCol w:w="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8843" w:type="dxa"/>
            <w:gridSpan w:val="3"/>
            <w:noWrap w:val="0"/>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Style w:val="10"/>
                <w:rFonts w:hint="eastAsia" w:ascii="宋体" w:hAnsi="宋体" w:eastAsia="宋体" w:cs="宋体"/>
                <w:spacing w:val="0"/>
                <w:sz w:val="24"/>
                <w:szCs w:val="24"/>
              </w:rPr>
              <w:t>关于电子招标投标活动的专门规定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30" w:type="dxa"/>
          <w:tblCellSpacing w:w="15" w:type="dxa"/>
        </w:trPr>
        <w:tc>
          <w:tcPr>
            <w:tcW w:w="477" w:type="dxa"/>
            <w:noWrap w:val="0"/>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spacing w:val="0"/>
                <w:sz w:val="24"/>
                <w:szCs w:val="24"/>
              </w:rPr>
              <w:t>序号</w:t>
            </w:r>
          </w:p>
        </w:tc>
        <w:tc>
          <w:tcPr>
            <w:tcW w:w="8306" w:type="dxa"/>
            <w:noWrap w:val="0"/>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spacing w:val="0"/>
                <w:sz w:val="24"/>
                <w:szCs w:val="24"/>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30" w:type="dxa"/>
          <w:tblCellSpacing w:w="15" w:type="dxa"/>
        </w:trPr>
        <w:tc>
          <w:tcPr>
            <w:tcW w:w="477" w:type="dxa"/>
            <w:noWrap w:val="0"/>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spacing w:val="0"/>
                <w:sz w:val="24"/>
                <w:szCs w:val="24"/>
              </w:rPr>
              <w:t>1</w:t>
            </w:r>
          </w:p>
        </w:tc>
        <w:tc>
          <w:tcPr>
            <w:tcW w:w="8306" w:type="dxa"/>
            <w:noWrap w:val="0"/>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ind w:left="0" w:right="0"/>
              <w:rPr>
                <w:rFonts w:hint="eastAsia" w:ascii="宋体" w:hAnsi="宋体" w:eastAsia="宋体" w:cs="宋体"/>
                <w:sz w:val="24"/>
                <w:szCs w:val="24"/>
              </w:rPr>
            </w:pPr>
            <w:r>
              <w:rPr>
                <w:rFonts w:hint="eastAsia" w:ascii="宋体" w:hAnsi="宋体" w:eastAsia="宋体" w:cs="宋体"/>
                <w:spacing w:val="0"/>
                <w:sz w:val="24"/>
                <w:szCs w:val="24"/>
              </w:rPr>
              <w:t>（1）招标文件中除下述第（2）、（3）款所述内容外的其他内容及规定适用本项目的电子招标投标活动。</w:t>
            </w:r>
          </w:p>
          <w:p>
            <w:pPr>
              <w:pStyle w:val="6"/>
              <w:keepNext w:val="0"/>
              <w:keepLines w:val="0"/>
              <w:widowControl/>
              <w:suppressLineNumbers w:val="0"/>
              <w:spacing w:before="0" w:beforeAutospacing="0" w:after="0" w:afterAutospacing="0"/>
              <w:ind w:left="0" w:right="0"/>
              <w:rPr>
                <w:rFonts w:hint="eastAsia" w:ascii="宋体" w:hAnsi="宋体" w:eastAsia="宋体" w:cs="宋体"/>
                <w:sz w:val="24"/>
                <w:szCs w:val="24"/>
              </w:rPr>
            </w:pPr>
            <w:r>
              <w:rPr>
                <w:rFonts w:hint="eastAsia" w:ascii="宋体" w:hAnsi="宋体" w:eastAsia="宋体" w:cs="宋体"/>
                <w:spacing w:val="0"/>
                <w:sz w:val="24"/>
                <w:szCs w:val="24"/>
              </w:rPr>
              <w:t>（2）将招标文件</w:t>
            </w:r>
            <w:r>
              <w:rPr>
                <w:rFonts w:hint="eastAsia" w:ascii="宋体" w:hAnsi="宋体" w:eastAsia="宋体" w:cs="宋体"/>
                <w:spacing w:val="0"/>
                <w:sz w:val="24"/>
                <w:szCs w:val="24"/>
                <w:u w:val="single"/>
              </w:rPr>
              <w:t>无。</w:t>
            </w:r>
            <w:r>
              <w:rPr>
                <w:rFonts w:hint="eastAsia" w:ascii="宋体" w:hAnsi="宋体" w:eastAsia="宋体" w:cs="宋体"/>
                <w:spacing w:val="0"/>
                <w:sz w:val="24"/>
                <w:szCs w:val="24"/>
              </w:rPr>
              <w:t>的内容</w:t>
            </w:r>
            <w:r>
              <w:rPr>
                <w:rStyle w:val="10"/>
                <w:rFonts w:hint="eastAsia" w:ascii="宋体" w:hAnsi="宋体" w:eastAsia="宋体" w:cs="宋体"/>
                <w:spacing w:val="0"/>
                <w:sz w:val="24"/>
                <w:szCs w:val="24"/>
              </w:rPr>
              <w:t>修正为</w:t>
            </w:r>
            <w:r>
              <w:rPr>
                <w:rFonts w:hint="eastAsia" w:ascii="宋体" w:hAnsi="宋体" w:eastAsia="宋体" w:cs="宋体"/>
                <w:spacing w:val="0"/>
                <w:sz w:val="24"/>
                <w:szCs w:val="24"/>
              </w:rPr>
              <w:t>下列内容：</w:t>
            </w:r>
            <w:r>
              <w:rPr>
                <w:rFonts w:hint="eastAsia" w:ascii="宋体" w:hAnsi="宋体" w:eastAsia="宋体" w:cs="宋体"/>
                <w:spacing w:val="0"/>
                <w:sz w:val="24"/>
                <w:szCs w:val="24"/>
                <w:u w:val="single"/>
              </w:rPr>
              <w:t>无。</w:t>
            </w:r>
            <w:r>
              <w:rPr>
                <w:rFonts w:hint="eastAsia" w:ascii="宋体" w:hAnsi="宋体" w:eastAsia="宋体" w:cs="宋体"/>
                <w:spacing w:val="0"/>
                <w:sz w:val="24"/>
                <w:szCs w:val="24"/>
              </w:rPr>
              <w:t>后适用本项目的电子招标投标活动。</w:t>
            </w:r>
          </w:p>
          <w:p>
            <w:pPr>
              <w:pStyle w:val="6"/>
              <w:keepNext w:val="0"/>
              <w:keepLines w:val="0"/>
              <w:widowControl/>
              <w:suppressLineNumbers w:val="0"/>
              <w:spacing w:before="0" w:beforeAutospacing="0" w:after="0" w:afterAutospacing="0"/>
              <w:ind w:left="0" w:right="0"/>
              <w:rPr>
                <w:rFonts w:hint="eastAsia" w:ascii="宋体" w:hAnsi="宋体" w:eastAsia="宋体" w:cs="宋体"/>
                <w:sz w:val="24"/>
                <w:szCs w:val="24"/>
              </w:rPr>
            </w:pPr>
            <w:r>
              <w:rPr>
                <w:rFonts w:hint="eastAsia" w:ascii="宋体" w:hAnsi="宋体" w:eastAsia="宋体" w:cs="宋体"/>
                <w:spacing w:val="0"/>
                <w:sz w:val="24"/>
                <w:szCs w:val="24"/>
              </w:rPr>
              <w:t>（3）将下列内容</w:t>
            </w:r>
            <w:r>
              <w:rPr>
                <w:rStyle w:val="10"/>
                <w:rFonts w:hint="eastAsia" w:ascii="宋体" w:hAnsi="宋体" w:eastAsia="宋体" w:cs="宋体"/>
                <w:spacing w:val="0"/>
                <w:sz w:val="24"/>
                <w:szCs w:val="24"/>
              </w:rPr>
              <w:t>增列为</w:t>
            </w:r>
            <w:r>
              <w:rPr>
                <w:rFonts w:hint="eastAsia" w:ascii="宋体" w:hAnsi="宋体" w:eastAsia="宋体" w:cs="宋体"/>
                <w:spacing w:val="0"/>
                <w:sz w:val="24"/>
                <w:szCs w:val="24"/>
              </w:rPr>
              <w:t>招标文件的组成部分（以下简称：“增列内容”）适用本项目的电子招标投标活动，若增列内容与招标文件其他章节内容有冲突，应以增列内容为准：</w:t>
            </w:r>
          </w:p>
          <w:p>
            <w:pPr>
              <w:pStyle w:val="6"/>
              <w:keepNext w:val="0"/>
              <w:keepLines w:val="0"/>
              <w:widowControl/>
              <w:suppressLineNumbers w:val="0"/>
              <w:spacing w:before="0" w:beforeAutospacing="0" w:after="0" w:afterAutospacing="0"/>
              <w:ind w:left="0" w:right="0"/>
              <w:rPr>
                <w:rFonts w:hint="eastAsia" w:ascii="宋体" w:hAnsi="宋体" w:eastAsia="宋体" w:cs="宋体"/>
                <w:sz w:val="24"/>
                <w:szCs w:val="24"/>
              </w:rPr>
            </w:pPr>
            <w:r>
              <w:rPr>
                <w:rFonts w:hint="eastAsia" w:ascii="宋体" w:hAnsi="宋体" w:eastAsia="宋体" w:cs="宋体"/>
                <w:spacing w:val="0"/>
                <w:sz w:val="24"/>
                <w:szCs w:val="24"/>
              </w:rPr>
              <w:t>①电子招标投标活动的具体操作流程以福建省政府采购网上公开信息系统设定的为准。</w:t>
            </w:r>
          </w:p>
          <w:p>
            <w:pPr>
              <w:pStyle w:val="6"/>
              <w:keepNext w:val="0"/>
              <w:keepLines w:val="0"/>
              <w:widowControl/>
              <w:suppressLineNumbers w:val="0"/>
              <w:spacing w:before="0" w:beforeAutospacing="0" w:after="0" w:afterAutospacing="0"/>
              <w:ind w:left="0" w:right="0"/>
              <w:rPr>
                <w:rFonts w:hint="eastAsia" w:ascii="宋体" w:hAnsi="宋体" w:eastAsia="宋体" w:cs="宋体"/>
                <w:sz w:val="24"/>
                <w:szCs w:val="24"/>
              </w:rPr>
            </w:pPr>
            <w:r>
              <w:rPr>
                <w:rFonts w:hint="eastAsia" w:ascii="宋体" w:hAnsi="宋体" w:eastAsia="宋体" w:cs="宋体"/>
                <w:spacing w:val="0"/>
                <w:sz w:val="24"/>
                <w:szCs w:val="24"/>
              </w:rPr>
              <w:t>②关于投标文件：</w:t>
            </w:r>
          </w:p>
          <w:p>
            <w:pPr>
              <w:pStyle w:val="6"/>
              <w:keepNext w:val="0"/>
              <w:keepLines w:val="0"/>
              <w:widowControl/>
              <w:suppressLineNumbers w:val="0"/>
              <w:spacing w:before="0" w:beforeAutospacing="0" w:after="0" w:afterAutospacing="0"/>
              <w:ind w:left="0" w:right="0"/>
              <w:rPr>
                <w:rFonts w:hint="eastAsia" w:ascii="宋体" w:hAnsi="宋体" w:eastAsia="宋体" w:cs="宋体"/>
                <w:sz w:val="24"/>
                <w:szCs w:val="24"/>
              </w:rPr>
            </w:pPr>
            <w:r>
              <w:rPr>
                <w:rFonts w:hint="eastAsia" w:ascii="宋体" w:hAnsi="宋体" w:eastAsia="宋体" w:cs="宋体"/>
                <w:spacing w:val="0"/>
                <w:sz w:val="24"/>
                <w:szCs w:val="24"/>
              </w:rPr>
              <w:t>a.投标人应按照福建省政府采购网上公开信息系统设定的评审节点编制电子投标文件，否则</w:t>
            </w:r>
            <w:r>
              <w:rPr>
                <w:rStyle w:val="10"/>
                <w:rFonts w:hint="eastAsia" w:ascii="宋体" w:hAnsi="宋体" w:eastAsia="宋体" w:cs="宋体"/>
                <w:spacing w:val="0"/>
                <w:sz w:val="24"/>
                <w:szCs w:val="24"/>
              </w:rPr>
              <w:t>资格审查小组、评标委员会将按照不利于投标人的内容进行认定。</w:t>
            </w:r>
          </w:p>
          <w:p>
            <w:pPr>
              <w:pStyle w:val="6"/>
              <w:keepNext w:val="0"/>
              <w:keepLines w:val="0"/>
              <w:widowControl/>
              <w:suppressLineNumbers w:val="0"/>
              <w:spacing w:before="0" w:beforeAutospacing="0" w:after="0" w:afterAutospacing="0"/>
              <w:ind w:left="0" w:right="0"/>
              <w:rPr>
                <w:rFonts w:hint="eastAsia" w:ascii="宋体" w:hAnsi="宋体" w:eastAsia="宋体" w:cs="宋体"/>
                <w:sz w:val="24"/>
                <w:szCs w:val="24"/>
              </w:rPr>
            </w:pPr>
            <w:r>
              <w:rPr>
                <w:rFonts w:hint="eastAsia" w:ascii="宋体" w:hAnsi="宋体" w:eastAsia="宋体" w:cs="宋体"/>
                <w:spacing w:val="0"/>
                <w:sz w:val="24"/>
                <w:szCs w:val="24"/>
              </w:rPr>
              <w:t>b.投标人应在投标截止时间前按照福建省政府采购网上公开信息系统设定的操作流程将电子投标文件</w:t>
            </w:r>
            <w:r>
              <w:rPr>
                <w:rStyle w:val="10"/>
                <w:rFonts w:hint="eastAsia" w:ascii="宋体" w:hAnsi="宋体" w:eastAsia="宋体" w:cs="宋体"/>
                <w:spacing w:val="0"/>
                <w:sz w:val="24"/>
                <w:szCs w:val="24"/>
                <w:u w:val="single"/>
              </w:rPr>
              <w:t>1</w:t>
            </w:r>
            <w:r>
              <w:rPr>
                <w:rFonts w:hint="eastAsia" w:ascii="宋体" w:hAnsi="宋体" w:eastAsia="宋体" w:cs="宋体"/>
                <w:spacing w:val="0"/>
                <w:sz w:val="24"/>
                <w:szCs w:val="24"/>
              </w:rPr>
              <w:t>份上传至福建省政府采购网上公开信息系统，电子投标文件应与纸质投标文件保持一致，并以电子投标文件为准。</w:t>
            </w:r>
          </w:p>
          <w:p>
            <w:pPr>
              <w:pStyle w:val="6"/>
              <w:keepNext w:val="0"/>
              <w:keepLines w:val="0"/>
              <w:widowControl/>
              <w:suppressLineNumbers w:val="0"/>
              <w:spacing w:before="0" w:beforeAutospacing="0" w:after="0" w:afterAutospacing="0"/>
              <w:ind w:left="0" w:right="0"/>
              <w:rPr>
                <w:rFonts w:hint="eastAsia" w:ascii="宋体" w:hAnsi="宋体" w:eastAsia="宋体" w:cs="宋体"/>
                <w:sz w:val="24"/>
                <w:szCs w:val="24"/>
              </w:rPr>
            </w:pPr>
            <w:r>
              <w:rPr>
                <w:rFonts w:hint="eastAsia" w:ascii="宋体" w:hAnsi="宋体" w:eastAsia="宋体" w:cs="宋体"/>
                <w:spacing w:val="0"/>
                <w:sz w:val="24"/>
                <w:szCs w:val="24"/>
              </w:rPr>
              <w:t>c.若出现福建省政府采购网上公开信息系统设定的意外情形（如：系统故障等），经本项目监督管理部门同意使用纸质投标文件的，应以纸质投标文件为准。</w:t>
            </w:r>
          </w:p>
          <w:p>
            <w:pPr>
              <w:pStyle w:val="6"/>
              <w:keepNext w:val="0"/>
              <w:keepLines w:val="0"/>
              <w:widowControl/>
              <w:suppressLineNumbers w:val="0"/>
              <w:spacing w:before="0" w:beforeAutospacing="0" w:after="0" w:afterAutospacing="0"/>
              <w:ind w:left="0" w:right="0"/>
              <w:rPr>
                <w:rFonts w:hint="eastAsia" w:ascii="宋体" w:hAnsi="宋体" w:eastAsia="宋体" w:cs="宋体"/>
                <w:sz w:val="24"/>
                <w:szCs w:val="24"/>
              </w:rPr>
            </w:pPr>
            <w:r>
              <w:rPr>
                <w:rFonts w:hint="eastAsia" w:ascii="宋体" w:hAnsi="宋体" w:eastAsia="宋体" w:cs="宋体"/>
                <w:spacing w:val="0"/>
                <w:sz w:val="24"/>
                <w:szCs w:val="24"/>
              </w:rPr>
              <w:t>③关于证明材料或资料：</w:t>
            </w:r>
          </w:p>
          <w:p>
            <w:pPr>
              <w:pStyle w:val="6"/>
              <w:keepNext w:val="0"/>
              <w:keepLines w:val="0"/>
              <w:widowControl/>
              <w:suppressLineNumbers w:val="0"/>
              <w:spacing w:before="0" w:beforeAutospacing="0" w:after="0" w:afterAutospacing="0"/>
              <w:ind w:left="0" w:right="0"/>
              <w:rPr>
                <w:rFonts w:hint="eastAsia" w:ascii="宋体" w:hAnsi="宋体" w:eastAsia="宋体" w:cs="宋体"/>
                <w:sz w:val="24"/>
                <w:szCs w:val="24"/>
              </w:rPr>
            </w:pPr>
            <w:r>
              <w:rPr>
                <w:rFonts w:hint="eastAsia" w:ascii="宋体" w:hAnsi="宋体" w:eastAsia="宋体" w:cs="宋体"/>
                <w:spacing w:val="0"/>
                <w:sz w:val="24"/>
                <w:szCs w:val="24"/>
              </w:rPr>
              <w:t>a.招标文件要求原件的，投标人在电子投标文件中可提供复印件或扫描件，但在纸质投标文件正本中应提供原件</w:t>
            </w:r>
            <w:r>
              <w:rPr>
                <w:rStyle w:val="10"/>
                <w:rFonts w:hint="eastAsia" w:ascii="宋体" w:hAnsi="宋体" w:eastAsia="宋体" w:cs="宋体"/>
                <w:spacing w:val="0"/>
                <w:sz w:val="24"/>
                <w:szCs w:val="24"/>
              </w:rPr>
              <w:t>（资格审查小组、评标委员会将核对纸质投标文件正本，未提供原件的证明材料或资料将被视为无效）</w:t>
            </w:r>
            <w:r>
              <w:rPr>
                <w:rFonts w:hint="eastAsia" w:ascii="宋体" w:hAnsi="宋体" w:eastAsia="宋体" w:cs="宋体"/>
                <w:spacing w:val="0"/>
                <w:sz w:val="24"/>
                <w:szCs w:val="24"/>
              </w:rPr>
              <w:t>；招标文件要求复印件的，投标人在纸质投标文件中提供原件、复印件、扫描件皆可；招标文件对原件、复印件未作要求的，投标人在纸质投标文件中提供原件、复印件、扫描件皆可。</w:t>
            </w:r>
          </w:p>
          <w:p>
            <w:pPr>
              <w:pStyle w:val="6"/>
              <w:keepNext w:val="0"/>
              <w:keepLines w:val="0"/>
              <w:widowControl/>
              <w:suppressLineNumbers w:val="0"/>
              <w:ind w:lef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b.除《检察机关行贿犯罪档案查询结果告知函》外，若投标人提供注明“复印件无效”的证明材料或资料，其纸质投标文件正本中应提供原件</w:t>
            </w:r>
            <w:r>
              <w:rPr>
                <w:rStyle w:val="10"/>
                <w:rFonts w:hint="eastAsia" w:ascii="宋体" w:hAnsi="宋体" w:eastAsia="宋体" w:cs="宋体"/>
                <w:i w:val="0"/>
                <w:caps w:val="0"/>
                <w:color w:val="000000"/>
                <w:spacing w:val="0"/>
                <w:sz w:val="24"/>
                <w:szCs w:val="24"/>
              </w:rPr>
              <w:t>（资格审查小组、评标委员会将核对纸质投标文件正本，未提供原件的证明材料或资料将导致投标无效）。</w:t>
            </w:r>
          </w:p>
          <w:p>
            <w:pPr>
              <w:pStyle w:val="6"/>
              <w:keepNext w:val="0"/>
              <w:keepLines w:val="0"/>
              <w:widowControl/>
              <w:suppressLineNumbers w:val="0"/>
              <w:ind w:lef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c.《检察机关行贿犯罪档案查询结果告知函》</w:t>
            </w:r>
          </w:p>
          <w:p>
            <w:pPr>
              <w:pStyle w:val="6"/>
              <w:keepNext w:val="0"/>
              <w:keepLines w:val="0"/>
              <w:widowControl/>
              <w:suppressLineNumbers w:val="0"/>
              <w:ind w:lef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c1投标人在电子投标文件中可提供复印件（含扫描件）、符合招标文件第七章规定的打印件（或截图），在纸质投标文件正本中提供原件、复印件（含扫描件）、符合招标文件第七章规定的打印件（或截图）皆可。</w:t>
            </w:r>
          </w:p>
          <w:p>
            <w:pPr>
              <w:pStyle w:val="6"/>
              <w:keepNext w:val="0"/>
              <w:keepLines w:val="0"/>
              <w:widowControl/>
              <w:suppressLineNumbers w:val="0"/>
              <w:ind w:lef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c2《检察机关行贿犯罪档案查询结果告知函》应在有效期内且内容完整、清晰、整洁，否则</w:t>
            </w:r>
            <w:r>
              <w:rPr>
                <w:rStyle w:val="10"/>
                <w:rFonts w:hint="eastAsia" w:ascii="宋体" w:hAnsi="宋体" w:eastAsia="宋体" w:cs="宋体"/>
                <w:i w:val="0"/>
                <w:caps w:val="0"/>
                <w:color w:val="000000"/>
                <w:spacing w:val="0"/>
                <w:sz w:val="24"/>
                <w:szCs w:val="24"/>
              </w:rPr>
              <w:t>投标无效。</w:t>
            </w:r>
          </w:p>
          <w:p>
            <w:pPr>
              <w:pStyle w:val="6"/>
              <w:keepNext w:val="0"/>
              <w:keepLines w:val="0"/>
              <w:widowControl/>
              <w:suppressLineNumbers w:val="0"/>
              <w:ind w:lef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c3有效期内的《检察机关行贿犯罪档案查询结果告知函》复印件（含扫描件）及符合招标文件第七章规定的打印件（或截图），无论内容中是否注明“复印件无效”，</w:t>
            </w:r>
            <w:r>
              <w:rPr>
                <w:rStyle w:val="10"/>
                <w:rFonts w:hint="eastAsia" w:ascii="宋体" w:hAnsi="宋体" w:eastAsia="宋体" w:cs="宋体"/>
                <w:i w:val="0"/>
                <w:caps w:val="0"/>
                <w:color w:val="000000"/>
                <w:spacing w:val="0"/>
                <w:sz w:val="24"/>
                <w:szCs w:val="24"/>
              </w:rPr>
              <w:t>均视同有效。</w:t>
            </w:r>
          </w:p>
          <w:p>
            <w:pPr>
              <w:pStyle w:val="6"/>
              <w:keepNext w:val="0"/>
              <w:keepLines w:val="0"/>
              <w:widowControl/>
              <w:suppressLineNumbers w:val="0"/>
              <w:spacing w:before="0" w:beforeAutospacing="0" w:after="0" w:afterAutospacing="0"/>
              <w:ind w:left="0" w:right="0" w:firstLine="0"/>
              <w:rPr>
                <w:rFonts w:hint="eastAsia" w:ascii="宋体" w:hAnsi="宋体" w:eastAsia="宋体" w:cs="宋体"/>
                <w:b w:val="0"/>
                <w:i w:val="0"/>
                <w:caps w:val="0"/>
                <w:color w:val="000000"/>
                <w:spacing w:val="0"/>
                <w:sz w:val="24"/>
                <w:szCs w:val="24"/>
              </w:rPr>
            </w:pPr>
          </w:p>
          <w:p>
            <w:pPr>
              <w:pStyle w:val="6"/>
              <w:keepNext w:val="0"/>
              <w:keepLines w:val="0"/>
              <w:widowControl/>
              <w:suppressLineNumbers w:val="0"/>
              <w:spacing w:before="0" w:beforeAutospacing="0" w:after="0" w:afterAutospacing="0"/>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④关于“全称”、“投标人代表签字”及“加盖单位公章”：</w:t>
            </w:r>
          </w:p>
          <w:p>
            <w:pPr>
              <w:pStyle w:val="6"/>
              <w:keepNext w:val="0"/>
              <w:keepLines w:val="0"/>
              <w:widowControl/>
              <w:suppressLineNumbers w:val="0"/>
              <w:spacing w:before="0" w:beforeAutospacing="0" w:after="0" w:afterAutospacing="0"/>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a.在电子投标文件中，涉及“全称”和“投标人代表签字”的内容可使用打字录入方式完成。</w:t>
            </w:r>
          </w:p>
          <w:p>
            <w:pPr>
              <w:pStyle w:val="6"/>
              <w:keepNext w:val="0"/>
              <w:keepLines w:val="0"/>
              <w:widowControl/>
              <w:suppressLineNumbers w:val="0"/>
              <w:spacing w:before="0" w:beforeAutospacing="0" w:after="0" w:afterAutospacing="0"/>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b.在电子投标文件中，涉及“加盖单位公章”的内容应使用投标人的CA证书完成，否则</w:t>
            </w:r>
            <w:r>
              <w:rPr>
                <w:rStyle w:val="10"/>
                <w:rFonts w:hint="eastAsia" w:ascii="宋体" w:hAnsi="宋体" w:eastAsia="宋体" w:cs="宋体"/>
                <w:i w:val="0"/>
                <w:caps w:val="0"/>
                <w:color w:val="000000"/>
                <w:spacing w:val="0"/>
                <w:sz w:val="24"/>
                <w:szCs w:val="24"/>
              </w:rPr>
              <w:t>投标无效。</w:t>
            </w:r>
          </w:p>
          <w:p>
            <w:pPr>
              <w:pStyle w:val="6"/>
              <w:keepNext w:val="0"/>
              <w:keepLines w:val="0"/>
              <w:widowControl/>
              <w:suppressLineNumbers w:val="0"/>
              <w:spacing w:before="0" w:beforeAutospacing="0" w:after="0" w:afterAutospacing="0"/>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c.在电子投标文件中，若投标人按照本增列内容第④点第b项规定加盖其单位公章，则出现无全称、或投标人代表未签字等情形，</w:t>
            </w:r>
            <w:r>
              <w:rPr>
                <w:rStyle w:val="10"/>
                <w:rFonts w:hint="eastAsia" w:ascii="宋体" w:hAnsi="宋体" w:eastAsia="宋体" w:cs="宋体"/>
                <w:i w:val="0"/>
                <w:caps w:val="0"/>
                <w:color w:val="000000"/>
                <w:spacing w:val="0"/>
                <w:sz w:val="24"/>
                <w:szCs w:val="24"/>
              </w:rPr>
              <w:t>不视为投标无效。</w:t>
            </w:r>
          </w:p>
          <w:p>
            <w:pPr>
              <w:pStyle w:val="6"/>
              <w:keepNext w:val="0"/>
              <w:keepLines w:val="0"/>
              <w:widowControl/>
              <w:suppressLineNumbers w:val="0"/>
              <w:spacing w:before="0" w:beforeAutospacing="0" w:after="0" w:afterAutospacing="0"/>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⑤关于投标人的CA证书：</w:t>
            </w:r>
          </w:p>
          <w:p>
            <w:pPr>
              <w:pStyle w:val="6"/>
              <w:keepNext w:val="0"/>
              <w:keepLines w:val="0"/>
              <w:widowControl/>
              <w:suppressLineNumbers w:val="0"/>
              <w:spacing w:before="0" w:beforeAutospacing="0" w:after="0" w:afterAutospacing="0"/>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a.投标人的CA证书应在投标截止时间前连同密封的纸质投标文件送达招标文件第一章第10条载明的地点，否则</w:t>
            </w:r>
            <w:r>
              <w:rPr>
                <w:rStyle w:val="10"/>
                <w:rFonts w:hint="eastAsia" w:ascii="宋体" w:hAnsi="宋体" w:eastAsia="宋体" w:cs="宋体"/>
                <w:i w:val="0"/>
                <w:caps w:val="0"/>
                <w:color w:val="000000"/>
                <w:spacing w:val="0"/>
                <w:sz w:val="24"/>
                <w:szCs w:val="24"/>
              </w:rPr>
              <w:t>投标将被拒绝。</w:t>
            </w:r>
          </w:p>
          <w:p>
            <w:pPr>
              <w:pStyle w:val="6"/>
              <w:keepNext w:val="0"/>
              <w:keepLines w:val="0"/>
              <w:widowControl/>
              <w:suppressLineNumbers w:val="0"/>
              <w:spacing w:before="0" w:beforeAutospacing="0" w:after="0" w:afterAutospacing="0"/>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b.投标人的CA证书可采用信封（包括但不限于：信封、档案袋、文件袋等）作为外包装进行单独包装。外包装密封、不密封皆可。</w:t>
            </w:r>
          </w:p>
          <w:p>
            <w:pPr>
              <w:pStyle w:val="6"/>
              <w:keepNext w:val="0"/>
              <w:keepLines w:val="0"/>
              <w:widowControl/>
              <w:suppressLineNumbers w:val="0"/>
              <w:spacing w:before="0" w:beforeAutospacing="0" w:after="0" w:afterAutospacing="0"/>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c.投标人的CA证书或外包装应标记“项目名称、招标编号、投标人的全称”等内容，以方便识别、使用。</w:t>
            </w:r>
          </w:p>
          <w:p>
            <w:pPr>
              <w:pStyle w:val="6"/>
              <w:keepNext w:val="0"/>
              <w:keepLines w:val="0"/>
              <w:widowControl/>
              <w:suppressLineNumbers w:val="0"/>
              <w:spacing w:before="0" w:beforeAutospacing="0" w:after="0" w:afterAutospacing="0"/>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d.投标人的CA证书应能正常、有效使用，否则产生不利后果由投标人承担责任。</w:t>
            </w:r>
          </w:p>
          <w:p>
            <w:pPr>
              <w:pStyle w:val="6"/>
              <w:keepNext w:val="0"/>
              <w:keepLines w:val="0"/>
              <w:widowControl/>
              <w:suppressLineNumbers w:val="0"/>
              <w:spacing w:before="0" w:beforeAutospacing="0" w:after="0" w:afterAutospacing="0"/>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⑥关于投标截止时间过后</w:t>
            </w:r>
          </w:p>
          <w:p>
            <w:pPr>
              <w:pStyle w:val="6"/>
              <w:keepNext w:val="0"/>
              <w:keepLines w:val="0"/>
              <w:widowControl/>
              <w:suppressLineNumbers w:val="0"/>
              <w:spacing w:before="0" w:beforeAutospacing="0" w:after="0" w:afterAutospacing="0"/>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a.被福建省政府采购网上公开信息系统判定为投标保证金未提交（即未于投标截止时间前到达招标文件载明的投标保证金账户）的投标人，</w:t>
            </w:r>
            <w:r>
              <w:rPr>
                <w:rStyle w:val="10"/>
                <w:rFonts w:hint="eastAsia" w:ascii="宋体" w:hAnsi="宋体" w:eastAsia="宋体" w:cs="宋体"/>
                <w:i w:val="0"/>
                <w:caps w:val="0"/>
                <w:color w:val="000000"/>
                <w:spacing w:val="0"/>
                <w:sz w:val="24"/>
                <w:szCs w:val="24"/>
              </w:rPr>
              <w:t>投标将被拒绝。</w:t>
            </w:r>
          </w:p>
          <w:p>
            <w:pPr>
              <w:pStyle w:val="6"/>
              <w:keepNext w:val="0"/>
              <w:keepLines w:val="0"/>
              <w:widowControl/>
              <w:suppressLineNumbers w:val="0"/>
              <w:spacing w:before="0" w:beforeAutospacing="0" w:after="0" w:afterAutospacing="0"/>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b.有下列情形之一的，其</w:t>
            </w:r>
            <w:r>
              <w:rPr>
                <w:rStyle w:val="10"/>
                <w:rFonts w:hint="eastAsia" w:ascii="宋体" w:hAnsi="宋体" w:eastAsia="宋体" w:cs="宋体"/>
                <w:i w:val="0"/>
                <w:caps w:val="0"/>
                <w:color w:val="000000"/>
                <w:spacing w:val="0"/>
                <w:sz w:val="24"/>
                <w:szCs w:val="24"/>
              </w:rPr>
              <w:t>投标无效</w:t>
            </w:r>
            <w:r>
              <w:rPr>
                <w:rFonts w:hint="eastAsia" w:ascii="宋体" w:hAnsi="宋体" w:eastAsia="宋体" w:cs="宋体"/>
                <w:b w:val="0"/>
                <w:i w:val="0"/>
                <w:caps w:val="0"/>
                <w:color w:val="000000"/>
                <w:spacing w:val="0"/>
                <w:sz w:val="24"/>
                <w:szCs w:val="24"/>
              </w:rPr>
              <w:t>,其保证金不予退还：</w:t>
            </w:r>
          </w:p>
          <w:p>
            <w:pPr>
              <w:pStyle w:val="6"/>
              <w:keepNext w:val="0"/>
              <w:keepLines w:val="0"/>
              <w:widowControl/>
              <w:suppressLineNumbers w:val="0"/>
              <w:spacing w:before="0" w:beforeAutospacing="0" w:after="0" w:afterAutospacing="0"/>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b1不同投标人的电子投标文件被福建省政府采购网上公开信息系统判定为具有相同内部识别码；</w:t>
            </w:r>
          </w:p>
          <w:p>
            <w:pPr>
              <w:pStyle w:val="6"/>
              <w:keepNext w:val="0"/>
              <w:keepLines w:val="0"/>
              <w:widowControl/>
              <w:suppressLineNumbers w:val="0"/>
              <w:spacing w:before="0" w:beforeAutospacing="0" w:after="0" w:afterAutospacing="0"/>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b2不同投标人的投标保证金被福建省政府采购网上公开信息系统判定为从同一单位或个人的账户转出；</w:t>
            </w:r>
          </w:p>
          <w:p>
            <w:pPr>
              <w:pStyle w:val="6"/>
              <w:keepNext w:val="0"/>
              <w:keepLines w:val="0"/>
              <w:widowControl/>
              <w:suppressLineNumbers w:val="0"/>
              <w:spacing w:before="0" w:beforeAutospacing="0" w:after="0" w:afterAutospacing="0"/>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b3投标人的投标保证金被福建省政府采购网上公开信息系统判定为同一合同项下有其他投标人提交的投标保证金</w:t>
            </w:r>
          </w:p>
          <w:p>
            <w:pPr>
              <w:pStyle w:val="6"/>
              <w:keepNext w:val="0"/>
              <w:keepLines w:val="0"/>
              <w:widowControl/>
              <w:suppressLineNumbers w:val="0"/>
              <w:ind w:lef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b4不同投标人被福建省政府采购网上公开信息系统判定为串通投标的其他情形。</w:t>
            </w:r>
          </w:p>
          <w:p>
            <w:pPr>
              <w:pStyle w:val="6"/>
              <w:keepNext w:val="0"/>
              <w:keepLines w:val="0"/>
              <w:widowControl/>
              <w:suppressLineNumbers w:val="0"/>
              <w:spacing w:before="0" w:beforeAutospacing="0" w:after="0" w:afterAutospacing="0"/>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⑦接受联合体投标且投标人为联合体的，投标人应由“联合体牵头方”完成福建省政府采购网上公开信息系统设定的具体操作流程（包括但不限于：报名、提交投标保证金、编制电子投标文件等）。</w:t>
            </w:r>
          </w:p>
          <w:p>
            <w:pPr>
              <w:pStyle w:val="6"/>
              <w:keepNext w:val="0"/>
              <w:keepLines w:val="0"/>
              <w:widowControl/>
              <w:suppressLineNumbers w:val="0"/>
              <w:spacing w:before="0" w:beforeAutospacing="0" w:after="0" w:afterAutospacing="0"/>
              <w:ind w:left="0" w:right="0" w:firstLine="0"/>
              <w:rPr>
                <w:rFonts w:hint="eastAsia" w:ascii="宋体" w:hAnsi="宋体" w:eastAsia="宋体" w:cs="宋体"/>
                <w:sz w:val="24"/>
                <w:szCs w:val="24"/>
              </w:rPr>
            </w:pPr>
            <w:r>
              <w:rPr>
                <w:rFonts w:hint="eastAsia" w:ascii="宋体" w:hAnsi="宋体" w:eastAsia="宋体" w:cs="宋体"/>
                <w:b w:val="0"/>
                <w:i w:val="0"/>
                <w:caps w:val="0"/>
                <w:color w:val="000000"/>
                <w:spacing w:val="0"/>
                <w:sz w:val="24"/>
                <w:szCs w:val="24"/>
              </w:rPr>
              <w:t>⑧其他：无。</w:t>
            </w:r>
          </w:p>
        </w:tc>
      </w:tr>
    </w:tbl>
    <w:p>
      <w:pPr>
        <w:pStyle w:val="6"/>
        <w:keepNext w:val="0"/>
        <w:keepLines w:val="0"/>
        <w:widowControl/>
        <w:suppressLineNumbers w:val="0"/>
        <w:spacing w:before="75" w:beforeAutospacing="0" w:after="75" w:afterAutospacing="0"/>
        <w:ind w:left="0" w:right="0" w:firstLine="0"/>
        <w:jc w:val="center"/>
        <w:rPr>
          <w:rFonts w:hint="eastAsia" w:ascii="宋体" w:hAnsi="宋体" w:eastAsia="宋体" w:cs="宋体"/>
          <w:sz w:val="24"/>
          <w:szCs w:val="24"/>
        </w:rPr>
      </w:pPr>
      <w:r>
        <w:rPr>
          <w:rStyle w:val="10"/>
          <w:rFonts w:hint="eastAsia" w:ascii="宋体" w:hAnsi="宋体" w:eastAsia="宋体" w:cs="宋体"/>
          <w:spacing w:val="0"/>
          <w:sz w:val="24"/>
          <w:szCs w:val="24"/>
        </w:rPr>
        <w:t>第三章   投标人须知</w:t>
      </w:r>
    </w:p>
    <w:p>
      <w:pPr>
        <w:pStyle w:val="6"/>
        <w:keepNext w:val="0"/>
        <w:keepLines w:val="0"/>
        <w:widowControl/>
        <w:suppressLineNumbers w:val="0"/>
        <w:spacing w:before="75" w:beforeAutospacing="0" w:after="75" w:afterAutospacing="0"/>
        <w:ind w:left="0" w:right="0" w:firstLine="0"/>
        <w:rPr>
          <w:rFonts w:hint="eastAsia" w:ascii="宋体" w:hAnsi="宋体" w:eastAsia="宋体" w:cs="宋体"/>
          <w:sz w:val="24"/>
          <w:szCs w:val="24"/>
        </w:rPr>
      </w:pPr>
      <w:r>
        <w:rPr>
          <w:rFonts w:hint="eastAsia" w:ascii="宋体" w:hAnsi="宋体" w:eastAsia="宋体" w:cs="宋体"/>
          <w:spacing w:val="0"/>
          <w:sz w:val="24"/>
          <w:szCs w:val="24"/>
        </w:rPr>
        <w:t> </w:t>
      </w:r>
    </w:p>
    <w:p>
      <w:pPr>
        <w:pStyle w:val="6"/>
        <w:keepNext w:val="0"/>
        <w:keepLines w:val="0"/>
        <w:widowControl/>
        <w:suppressLineNumbers w:val="0"/>
        <w:spacing w:before="75" w:beforeAutospacing="0" w:after="75" w:afterAutospacing="0"/>
        <w:ind w:left="0" w:right="0" w:firstLine="0"/>
        <w:jc w:val="center"/>
        <w:rPr>
          <w:rFonts w:hint="eastAsia" w:ascii="宋体" w:hAnsi="宋体" w:eastAsia="宋体" w:cs="宋体"/>
          <w:sz w:val="24"/>
          <w:szCs w:val="24"/>
        </w:rPr>
      </w:pPr>
      <w:r>
        <w:rPr>
          <w:rStyle w:val="10"/>
          <w:rFonts w:hint="eastAsia" w:ascii="宋体" w:hAnsi="宋体" w:eastAsia="宋体" w:cs="宋体"/>
          <w:spacing w:val="0"/>
          <w:sz w:val="24"/>
          <w:szCs w:val="24"/>
        </w:rPr>
        <w:t>一、总则</w:t>
      </w:r>
    </w:p>
    <w:p>
      <w:pPr>
        <w:pStyle w:val="6"/>
        <w:keepNext w:val="0"/>
        <w:keepLines w:val="0"/>
        <w:widowControl/>
        <w:suppressLineNumbers w:val="0"/>
        <w:spacing w:before="75" w:beforeAutospacing="0" w:after="75" w:afterAutospacing="0"/>
        <w:ind w:left="0" w:right="0" w:firstLine="0"/>
        <w:rPr>
          <w:rFonts w:hint="eastAsia" w:ascii="宋体" w:hAnsi="宋体" w:eastAsia="宋体" w:cs="宋体"/>
          <w:sz w:val="24"/>
          <w:szCs w:val="24"/>
        </w:rPr>
      </w:pPr>
      <w:r>
        <w:rPr>
          <w:rFonts w:hint="eastAsia" w:ascii="宋体" w:hAnsi="宋体" w:eastAsia="宋体" w:cs="宋体"/>
          <w:spacing w:val="0"/>
          <w:sz w:val="24"/>
          <w:szCs w:val="24"/>
        </w:rPr>
        <w:t>1、适用范围</w:t>
      </w:r>
    </w:p>
    <w:p>
      <w:pPr>
        <w:pStyle w:val="6"/>
        <w:keepNext w:val="0"/>
        <w:keepLines w:val="0"/>
        <w:widowControl/>
        <w:suppressLineNumbers w:val="0"/>
        <w:spacing w:before="75" w:beforeAutospacing="0" w:after="75" w:afterAutospacing="0"/>
        <w:ind w:left="0" w:right="0" w:firstLine="0"/>
        <w:rPr>
          <w:rFonts w:hint="eastAsia" w:ascii="宋体" w:hAnsi="宋体" w:eastAsia="宋体" w:cs="宋体"/>
          <w:sz w:val="24"/>
          <w:szCs w:val="24"/>
        </w:rPr>
      </w:pPr>
      <w:r>
        <w:rPr>
          <w:rFonts w:hint="eastAsia" w:ascii="宋体" w:hAnsi="宋体" w:eastAsia="宋体" w:cs="宋体"/>
          <w:spacing w:val="0"/>
          <w:sz w:val="24"/>
          <w:szCs w:val="24"/>
        </w:rPr>
        <w:t>1.1适用于招标文件载明项目的政府采购活动（以下简称：“本次采购活动”）。</w:t>
      </w:r>
    </w:p>
    <w:p>
      <w:pPr>
        <w:pStyle w:val="6"/>
        <w:keepNext w:val="0"/>
        <w:keepLines w:val="0"/>
        <w:widowControl/>
        <w:suppressLineNumbers w:val="0"/>
        <w:spacing w:before="75" w:beforeAutospacing="0" w:after="75" w:afterAutospacing="0"/>
        <w:ind w:left="0" w:right="0" w:firstLine="0"/>
        <w:rPr>
          <w:rFonts w:hint="eastAsia" w:ascii="宋体" w:hAnsi="宋体" w:eastAsia="宋体" w:cs="宋体"/>
          <w:sz w:val="24"/>
          <w:szCs w:val="24"/>
        </w:rPr>
      </w:pPr>
      <w:r>
        <w:rPr>
          <w:rFonts w:hint="eastAsia" w:ascii="宋体" w:hAnsi="宋体" w:eastAsia="宋体" w:cs="宋体"/>
          <w:spacing w:val="0"/>
          <w:sz w:val="24"/>
          <w:szCs w:val="24"/>
        </w:rPr>
        <w:t>2、定义</w:t>
      </w:r>
    </w:p>
    <w:p>
      <w:pPr>
        <w:pStyle w:val="6"/>
        <w:keepNext w:val="0"/>
        <w:keepLines w:val="0"/>
        <w:widowControl/>
        <w:suppressLineNumbers w:val="0"/>
        <w:spacing w:before="75" w:beforeAutospacing="0" w:after="75" w:afterAutospacing="0"/>
        <w:ind w:left="0" w:right="0" w:firstLine="0"/>
        <w:rPr>
          <w:rFonts w:hint="eastAsia" w:ascii="宋体" w:hAnsi="宋体" w:eastAsia="宋体" w:cs="宋体"/>
          <w:sz w:val="24"/>
          <w:szCs w:val="24"/>
        </w:rPr>
      </w:pPr>
      <w:r>
        <w:rPr>
          <w:rFonts w:hint="eastAsia" w:ascii="宋体" w:hAnsi="宋体" w:eastAsia="宋体" w:cs="宋体"/>
          <w:spacing w:val="0"/>
          <w:sz w:val="24"/>
          <w:szCs w:val="24"/>
        </w:rPr>
        <w:t>2.1“采购标的”指招标文件载明的需要采购的货物或服务。</w:t>
      </w:r>
    </w:p>
    <w:p>
      <w:pPr>
        <w:pStyle w:val="6"/>
        <w:keepNext w:val="0"/>
        <w:keepLines w:val="0"/>
        <w:widowControl/>
        <w:suppressLineNumbers w:val="0"/>
        <w:spacing w:before="75" w:beforeAutospacing="0" w:after="75" w:afterAutospacing="0"/>
        <w:ind w:left="0" w:right="0" w:firstLine="0"/>
        <w:rPr>
          <w:rFonts w:hint="eastAsia" w:ascii="宋体" w:hAnsi="宋体" w:eastAsia="宋体" w:cs="宋体"/>
          <w:sz w:val="24"/>
          <w:szCs w:val="24"/>
        </w:rPr>
      </w:pPr>
      <w:r>
        <w:rPr>
          <w:rFonts w:hint="eastAsia" w:ascii="宋体" w:hAnsi="宋体" w:eastAsia="宋体" w:cs="宋体"/>
          <w:spacing w:val="0"/>
          <w:sz w:val="24"/>
          <w:szCs w:val="24"/>
        </w:rPr>
        <w:t>2.2“潜在投标人”指按照招标文件第一章第7条规定进行报名且有意向参加本项目投标的供应商。</w:t>
      </w:r>
    </w:p>
    <w:p>
      <w:pPr>
        <w:pStyle w:val="6"/>
        <w:keepNext w:val="0"/>
        <w:keepLines w:val="0"/>
        <w:widowControl/>
        <w:suppressLineNumbers w:val="0"/>
        <w:spacing w:before="75" w:beforeAutospacing="0" w:after="75" w:afterAutospacing="0"/>
        <w:ind w:left="0" w:right="0" w:firstLine="0"/>
        <w:rPr>
          <w:rFonts w:hint="eastAsia" w:ascii="宋体" w:hAnsi="宋体" w:eastAsia="宋体" w:cs="宋体"/>
          <w:sz w:val="24"/>
          <w:szCs w:val="24"/>
        </w:rPr>
      </w:pPr>
      <w:r>
        <w:rPr>
          <w:rFonts w:hint="eastAsia" w:ascii="宋体" w:hAnsi="宋体" w:eastAsia="宋体" w:cs="宋体"/>
          <w:spacing w:val="0"/>
          <w:sz w:val="24"/>
          <w:szCs w:val="24"/>
        </w:rPr>
        <w:t>2.3“投标人”指按照招标文件第一章第7条规定进行报名并参加本项目投标的供应商。</w:t>
      </w:r>
    </w:p>
    <w:p>
      <w:pPr>
        <w:pStyle w:val="6"/>
        <w:keepNext w:val="0"/>
        <w:keepLines w:val="0"/>
        <w:widowControl/>
        <w:suppressLineNumbers w:val="0"/>
        <w:spacing w:before="75" w:beforeAutospacing="0" w:after="75" w:afterAutospacing="0"/>
        <w:ind w:left="0" w:right="0" w:firstLine="0"/>
        <w:rPr>
          <w:rFonts w:hint="eastAsia" w:ascii="宋体" w:hAnsi="宋体" w:eastAsia="宋体" w:cs="宋体"/>
          <w:sz w:val="24"/>
          <w:szCs w:val="24"/>
        </w:rPr>
      </w:pPr>
      <w:r>
        <w:rPr>
          <w:rFonts w:hint="eastAsia" w:ascii="宋体" w:hAnsi="宋体" w:eastAsia="宋体" w:cs="宋体"/>
          <w:spacing w:val="0"/>
          <w:sz w:val="24"/>
          <w:szCs w:val="24"/>
        </w:rPr>
        <w:t>2.4“单位负责人”指单位法定代表人或法律、法规规定代表单位行使职权的主要负责人。</w:t>
      </w:r>
    </w:p>
    <w:p>
      <w:pPr>
        <w:pStyle w:val="6"/>
        <w:keepNext w:val="0"/>
        <w:keepLines w:val="0"/>
        <w:widowControl/>
        <w:suppressLineNumbers w:val="0"/>
        <w:spacing w:before="75" w:beforeAutospacing="0" w:after="75" w:afterAutospacing="0"/>
        <w:ind w:left="0" w:right="0" w:firstLine="0"/>
        <w:rPr>
          <w:rFonts w:hint="eastAsia" w:ascii="宋体" w:hAnsi="宋体" w:eastAsia="宋体" w:cs="宋体"/>
          <w:sz w:val="24"/>
          <w:szCs w:val="24"/>
        </w:rPr>
      </w:pPr>
      <w:r>
        <w:rPr>
          <w:rFonts w:hint="eastAsia" w:ascii="宋体" w:hAnsi="宋体" w:eastAsia="宋体" w:cs="宋体"/>
          <w:spacing w:val="0"/>
          <w:sz w:val="24"/>
          <w:szCs w:val="24"/>
        </w:rPr>
        <w:t>2.5“投标人代表”指投标人的单位负责人或“单位负责人授权书”中载明的接受授权方。</w:t>
      </w:r>
    </w:p>
    <w:p>
      <w:pPr>
        <w:pStyle w:val="6"/>
        <w:keepNext w:val="0"/>
        <w:keepLines w:val="0"/>
        <w:widowControl/>
        <w:suppressLineNumbers w:val="0"/>
        <w:spacing w:before="75" w:beforeAutospacing="0" w:after="75" w:afterAutospacing="0"/>
        <w:ind w:left="0" w:right="0" w:firstLine="0"/>
        <w:rPr>
          <w:rFonts w:hint="eastAsia" w:ascii="宋体" w:hAnsi="宋体" w:eastAsia="宋体" w:cs="宋体"/>
          <w:sz w:val="24"/>
          <w:szCs w:val="24"/>
        </w:rPr>
      </w:pPr>
      <w:r>
        <w:rPr>
          <w:rFonts w:hint="eastAsia" w:ascii="宋体" w:hAnsi="宋体" w:eastAsia="宋体" w:cs="宋体"/>
          <w:spacing w:val="0"/>
          <w:sz w:val="24"/>
          <w:szCs w:val="24"/>
        </w:rPr>
        <w:t> </w:t>
      </w:r>
    </w:p>
    <w:p>
      <w:pPr>
        <w:pStyle w:val="6"/>
        <w:keepNext w:val="0"/>
        <w:keepLines w:val="0"/>
        <w:widowControl/>
        <w:suppressLineNumbers w:val="0"/>
        <w:spacing w:before="75" w:beforeAutospacing="0" w:after="75" w:afterAutospacing="0"/>
        <w:ind w:left="0" w:right="0" w:firstLine="0"/>
        <w:jc w:val="center"/>
        <w:rPr>
          <w:rFonts w:hint="eastAsia" w:ascii="宋体" w:hAnsi="宋体" w:eastAsia="宋体" w:cs="宋体"/>
          <w:sz w:val="24"/>
          <w:szCs w:val="24"/>
        </w:rPr>
      </w:pPr>
      <w:r>
        <w:rPr>
          <w:rStyle w:val="10"/>
          <w:rFonts w:hint="eastAsia" w:ascii="宋体" w:hAnsi="宋体" w:eastAsia="宋体" w:cs="宋体"/>
          <w:spacing w:val="0"/>
          <w:sz w:val="24"/>
          <w:szCs w:val="24"/>
        </w:rPr>
        <w:t>二、投标人</w:t>
      </w:r>
    </w:p>
    <w:p>
      <w:pPr>
        <w:pStyle w:val="6"/>
        <w:keepNext w:val="0"/>
        <w:keepLines w:val="0"/>
        <w:widowControl/>
        <w:suppressLineNumbers w:val="0"/>
        <w:spacing w:before="75" w:beforeAutospacing="0" w:after="75" w:afterAutospacing="0"/>
        <w:ind w:left="0" w:right="0" w:firstLine="0"/>
        <w:rPr>
          <w:rFonts w:hint="eastAsia" w:ascii="宋体" w:hAnsi="宋体" w:eastAsia="宋体" w:cs="宋体"/>
          <w:sz w:val="24"/>
          <w:szCs w:val="24"/>
        </w:rPr>
      </w:pPr>
      <w:r>
        <w:rPr>
          <w:rFonts w:hint="eastAsia" w:ascii="宋体" w:hAnsi="宋体" w:eastAsia="宋体" w:cs="宋体"/>
          <w:spacing w:val="0"/>
          <w:sz w:val="24"/>
          <w:szCs w:val="24"/>
        </w:rPr>
        <w:t>3、合格投标人</w:t>
      </w:r>
    </w:p>
    <w:p>
      <w:pPr>
        <w:pStyle w:val="6"/>
        <w:keepNext w:val="0"/>
        <w:keepLines w:val="0"/>
        <w:widowControl/>
        <w:suppressLineNumbers w:val="0"/>
        <w:spacing w:before="75" w:beforeAutospacing="0" w:after="75" w:afterAutospacing="0"/>
        <w:ind w:left="0" w:right="0" w:firstLine="0"/>
        <w:rPr>
          <w:rFonts w:hint="eastAsia" w:ascii="宋体" w:hAnsi="宋体" w:eastAsia="宋体" w:cs="宋体"/>
          <w:sz w:val="24"/>
          <w:szCs w:val="24"/>
        </w:rPr>
      </w:pPr>
      <w:r>
        <w:rPr>
          <w:rFonts w:hint="eastAsia" w:ascii="宋体" w:hAnsi="宋体" w:eastAsia="宋体" w:cs="宋体"/>
          <w:spacing w:val="0"/>
          <w:sz w:val="24"/>
          <w:szCs w:val="24"/>
        </w:rPr>
        <w:t>3.1一般规定</w:t>
      </w:r>
    </w:p>
    <w:p>
      <w:pPr>
        <w:pStyle w:val="6"/>
        <w:keepNext w:val="0"/>
        <w:keepLines w:val="0"/>
        <w:widowControl/>
        <w:suppressLineNumbers w:val="0"/>
        <w:spacing w:before="75" w:beforeAutospacing="0" w:after="75" w:afterAutospacing="0"/>
        <w:ind w:left="0" w:right="0" w:firstLine="480"/>
        <w:rPr>
          <w:rFonts w:hint="eastAsia" w:ascii="宋体" w:hAnsi="宋体" w:eastAsia="宋体" w:cs="宋体"/>
          <w:sz w:val="24"/>
          <w:szCs w:val="24"/>
        </w:rPr>
      </w:pPr>
      <w:r>
        <w:rPr>
          <w:rFonts w:hint="eastAsia" w:ascii="宋体" w:hAnsi="宋体" w:eastAsia="宋体" w:cs="宋体"/>
          <w:spacing w:val="0"/>
          <w:sz w:val="24"/>
          <w:szCs w:val="24"/>
        </w:rPr>
        <w:t>（1）投标人应遵守政府采购法及实施条例、政府采购招投标管理办法及财政部、福建省财政厅有关政府采购文件的规定，同时还应遵守有关法律、法规和规章的强制性规定。</w:t>
      </w:r>
    </w:p>
    <w:p>
      <w:pPr>
        <w:pStyle w:val="6"/>
        <w:keepNext w:val="0"/>
        <w:keepLines w:val="0"/>
        <w:widowControl/>
        <w:suppressLineNumbers w:val="0"/>
        <w:spacing w:before="75" w:beforeAutospacing="0" w:after="75" w:afterAutospacing="0"/>
        <w:ind w:left="0" w:right="0" w:firstLine="480"/>
        <w:rPr>
          <w:rFonts w:hint="eastAsia" w:ascii="宋体" w:hAnsi="宋体" w:eastAsia="宋体" w:cs="宋体"/>
          <w:sz w:val="24"/>
          <w:szCs w:val="24"/>
        </w:rPr>
      </w:pPr>
      <w:r>
        <w:rPr>
          <w:rFonts w:hint="eastAsia" w:ascii="宋体" w:hAnsi="宋体" w:eastAsia="宋体" w:cs="宋体"/>
          <w:spacing w:val="0"/>
          <w:sz w:val="24"/>
          <w:szCs w:val="24"/>
        </w:rPr>
        <w:t>（2）投标人的资格要求：详见招标文件第一章。</w:t>
      </w:r>
    </w:p>
    <w:p>
      <w:pPr>
        <w:pStyle w:val="6"/>
        <w:keepNext w:val="0"/>
        <w:keepLines w:val="0"/>
        <w:widowControl/>
        <w:suppressLineNumbers w:val="0"/>
        <w:spacing w:before="75" w:beforeAutospacing="0" w:after="75" w:afterAutospacing="0"/>
        <w:ind w:left="0" w:right="0" w:firstLine="0"/>
        <w:rPr>
          <w:rFonts w:hint="eastAsia" w:ascii="宋体" w:hAnsi="宋体" w:eastAsia="宋体" w:cs="宋体"/>
          <w:sz w:val="24"/>
          <w:szCs w:val="24"/>
        </w:rPr>
      </w:pPr>
      <w:r>
        <w:rPr>
          <w:rFonts w:hint="eastAsia" w:ascii="宋体" w:hAnsi="宋体" w:eastAsia="宋体" w:cs="宋体"/>
          <w:spacing w:val="0"/>
          <w:sz w:val="24"/>
          <w:szCs w:val="24"/>
        </w:rPr>
        <w:t>3.2若本项目接受联合体投标且投标人为联合体，则联合体各方应遵守本章第3.1条规定，同时还应遵守下列规定：</w:t>
      </w:r>
    </w:p>
    <w:p>
      <w:pPr>
        <w:pStyle w:val="6"/>
        <w:keepNext w:val="0"/>
        <w:keepLines w:val="0"/>
        <w:widowControl/>
        <w:suppressLineNumbers w:val="0"/>
        <w:spacing w:before="75" w:beforeAutospacing="0" w:after="75" w:afterAutospacing="0"/>
        <w:ind w:left="0" w:right="0" w:firstLine="480"/>
        <w:rPr>
          <w:rFonts w:hint="eastAsia" w:ascii="宋体" w:hAnsi="宋体" w:eastAsia="宋体" w:cs="宋体"/>
          <w:sz w:val="24"/>
          <w:szCs w:val="24"/>
        </w:rPr>
      </w:pPr>
      <w:r>
        <w:rPr>
          <w:rFonts w:hint="eastAsia" w:ascii="宋体" w:hAnsi="宋体" w:eastAsia="宋体" w:cs="宋体"/>
          <w:spacing w:val="0"/>
          <w:sz w:val="24"/>
          <w:szCs w:val="24"/>
        </w:rPr>
        <w:t>（1）联合体各方应提交联合体协议，联合体协议应符合招标文件规定。</w:t>
      </w:r>
    </w:p>
    <w:p>
      <w:pPr>
        <w:pStyle w:val="6"/>
        <w:keepNext w:val="0"/>
        <w:keepLines w:val="0"/>
        <w:widowControl/>
        <w:suppressLineNumbers w:val="0"/>
        <w:spacing w:before="75" w:beforeAutospacing="0" w:after="75" w:afterAutospacing="0"/>
        <w:ind w:left="0" w:right="0" w:firstLine="480"/>
        <w:rPr>
          <w:rFonts w:hint="eastAsia" w:ascii="宋体" w:hAnsi="宋体" w:eastAsia="宋体" w:cs="宋体"/>
          <w:sz w:val="24"/>
          <w:szCs w:val="24"/>
        </w:rPr>
      </w:pPr>
      <w:r>
        <w:rPr>
          <w:rFonts w:hint="eastAsia" w:ascii="宋体" w:hAnsi="宋体" w:eastAsia="宋体" w:cs="宋体"/>
          <w:spacing w:val="0"/>
          <w:sz w:val="24"/>
          <w:szCs w:val="24"/>
        </w:rPr>
        <w:t>（2）联合体各方不得再单独参加或与其他供应商另外组成联合体参加同一合同项下的投标。</w:t>
      </w:r>
    </w:p>
    <w:p>
      <w:pPr>
        <w:pStyle w:val="6"/>
        <w:keepNext w:val="0"/>
        <w:keepLines w:val="0"/>
        <w:widowControl/>
        <w:suppressLineNumbers w:val="0"/>
        <w:spacing w:before="75" w:beforeAutospacing="0" w:after="75" w:afterAutospacing="0"/>
        <w:ind w:left="0" w:right="0" w:firstLine="480"/>
        <w:rPr>
          <w:rFonts w:hint="eastAsia" w:ascii="宋体" w:hAnsi="宋体" w:eastAsia="宋体" w:cs="宋体"/>
          <w:sz w:val="24"/>
          <w:szCs w:val="24"/>
        </w:rPr>
      </w:pPr>
      <w:r>
        <w:rPr>
          <w:rFonts w:hint="eastAsia" w:ascii="宋体" w:hAnsi="宋体" w:eastAsia="宋体" w:cs="宋体"/>
          <w:spacing w:val="0"/>
          <w:sz w:val="24"/>
          <w:szCs w:val="24"/>
        </w:rPr>
        <w:t>（3）联合体各方应共同与采购人签订政府采购合同，就政府采购合同约定的事项对采购人承担连带责任。</w:t>
      </w:r>
    </w:p>
    <w:p>
      <w:pPr>
        <w:pStyle w:val="6"/>
        <w:keepNext w:val="0"/>
        <w:keepLines w:val="0"/>
        <w:widowControl/>
        <w:suppressLineNumbers w:val="0"/>
        <w:spacing w:before="75" w:beforeAutospacing="0" w:after="75" w:afterAutospacing="0"/>
        <w:ind w:left="0" w:right="0" w:firstLine="0"/>
        <w:rPr>
          <w:rFonts w:hint="eastAsia" w:ascii="宋体" w:hAnsi="宋体" w:eastAsia="宋体" w:cs="宋体"/>
          <w:sz w:val="24"/>
          <w:szCs w:val="24"/>
        </w:rPr>
      </w:pPr>
      <w:r>
        <w:rPr>
          <w:rFonts w:hint="eastAsia" w:ascii="宋体" w:hAnsi="宋体" w:eastAsia="宋体" w:cs="宋体"/>
          <w:spacing w:val="0"/>
          <w:sz w:val="24"/>
          <w:szCs w:val="24"/>
        </w:rPr>
        <w:t>4、投标费用</w:t>
      </w:r>
    </w:p>
    <w:p>
      <w:pPr>
        <w:pStyle w:val="6"/>
        <w:keepNext w:val="0"/>
        <w:keepLines w:val="0"/>
        <w:widowControl/>
        <w:suppressLineNumbers w:val="0"/>
        <w:spacing w:before="75" w:beforeAutospacing="0" w:after="75" w:afterAutospacing="0"/>
        <w:ind w:left="0" w:right="0" w:firstLine="0"/>
        <w:rPr>
          <w:rFonts w:hint="eastAsia" w:ascii="宋体" w:hAnsi="宋体" w:eastAsia="宋体" w:cs="宋体"/>
          <w:sz w:val="24"/>
          <w:szCs w:val="24"/>
        </w:rPr>
      </w:pPr>
      <w:r>
        <w:rPr>
          <w:rFonts w:hint="eastAsia" w:ascii="宋体" w:hAnsi="宋体" w:eastAsia="宋体" w:cs="宋体"/>
          <w:spacing w:val="0"/>
          <w:sz w:val="24"/>
          <w:szCs w:val="24"/>
        </w:rPr>
        <w:t>4.1除招标文件另有规定外，投标人应自行承担其参加本项目投标所涉及的一切费用。</w:t>
      </w:r>
    </w:p>
    <w:p>
      <w:pPr>
        <w:pStyle w:val="6"/>
        <w:keepNext w:val="0"/>
        <w:keepLines w:val="0"/>
        <w:widowControl/>
        <w:suppressLineNumbers w:val="0"/>
        <w:spacing w:before="75" w:beforeAutospacing="0" w:after="75" w:afterAutospacing="0"/>
        <w:ind w:left="0" w:right="0" w:firstLine="0"/>
        <w:rPr>
          <w:rFonts w:hint="eastAsia" w:ascii="宋体" w:hAnsi="宋体" w:eastAsia="宋体" w:cs="宋体"/>
          <w:sz w:val="24"/>
          <w:szCs w:val="24"/>
        </w:rPr>
      </w:pPr>
      <w:r>
        <w:rPr>
          <w:rFonts w:hint="eastAsia" w:ascii="宋体" w:hAnsi="宋体" w:eastAsia="宋体" w:cs="宋体"/>
          <w:spacing w:val="0"/>
          <w:sz w:val="24"/>
          <w:szCs w:val="24"/>
        </w:rPr>
        <w:t> </w:t>
      </w:r>
    </w:p>
    <w:p>
      <w:pPr>
        <w:pStyle w:val="6"/>
        <w:keepNext w:val="0"/>
        <w:keepLines w:val="0"/>
        <w:widowControl/>
        <w:suppressLineNumbers w:val="0"/>
        <w:spacing w:before="75" w:beforeAutospacing="0" w:after="75" w:afterAutospacing="0"/>
        <w:ind w:left="0" w:right="0" w:firstLine="0"/>
        <w:jc w:val="center"/>
        <w:rPr>
          <w:rFonts w:hint="eastAsia" w:ascii="宋体" w:hAnsi="宋体" w:eastAsia="宋体" w:cs="宋体"/>
          <w:sz w:val="24"/>
          <w:szCs w:val="24"/>
        </w:rPr>
      </w:pPr>
      <w:r>
        <w:rPr>
          <w:rStyle w:val="10"/>
          <w:rFonts w:hint="eastAsia" w:ascii="宋体" w:hAnsi="宋体" w:eastAsia="宋体" w:cs="宋体"/>
          <w:spacing w:val="0"/>
          <w:sz w:val="24"/>
          <w:szCs w:val="24"/>
        </w:rPr>
        <w:t>三、招标</w:t>
      </w:r>
    </w:p>
    <w:p>
      <w:pPr>
        <w:pStyle w:val="6"/>
        <w:keepNext w:val="0"/>
        <w:keepLines w:val="0"/>
        <w:widowControl/>
        <w:suppressLineNumbers w:val="0"/>
        <w:spacing w:before="75" w:beforeAutospacing="0" w:after="75" w:afterAutospacing="0"/>
        <w:ind w:left="0" w:right="0" w:firstLine="0"/>
        <w:rPr>
          <w:rFonts w:hint="eastAsia" w:ascii="宋体" w:hAnsi="宋体" w:eastAsia="宋体" w:cs="宋体"/>
          <w:sz w:val="24"/>
          <w:szCs w:val="24"/>
        </w:rPr>
      </w:pPr>
      <w:r>
        <w:rPr>
          <w:rFonts w:hint="eastAsia" w:ascii="宋体" w:hAnsi="宋体" w:eastAsia="宋体" w:cs="宋体"/>
          <w:spacing w:val="0"/>
          <w:sz w:val="24"/>
          <w:szCs w:val="24"/>
        </w:rPr>
        <w:t>5、招标文件</w:t>
      </w:r>
    </w:p>
    <w:p>
      <w:pPr>
        <w:pStyle w:val="6"/>
        <w:keepNext w:val="0"/>
        <w:keepLines w:val="0"/>
        <w:widowControl/>
        <w:suppressLineNumbers w:val="0"/>
        <w:spacing w:before="75" w:beforeAutospacing="0" w:after="75" w:afterAutospacing="0"/>
        <w:ind w:left="0" w:right="0" w:firstLine="0"/>
        <w:rPr>
          <w:rFonts w:hint="eastAsia" w:ascii="宋体" w:hAnsi="宋体" w:eastAsia="宋体" w:cs="宋体"/>
          <w:sz w:val="24"/>
          <w:szCs w:val="24"/>
        </w:rPr>
      </w:pPr>
      <w:r>
        <w:rPr>
          <w:rFonts w:hint="eastAsia" w:ascii="宋体" w:hAnsi="宋体" w:eastAsia="宋体" w:cs="宋体"/>
          <w:spacing w:val="0"/>
          <w:sz w:val="24"/>
          <w:szCs w:val="24"/>
        </w:rPr>
        <w:t>5.1招标文件由下述部分组成：</w:t>
      </w:r>
    </w:p>
    <w:p>
      <w:pPr>
        <w:pStyle w:val="6"/>
        <w:keepNext w:val="0"/>
        <w:keepLines w:val="0"/>
        <w:widowControl/>
        <w:suppressLineNumbers w:val="0"/>
        <w:spacing w:before="75" w:beforeAutospacing="0" w:after="75" w:afterAutospacing="0"/>
        <w:ind w:left="0" w:right="0" w:firstLine="480"/>
        <w:rPr>
          <w:rFonts w:hint="eastAsia" w:ascii="宋体" w:hAnsi="宋体" w:eastAsia="宋体" w:cs="宋体"/>
          <w:sz w:val="24"/>
          <w:szCs w:val="24"/>
        </w:rPr>
      </w:pPr>
      <w:r>
        <w:rPr>
          <w:rFonts w:hint="eastAsia" w:ascii="宋体" w:hAnsi="宋体" w:eastAsia="宋体" w:cs="宋体"/>
          <w:spacing w:val="0"/>
          <w:sz w:val="24"/>
          <w:szCs w:val="24"/>
        </w:rPr>
        <w:t>（1）投标邀请</w:t>
      </w:r>
    </w:p>
    <w:p>
      <w:pPr>
        <w:pStyle w:val="6"/>
        <w:keepNext w:val="0"/>
        <w:keepLines w:val="0"/>
        <w:widowControl/>
        <w:suppressLineNumbers w:val="0"/>
        <w:spacing w:before="75" w:beforeAutospacing="0" w:after="75" w:afterAutospacing="0"/>
        <w:ind w:left="0" w:right="0" w:firstLine="480"/>
        <w:rPr>
          <w:rFonts w:hint="eastAsia" w:ascii="宋体" w:hAnsi="宋体" w:eastAsia="宋体" w:cs="宋体"/>
          <w:sz w:val="24"/>
          <w:szCs w:val="24"/>
        </w:rPr>
      </w:pPr>
      <w:r>
        <w:rPr>
          <w:rFonts w:hint="eastAsia" w:ascii="宋体" w:hAnsi="宋体" w:eastAsia="宋体" w:cs="宋体"/>
          <w:spacing w:val="0"/>
          <w:sz w:val="24"/>
          <w:szCs w:val="24"/>
        </w:rPr>
        <w:t>（2）投标人须知前附表（表1、2）</w:t>
      </w:r>
    </w:p>
    <w:p>
      <w:pPr>
        <w:pStyle w:val="6"/>
        <w:keepNext w:val="0"/>
        <w:keepLines w:val="0"/>
        <w:widowControl/>
        <w:suppressLineNumbers w:val="0"/>
        <w:spacing w:before="75" w:beforeAutospacing="0" w:after="75" w:afterAutospacing="0"/>
        <w:ind w:left="0" w:right="0" w:firstLine="480"/>
        <w:rPr>
          <w:rFonts w:hint="eastAsia" w:ascii="宋体" w:hAnsi="宋体" w:eastAsia="宋体" w:cs="宋体"/>
          <w:sz w:val="24"/>
          <w:szCs w:val="24"/>
        </w:rPr>
      </w:pPr>
      <w:r>
        <w:rPr>
          <w:rFonts w:hint="eastAsia" w:ascii="宋体" w:hAnsi="宋体" w:eastAsia="宋体" w:cs="宋体"/>
          <w:spacing w:val="0"/>
          <w:sz w:val="24"/>
          <w:szCs w:val="24"/>
        </w:rPr>
        <w:t>（3）投标人须知</w:t>
      </w:r>
    </w:p>
    <w:p>
      <w:pPr>
        <w:pStyle w:val="6"/>
        <w:keepNext w:val="0"/>
        <w:keepLines w:val="0"/>
        <w:widowControl/>
        <w:suppressLineNumbers w:val="0"/>
        <w:spacing w:before="75" w:beforeAutospacing="0" w:after="75" w:afterAutospacing="0"/>
        <w:ind w:left="0" w:right="0" w:firstLine="480"/>
        <w:rPr>
          <w:rFonts w:hint="eastAsia" w:ascii="宋体" w:hAnsi="宋体" w:eastAsia="宋体" w:cs="宋体"/>
          <w:sz w:val="24"/>
          <w:szCs w:val="24"/>
        </w:rPr>
      </w:pPr>
      <w:r>
        <w:rPr>
          <w:rFonts w:hint="eastAsia" w:ascii="宋体" w:hAnsi="宋体" w:eastAsia="宋体" w:cs="宋体"/>
          <w:spacing w:val="0"/>
          <w:sz w:val="24"/>
          <w:szCs w:val="24"/>
        </w:rPr>
        <w:t>（4）资格审查与评标</w:t>
      </w:r>
    </w:p>
    <w:p>
      <w:pPr>
        <w:pStyle w:val="6"/>
        <w:keepNext w:val="0"/>
        <w:keepLines w:val="0"/>
        <w:widowControl/>
        <w:suppressLineNumbers w:val="0"/>
        <w:spacing w:before="75" w:beforeAutospacing="0" w:after="75" w:afterAutospacing="0"/>
        <w:ind w:left="0" w:right="0" w:firstLine="480"/>
        <w:rPr>
          <w:rFonts w:hint="eastAsia" w:ascii="宋体" w:hAnsi="宋体" w:eastAsia="宋体" w:cs="宋体"/>
          <w:sz w:val="24"/>
          <w:szCs w:val="24"/>
        </w:rPr>
      </w:pPr>
      <w:r>
        <w:rPr>
          <w:rFonts w:hint="eastAsia" w:ascii="宋体" w:hAnsi="宋体" w:eastAsia="宋体" w:cs="宋体"/>
          <w:spacing w:val="0"/>
          <w:sz w:val="24"/>
          <w:szCs w:val="24"/>
        </w:rPr>
        <w:t>（5）招标内容及要求</w:t>
      </w:r>
    </w:p>
    <w:p>
      <w:pPr>
        <w:pStyle w:val="6"/>
        <w:keepNext w:val="0"/>
        <w:keepLines w:val="0"/>
        <w:widowControl/>
        <w:suppressLineNumbers w:val="0"/>
        <w:spacing w:before="75" w:beforeAutospacing="0" w:after="75" w:afterAutospacing="0"/>
        <w:ind w:left="0" w:right="0" w:firstLine="480"/>
        <w:rPr>
          <w:rFonts w:hint="eastAsia" w:ascii="宋体" w:hAnsi="宋体" w:eastAsia="宋体" w:cs="宋体"/>
          <w:sz w:val="24"/>
          <w:szCs w:val="24"/>
        </w:rPr>
      </w:pPr>
      <w:r>
        <w:rPr>
          <w:rFonts w:hint="eastAsia" w:ascii="宋体" w:hAnsi="宋体" w:eastAsia="宋体" w:cs="宋体"/>
          <w:spacing w:val="0"/>
          <w:sz w:val="24"/>
          <w:szCs w:val="24"/>
        </w:rPr>
        <w:t>（6）政府采购合同（参考文本）</w:t>
      </w:r>
    </w:p>
    <w:p>
      <w:pPr>
        <w:pStyle w:val="6"/>
        <w:keepNext w:val="0"/>
        <w:keepLines w:val="0"/>
        <w:widowControl/>
        <w:suppressLineNumbers w:val="0"/>
        <w:spacing w:before="75" w:beforeAutospacing="0" w:after="75" w:afterAutospacing="0"/>
        <w:ind w:left="0" w:right="0" w:firstLine="480"/>
        <w:rPr>
          <w:rFonts w:hint="eastAsia" w:ascii="宋体" w:hAnsi="宋体" w:eastAsia="宋体" w:cs="宋体"/>
          <w:sz w:val="24"/>
          <w:szCs w:val="24"/>
        </w:rPr>
      </w:pPr>
      <w:r>
        <w:rPr>
          <w:rFonts w:hint="eastAsia" w:ascii="宋体" w:hAnsi="宋体" w:eastAsia="宋体" w:cs="宋体"/>
          <w:spacing w:val="0"/>
          <w:sz w:val="24"/>
          <w:szCs w:val="24"/>
        </w:rPr>
        <w:t>（7）投标文件格式</w:t>
      </w:r>
    </w:p>
    <w:p>
      <w:pPr>
        <w:pStyle w:val="6"/>
        <w:keepNext w:val="0"/>
        <w:keepLines w:val="0"/>
        <w:widowControl/>
        <w:suppressLineNumbers w:val="0"/>
        <w:spacing w:before="75" w:beforeAutospacing="0" w:after="75" w:afterAutospacing="0"/>
        <w:ind w:left="0" w:right="0" w:firstLine="480"/>
        <w:rPr>
          <w:rFonts w:hint="eastAsia" w:ascii="宋体" w:hAnsi="宋体" w:eastAsia="宋体" w:cs="宋体"/>
          <w:sz w:val="24"/>
          <w:szCs w:val="24"/>
        </w:rPr>
      </w:pPr>
      <w:r>
        <w:rPr>
          <w:rFonts w:hint="eastAsia" w:ascii="宋体" w:hAnsi="宋体" w:eastAsia="宋体" w:cs="宋体"/>
          <w:spacing w:val="0"/>
          <w:sz w:val="24"/>
          <w:szCs w:val="24"/>
        </w:rPr>
        <w:t>（8）按照招标文件规定作为招标文件组成部分的其他内容（若有）</w:t>
      </w:r>
    </w:p>
    <w:p>
      <w:pPr>
        <w:pStyle w:val="6"/>
        <w:keepNext w:val="0"/>
        <w:keepLines w:val="0"/>
        <w:widowControl/>
        <w:suppressLineNumbers w:val="0"/>
        <w:spacing w:before="75" w:beforeAutospacing="0" w:after="75" w:afterAutospacing="0"/>
        <w:ind w:left="0" w:right="0" w:firstLine="0"/>
        <w:rPr>
          <w:rFonts w:hint="eastAsia" w:ascii="宋体" w:hAnsi="宋体" w:eastAsia="宋体" w:cs="宋体"/>
          <w:sz w:val="24"/>
          <w:szCs w:val="24"/>
        </w:rPr>
      </w:pPr>
      <w:r>
        <w:rPr>
          <w:rFonts w:hint="eastAsia" w:ascii="宋体" w:hAnsi="宋体" w:eastAsia="宋体" w:cs="宋体"/>
          <w:spacing w:val="0"/>
          <w:sz w:val="24"/>
          <w:szCs w:val="24"/>
        </w:rPr>
        <w:t>5.2招标文件的澄清或修改</w:t>
      </w:r>
    </w:p>
    <w:p>
      <w:pPr>
        <w:pStyle w:val="6"/>
        <w:keepNext w:val="0"/>
        <w:keepLines w:val="0"/>
        <w:widowControl/>
        <w:suppressLineNumbers w:val="0"/>
        <w:spacing w:before="75" w:beforeAutospacing="0" w:after="75" w:afterAutospacing="0"/>
        <w:ind w:left="0" w:right="0" w:firstLine="480"/>
        <w:rPr>
          <w:rFonts w:hint="eastAsia" w:ascii="宋体" w:hAnsi="宋体" w:eastAsia="宋体" w:cs="宋体"/>
          <w:sz w:val="24"/>
          <w:szCs w:val="24"/>
        </w:rPr>
      </w:pPr>
      <w:r>
        <w:rPr>
          <w:rFonts w:hint="eastAsia" w:ascii="宋体" w:hAnsi="宋体" w:eastAsia="宋体" w:cs="宋体"/>
          <w:spacing w:val="0"/>
          <w:sz w:val="24"/>
          <w:szCs w:val="24"/>
        </w:rPr>
        <w:t>（1）</w:t>
      </w:r>
      <w:r>
        <w:rPr>
          <w:rFonts w:hint="eastAsia" w:ascii="宋体" w:hAnsi="宋体" w:eastAsia="宋体" w:cs="宋体"/>
          <w:spacing w:val="0"/>
          <w:sz w:val="24"/>
          <w:szCs w:val="24"/>
          <w:u w:val="single"/>
          <w:lang w:val="en-US" w:eastAsia="zh-CN"/>
        </w:rPr>
        <w:t>三明天和工程管理有限公司</w:t>
      </w:r>
      <w:r>
        <w:rPr>
          <w:rFonts w:hint="eastAsia" w:ascii="宋体" w:hAnsi="宋体" w:eastAsia="宋体" w:cs="宋体"/>
          <w:spacing w:val="0"/>
          <w:sz w:val="24"/>
          <w:szCs w:val="24"/>
        </w:rPr>
        <w:t>可对已发出的招标文件进行必要的澄清或修改，但不得对招标文件载明的采购标的和投标人的资格要求进行改变。</w:t>
      </w:r>
    </w:p>
    <w:p>
      <w:pPr>
        <w:pStyle w:val="6"/>
        <w:keepNext w:val="0"/>
        <w:keepLines w:val="0"/>
        <w:widowControl/>
        <w:suppressLineNumbers w:val="0"/>
        <w:spacing w:before="75" w:beforeAutospacing="0" w:after="75" w:afterAutospacing="0"/>
        <w:ind w:left="0" w:right="0" w:firstLine="480"/>
        <w:rPr>
          <w:rFonts w:hint="eastAsia" w:ascii="宋体" w:hAnsi="宋体" w:eastAsia="宋体" w:cs="宋体"/>
          <w:sz w:val="24"/>
          <w:szCs w:val="24"/>
        </w:rPr>
      </w:pPr>
      <w:r>
        <w:rPr>
          <w:rFonts w:hint="eastAsia" w:ascii="宋体" w:hAnsi="宋体" w:eastAsia="宋体" w:cs="宋体"/>
          <w:spacing w:val="0"/>
          <w:sz w:val="24"/>
          <w:szCs w:val="24"/>
        </w:rPr>
        <w:t>（2）除本章第5.2条第（3）款规定情形外，澄清或修改的内容可能影响投标文件编制的，</w:t>
      </w:r>
      <w:r>
        <w:rPr>
          <w:rFonts w:hint="eastAsia" w:ascii="宋体" w:hAnsi="宋体" w:eastAsia="宋体" w:cs="宋体"/>
          <w:spacing w:val="0"/>
          <w:sz w:val="24"/>
          <w:szCs w:val="24"/>
          <w:u w:val="single"/>
          <w:lang w:val="en-US" w:eastAsia="zh-CN"/>
        </w:rPr>
        <w:t>三明天和工程管理有限公司</w:t>
      </w:r>
      <w:r>
        <w:rPr>
          <w:rFonts w:hint="eastAsia" w:ascii="宋体" w:hAnsi="宋体" w:eastAsia="宋体" w:cs="宋体"/>
          <w:spacing w:val="0"/>
          <w:sz w:val="24"/>
          <w:szCs w:val="24"/>
        </w:rPr>
        <w:t>将在投标截止时间至少15个日历日前，在招标文件载明的指定媒体以更正公告的形式发布澄清或修改的内容。不足15个日历日的，</w:t>
      </w:r>
      <w:r>
        <w:rPr>
          <w:rFonts w:hint="eastAsia" w:ascii="宋体" w:hAnsi="宋体" w:eastAsia="宋体" w:cs="宋体"/>
          <w:spacing w:val="0"/>
          <w:sz w:val="24"/>
          <w:szCs w:val="24"/>
          <w:u w:val="single"/>
          <w:lang w:val="en-US" w:eastAsia="zh-CN"/>
        </w:rPr>
        <w:t>三明天和工程管理有限公司</w:t>
      </w:r>
      <w:r>
        <w:rPr>
          <w:rFonts w:hint="eastAsia" w:ascii="宋体" w:hAnsi="宋体" w:eastAsia="宋体" w:cs="宋体"/>
          <w:spacing w:val="0"/>
          <w:sz w:val="24"/>
          <w:szCs w:val="24"/>
        </w:rPr>
        <w:t>将顺延投标截止时间及开标时间，</w:t>
      </w:r>
      <w:r>
        <w:rPr>
          <w:rFonts w:hint="eastAsia" w:ascii="宋体" w:hAnsi="宋体" w:eastAsia="宋体" w:cs="宋体"/>
          <w:spacing w:val="0"/>
          <w:sz w:val="24"/>
          <w:szCs w:val="24"/>
          <w:u w:val="single"/>
          <w:lang w:val="en-US" w:eastAsia="zh-CN"/>
        </w:rPr>
        <w:t>三明天和工程管理有限公司</w:t>
      </w:r>
      <w:r>
        <w:rPr>
          <w:rFonts w:hint="eastAsia" w:ascii="宋体" w:hAnsi="宋体" w:eastAsia="宋体" w:cs="宋体"/>
          <w:spacing w:val="0"/>
          <w:sz w:val="24"/>
          <w:szCs w:val="24"/>
        </w:rPr>
        <w:t>和投标人受原投标截止时间及开标时间制约的所有权利和义务均延长至新的投标截止时间及开标时间。</w:t>
      </w:r>
    </w:p>
    <w:p>
      <w:pPr>
        <w:pStyle w:val="6"/>
        <w:keepNext w:val="0"/>
        <w:keepLines w:val="0"/>
        <w:widowControl/>
        <w:suppressLineNumbers w:val="0"/>
        <w:spacing w:before="75" w:beforeAutospacing="0" w:after="75" w:afterAutospacing="0"/>
        <w:ind w:left="0" w:right="0" w:firstLine="480"/>
        <w:rPr>
          <w:rFonts w:hint="eastAsia" w:ascii="宋体" w:hAnsi="宋体" w:eastAsia="宋体" w:cs="宋体"/>
          <w:sz w:val="24"/>
          <w:szCs w:val="24"/>
        </w:rPr>
      </w:pPr>
      <w:r>
        <w:rPr>
          <w:rFonts w:hint="eastAsia" w:ascii="宋体" w:hAnsi="宋体" w:eastAsia="宋体" w:cs="宋体"/>
          <w:spacing w:val="0"/>
          <w:sz w:val="24"/>
          <w:szCs w:val="24"/>
        </w:rPr>
        <w:t>（3）澄清或修改的内容可能改变招标文件载明的采购标的和投标人的资格要求的，本次采购活动结束，</w:t>
      </w:r>
      <w:r>
        <w:rPr>
          <w:rFonts w:hint="eastAsia" w:ascii="宋体" w:hAnsi="宋体" w:eastAsia="宋体" w:cs="宋体"/>
          <w:spacing w:val="0"/>
          <w:sz w:val="24"/>
          <w:szCs w:val="24"/>
          <w:lang w:val="en-US" w:eastAsia="zh-CN"/>
        </w:rPr>
        <w:t>三明天和工程管理有限公司</w:t>
      </w:r>
      <w:r>
        <w:rPr>
          <w:rFonts w:hint="eastAsia" w:ascii="宋体" w:hAnsi="宋体" w:eastAsia="宋体" w:cs="宋体"/>
          <w:spacing w:val="0"/>
          <w:sz w:val="24"/>
          <w:szCs w:val="24"/>
        </w:rPr>
        <w:t>将依法组织后续采购活动（包括但不限于：重新招标、采用其他方式采购等）。</w:t>
      </w:r>
    </w:p>
    <w:p>
      <w:pPr>
        <w:pStyle w:val="6"/>
        <w:keepNext w:val="0"/>
        <w:keepLines w:val="0"/>
        <w:widowControl/>
        <w:suppressLineNumbers w:val="0"/>
        <w:spacing w:before="75" w:beforeAutospacing="0" w:after="75" w:afterAutospacing="0"/>
        <w:ind w:left="0" w:right="0" w:firstLine="0"/>
        <w:rPr>
          <w:rFonts w:hint="eastAsia" w:ascii="宋体" w:hAnsi="宋体" w:eastAsia="宋体" w:cs="宋体"/>
          <w:sz w:val="24"/>
          <w:szCs w:val="24"/>
        </w:rPr>
      </w:pPr>
      <w:r>
        <w:rPr>
          <w:rFonts w:hint="eastAsia" w:ascii="宋体" w:hAnsi="宋体" w:eastAsia="宋体" w:cs="宋体"/>
          <w:spacing w:val="0"/>
          <w:sz w:val="24"/>
          <w:szCs w:val="24"/>
        </w:rPr>
        <w:t>6、现场考察或开标前答疑会</w:t>
      </w:r>
    </w:p>
    <w:p>
      <w:pPr>
        <w:pStyle w:val="6"/>
        <w:keepNext w:val="0"/>
        <w:keepLines w:val="0"/>
        <w:widowControl/>
        <w:suppressLineNumbers w:val="0"/>
        <w:spacing w:before="75" w:beforeAutospacing="0" w:after="75" w:afterAutospacing="0"/>
        <w:ind w:left="0" w:right="0" w:firstLine="0"/>
        <w:rPr>
          <w:rFonts w:hint="eastAsia" w:ascii="宋体" w:hAnsi="宋体" w:eastAsia="宋体" w:cs="宋体"/>
          <w:sz w:val="24"/>
          <w:szCs w:val="24"/>
        </w:rPr>
      </w:pPr>
      <w:r>
        <w:rPr>
          <w:rFonts w:hint="eastAsia" w:ascii="宋体" w:hAnsi="宋体" w:eastAsia="宋体" w:cs="宋体"/>
          <w:spacing w:val="0"/>
          <w:sz w:val="24"/>
          <w:szCs w:val="24"/>
        </w:rPr>
        <w:t>6.1是否组织现场考察或召开开标前答疑会：详见招标文件第二章。</w:t>
      </w:r>
    </w:p>
    <w:p>
      <w:pPr>
        <w:pStyle w:val="6"/>
        <w:keepNext w:val="0"/>
        <w:keepLines w:val="0"/>
        <w:widowControl/>
        <w:suppressLineNumbers w:val="0"/>
        <w:spacing w:before="75" w:beforeAutospacing="0" w:after="75" w:afterAutospacing="0"/>
        <w:ind w:left="0" w:right="0" w:firstLine="0"/>
        <w:rPr>
          <w:rFonts w:hint="eastAsia" w:ascii="宋体" w:hAnsi="宋体" w:eastAsia="宋体" w:cs="宋体"/>
          <w:sz w:val="24"/>
          <w:szCs w:val="24"/>
        </w:rPr>
      </w:pPr>
      <w:r>
        <w:rPr>
          <w:rFonts w:hint="eastAsia" w:ascii="宋体" w:hAnsi="宋体" w:eastAsia="宋体" w:cs="宋体"/>
          <w:spacing w:val="0"/>
          <w:sz w:val="24"/>
          <w:szCs w:val="24"/>
        </w:rPr>
        <w:t>7、更正公告</w:t>
      </w:r>
    </w:p>
    <w:p>
      <w:pPr>
        <w:pStyle w:val="6"/>
        <w:keepNext w:val="0"/>
        <w:keepLines w:val="0"/>
        <w:widowControl/>
        <w:suppressLineNumbers w:val="0"/>
        <w:spacing w:before="75" w:beforeAutospacing="0" w:after="75" w:afterAutospacing="0"/>
        <w:ind w:left="0" w:right="0" w:firstLine="0"/>
        <w:rPr>
          <w:rFonts w:hint="eastAsia" w:ascii="宋体" w:hAnsi="宋体" w:eastAsia="宋体" w:cs="宋体"/>
          <w:sz w:val="24"/>
          <w:szCs w:val="24"/>
        </w:rPr>
      </w:pPr>
      <w:r>
        <w:rPr>
          <w:rFonts w:hint="eastAsia" w:ascii="宋体" w:hAnsi="宋体" w:eastAsia="宋体" w:cs="宋体"/>
          <w:spacing w:val="0"/>
          <w:sz w:val="24"/>
          <w:szCs w:val="24"/>
        </w:rPr>
        <w:t>7.1若</w:t>
      </w:r>
      <w:r>
        <w:rPr>
          <w:rFonts w:hint="eastAsia" w:ascii="宋体" w:hAnsi="宋体" w:eastAsia="宋体" w:cs="宋体"/>
          <w:spacing w:val="0"/>
          <w:sz w:val="24"/>
          <w:szCs w:val="24"/>
          <w:u w:val="single"/>
          <w:lang w:val="en-US" w:eastAsia="zh-CN"/>
        </w:rPr>
        <w:t>三明天和工程管理有限公</w:t>
      </w:r>
      <w:r>
        <w:rPr>
          <w:rFonts w:hint="eastAsia" w:ascii="宋体" w:hAnsi="宋体" w:eastAsia="宋体" w:cs="宋体"/>
          <w:spacing w:val="0"/>
          <w:sz w:val="24"/>
          <w:szCs w:val="24"/>
          <w:u w:val="single"/>
        </w:rPr>
        <w:t>司</w:t>
      </w:r>
      <w:r>
        <w:rPr>
          <w:rFonts w:hint="eastAsia" w:ascii="宋体" w:hAnsi="宋体" w:eastAsia="宋体" w:cs="宋体"/>
          <w:spacing w:val="0"/>
          <w:sz w:val="24"/>
          <w:szCs w:val="24"/>
        </w:rPr>
        <w:t>发布更正公告，则更正公告及其所发布的内容或信息（包括但不限于：招标文件的澄清或修改、现场考察或答疑会的有关事宜等）</w:t>
      </w:r>
      <w:r>
        <w:rPr>
          <w:rStyle w:val="10"/>
          <w:rFonts w:hint="eastAsia" w:ascii="宋体" w:hAnsi="宋体" w:eastAsia="宋体" w:cs="宋体"/>
          <w:spacing w:val="0"/>
          <w:sz w:val="24"/>
          <w:szCs w:val="24"/>
        </w:rPr>
        <w:t>作为招标文件组成部分</w:t>
      </w:r>
      <w:r>
        <w:rPr>
          <w:rFonts w:hint="eastAsia" w:ascii="宋体" w:hAnsi="宋体" w:eastAsia="宋体" w:cs="宋体"/>
          <w:spacing w:val="0"/>
          <w:sz w:val="24"/>
          <w:szCs w:val="24"/>
        </w:rPr>
        <w:t>，对投标人具有约束力。</w:t>
      </w:r>
    </w:p>
    <w:p>
      <w:pPr>
        <w:pStyle w:val="6"/>
        <w:keepNext w:val="0"/>
        <w:keepLines w:val="0"/>
        <w:widowControl/>
        <w:suppressLineNumbers w:val="0"/>
        <w:spacing w:before="75" w:beforeAutospacing="0" w:after="75" w:afterAutospacing="0"/>
        <w:ind w:left="0" w:right="0" w:firstLine="0"/>
        <w:rPr>
          <w:rFonts w:hint="eastAsia" w:ascii="宋体" w:hAnsi="宋体" w:eastAsia="宋体" w:cs="宋体"/>
          <w:sz w:val="24"/>
          <w:szCs w:val="24"/>
        </w:rPr>
      </w:pPr>
      <w:r>
        <w:rPr>
          <w:rFonts w:hint="eastAsia" w:ascii="宋体" w:hAnsi="宋体" w:eastAsia="宋体" w:cs="宋体"/>
          <w:spacing w:val="0"/>
          <w:sz w:val="24"/>
          <w:szCs w:val="24"/>
        </w:rPr>
        <w:t>7.2更正公告作为</w:t>
      </w:r>
      <w:r>
        <w:rPr>
          <w:rFonts w:hint="eastAsia" w:ascii="宋体" w:hAnsi="宋体" w:eastAsia="宋体" w:cs="宋体"/>
          <w:spacing w:val="0"/>
          <w:sz w:val="24"/>
          <w:szCs w:val="24"/>
          <w:u w:val="single"/>
          <w:lang w:val="en-US" w:eastAsia="zh-CN"/>
        </w:rPr>
        <w:t>三明天和工程管理有限公司</w:t>
      </w:r>
      <w:r>
        <w:rPr>
          <w:rFonts w:hint="eastAsia" w:ascii="宋体" w:hAnsi="宋体" w:eastAsia="宋体" w:cs="宋体"/>
          <w:spacing w:val="0"/>
          <w:sz w:val="24"/>
          <w:szCs w:val="24"/>
        </w:rPr>
        <w:t>通知所有潜在投标人的书面形式。</w:t>
      </w:r>
    </w:p>
    <w:p>
      <w:pPr>
        <w:pStyle w:val="6"/>
        <w:keepNext w:val="0"/>
        <w:keepLines w:val="0"/>
        <w:widowControl/>
        <w:suppressLineNumbers w:val="0"/>
        <w:spacing w:before="75" w:beforeAutospacing="0" w:after="75" w:afterAutospacing="0"/>
        <w:ind w:left="0" w:right="0" w:firstLine="0"/>
        <w:rPr>
          <w:rFonts w:hint="eastAsia" w:ascii="宋体" w:hAnsi="宋体" w:eastAsia="宋体" w:cs="宋体"/>
          <w:sz w:val="24"/>
          <w:szCs w:val="24"/>
        </w:rPr>
      </w:pPr>
      <w:r>
        <w:rPr>
          <w:rFonts w:hint="eastAsia" w:ascii="宋体" w:hAnsi="宋体" w:eastAsia="宋体" w:cs="宋体"/>
          <w:spacing w:val="0"/>
          <w:sz w:val="24"/>
          <w:szCs w:val="24"/>
        </w:rPr>
        <w:t>8、终止公告</w:t>
      </w:r>
    </w:p>
    <w:p>
      <w:pPr>
        <w:pStyle w:val="6"/>
        <w:keepNext w:val="0"/>
        <w:keepLines w:val="0"/>
        <w:widowControl/>
        <w:suppressLineNumbers w:val="0"/>
        <w:spacing w:before="75" w:beforeAutospacing="0" w:after="75" w:afterAutospacing="0"/>
        <w:ind w:left="0" w:right="0" w:firstLine="0"/>
        <w:rPr>
          <w:rFonts w:hint="eastAsia" w:ascii="宋体" w:hAnsi="宋体" w:eastAsia="宋体" w:cs="宋体"/>
          <w:sz w:val="24"/>
          <w:szCs w:val="24"/>
        </w:rPr>
      </w:pPr>
      <w:r>
        <w:rPr>
          <w:rFonts w:hint="eastAsia" w:ascii="宋体" w:hAnsi="宋体" w:eastAsia="宋体" w:cs="宋体"/>
          <w:spacing w:val="0"/>
          <w:sz w:val="24"/>
          <w:szCs w:val="24"/>
        </w:rPr>
        <w:t>8.1若出现因重大变故导致采购任务取消情形，</w:t>
      </w:r>
      <w:r>
        <w:rPr>
          <w:rFonts w:hint="eastAsia" w:ascii="宋体" w:hAnsi="宋体" w:eastAsia="宋体" w:cs="宋体"/>
          <w:spacing w:val="0"/>
          <w:sz w:val="24"/>
          <w:szCs w:val="24"/>
          <w:u w:val="none"/>
          <w:lang w:eastAsia="zh-CN"/>
        </w:rPr>
        <w:t>三明天和工程管理有限公司</w:t>
      </w:r>
      <w:r>
        <w:rPr>
          <w:rFonts w:hint="eastAsia" w:ascii="宋体" w:hAnsi="宋体" w:eastAsia="宋体" w:cs="宋体"/>
          <w:spacing w:val="0"/>
          <w:sz w:val="24"/>
          <w:szCs w:val="24"/>
          <w:u w:val="none"/>
        </w:rPr>
        <w:t>可终止招标并发布终止公告。</w:t>
      </w:r>
    </w:p>
    <w:p>
      <w:pPr>
        <w:pStyle w:val="6"/>
        <w:keepNext w:val="0"/>
        <w:keepLines w:val="0"/>
        <w:widowControl/>
        <w:suppressLineNumbers w:val="0"/>
        <w:spacing w:before="75" w:beforeAutospacing="0" w:after="75" w:afterAutospacing="0"/>
        <w:ind w:left="0" w:right="0" w:firstLine="0"/>
        <w:rPr>
          <w:rFonts w:hint="eastAsia" w:ascii="宋体" w:hAnsi="宋体" w:eastAsia="宋体" w:cs="宋体"/>
          <w:sz w:val="24"/>
          <w:szCs w:val="24"/>
        </w:rPr>
      </w:pPr>
      <w:r>
        <w:rPr>
          <w:rFonts w:hint="eastAsia" w:ascii="宋体" w:hAnsi="宋体" w:eastAsia="宋体" w:cs="宋体"/>
          <w:spacing w:val="0"/>
          <w:sz w:val="24"/>
          <w:szCs w:val="24"/>
          <w:u w:val="none"/>
        </w:rPr>
        <w:t>8.2终止公告作为</w:t>
      </w:r>
      <w:r>
        <w:rPr>
          <w:rFonts w:hint="eastAsia" w:ascii="宋体" w:hAnsi="宋体" w:eastAsia="宋体" w:cs="宋体"/>
          <w:spacing w:val="0"/>
          <w:sz w:val="24"/>
          <w:szCs w:val="24"/>
          <w:u w:val="none"/>
          <w:lang w:eastAsia="zh-CN"/>
        </w:rPr>
        <w:t>三明天和工程管理有限公司</w:t>
      </w:r>
      <w:r>
        <w:rPr>
          <w:rFonts w:hint="eastAsia" w:ascii="宋体" w:hAnsi="宋体" w:eastAsia="宋体" w:cs="宋体"/>
          <w:spacing w:val="0"/>
          <w:sz w:val="24"/>
          <w:szCs w:val="24"/>
        </w:rPr>
        <w:t>通知所有潜在投标人的书面形式。</w:t>
      </w:r>
    </w:p>
    <w:p>
      <w:pPr>
        <w:pStyle w:val="6"/>
        <w:keepNext w:val="0"/>
        <w:keepLines w:val="0"/>
        <w:widowControl/>
        <w:suppressLineNumbers w:val="0"/>
        <w:spacing w:before="75" w:beforeAutospacing="0" w:after="75" w:afterAutospacing="0"/>
        <w:ind w:left="0" w:right="0" w:firstLine="0"/>
        <w:rPr>
          <w:rFonts w:hint="eastAsia" w:ascii="宋体" w:hAnsi="宋体" w:eastAsia="宋体" w:cs="宋体"/>
          <w:sz w:val="24"/>
          <w:szCs w:val="24"/>
        </w:rPr>
      </w:pPr>
      <w:r>
        <w:rPr>
          <w:rFonts w:hint="eastAsia" w:ascii="宋体" w:hAnsi="宋体" w:eastAsia="宋体" w:cs="宋体"/>
          <w:spacing w:val="0"/>
          <w:sz w:val="24"/>
          <w:szCs w:val="24"/>
        </w:rPr>
        <w:t> </w:t>
      </w:r>
    </w:p>
    <w:p>
      <w:pPr>
        <w:pStyle w:val="6"/>
        <w:keepNext w:val="0"/>
        <w:keepLines w:val="0"/>
        <w:widowControl/>
        <w:suppressLineNumbers w:val="0"/>
        <w:spacing w:before="75" w:beforeAutospacing="0" w:after="75" w:afterAutospacing="0"/>
        <w:ind w:left="0" w:right="0" w:firstLine="0"/>
        <w:jc w:val="center"/>
        <w:rPr>
          <w:rFonts w:hint="eastAsia" w:ascii="宋体" w:hAnsi="宋体" w:eastAsia="宋体" w:cs="宋体"/>
          <w:sz w:val="24"/>
          <w:szCs w:val="24"/>
        </w:rPr>
      </w:pPr>
      <w:r>
        <w:rPr>
          <w:rStyle w:val="10"/>
          <w:rFonts w:hint="eastAsia" w:ascii="宋体" w:hAnsi="宋体" w:eastAsia="宋体" w:cs="宋体"/>
          <w:spacing w:val="0"/>
          <w:sz w:val="24"/>
          <w:szCs w:val="24"/>
        </w:rPr>
        <w:t>四、投标</w:t>
      </w:r>
    </w:p>
    <w:p>
      <w:pPr>
        <w:pStyle w:val="6"/>
        <w:keepNext w:val="0"/>
        <w:keepLines w:val="0"/>
        <w:widowControl/>
        <w:suppressLineNumbers w:val="0"/>
        <w:spacing w:before="75" w:beforeAutospacing="0" w:after="75" w:afterAutospacing="0"/>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9、投标</w:t>
      </w:r>
    </w:p>
    <w:p>
      <w:pPr>
        <w:pStyle w:val="6"/>
        <w:keepNext w:val="0"/>
        <w:keepLines w:val="0"/>
        <w:widowControl/>
        <w:suppressLineNumbers w:val="0"/>
        <w:spacing w:before="75" w:beforeAutospacing="0" w:after="75" w:afterAutospacing="0"/>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9.1投标人可对招标文件载明的全部或部分合同包进行投标。</w:t>
      </w:r>
    </w:p>
    <w:p>
      <w:pPr>
        <w:pStyle w:val="6"/>
        <w:keepNext w:val="0"/>
        <w:keepLines w:val="0"/>
        <w:widowControl/>
        <w:suppressLineNumbers w:val="0"/>
        <w:spacing w:before="75" w:beforeAutospacing="0" w:after="75" w:afterAutospacing="0"/>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9.2投标人应对同一个合同包内的所有内容进行完整投标，否则</w:t>
      </w:r>
      <w:r>
        <w:rPr>
          <w:rStyle w:val="10"/>
          <w:rFonts w:hint="eastAsia" w:ascii="宋体" w:hAnsi="宋体" w:eastAsia="宋体" w:cs="宋体"/>
          <w:i w:val="0"/>
          <w:caps w:val="0"/>
          <w:color w:val="000000"/>
          <w:spacing w:val="0"/>
          <w:sz w:val="24"/>
          <w:szCs w:val="24"/>
        </w:rPr>
        <w:t>投标无效</w:t>
      </w:r>
      <w:r>
        <w:rPr>
          <w:rFonts w:hint="eastAsia" w:ascii="宋体" w:hAnsi="宋体" w:eastAsia="宋体" w:cs="宋体"/>
          <w:b w:val="0"/>
          <w:i w:val="0"/>
          <w:caps w:val="0"/>
          <w:color w:val="000000"/>
          <w:spacing w:val="0"/>
          <w:sz w:val="24"/>
          <w:szCs w:val="24"/>
        </w:rPr>
        <w:t>。</w:t>
      </w:r>
    </w:p>
    <w:p>
      <w:pPr>
        <w:pStyle w:val="6"/>
        <w:keepNext w:val="0"/>
        <w:keepLines w:val="0"/>
        <w:widowControl/>
        <w:suppressLineNumbers w:val="0"/>
        <w:spacing w:before="75" w:beforeAutospacing="0" w:after="75" w:afterAutospacing="0"/>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9.3投标人代表只能接受一个投标人的授权参加投标，否则</w:t>
      </w:r>
      <w:r>
        <w:rPr>
          <w:rStyle w:val="10"/>
          <w:rFonts w:hint="eastAsia" w:ascii="宋体" w:hAnsi="宋体" w:eastAsia="宋体" w:cs="宋体"/>
          <w:i w:val="0"/>
          <w:caps w:val="0"/>
          <w:color w:val="000000"/>
          <w:spacing w:val="0"/>
          <w:sz w:val="24"/>
          <w:szCs w:val="24"/>
        </w:rPr>
        <w:t>投标无效</w:t>
      </w:r>
      <w:r>
        <w:rPr>
          <w:rFonts w:hint="eastAsia" w:ascii="宋体" w:hAnsi="宋体" w:eastAsia="宋体" w:cs="宋体"/>
          <w:b w:val="0"/>
          <w:i w:val="0"/>
          <w:caps w:val="0"/>
          <w:color w:val="000000"/>
          <w:spacing w:val="0"/>
          <w:sz w:val="24"/>
          <w:szCs w:val="24"/>
        </w:rPr>
        <w:t>。</w:t>
      </w:r>
    </w:p>
    <w:p>
      <w:pPr>
        <w:pStyle w:val="6"/>
        <w:keepNext w:val="0"/>
        <w:keepLines w:val="0"/>
        <w:widowControl/>
        <w:suppressLineNumbers w:val="0"/>
        <w:spacing w:before="75" w:beforeAutospacing="0" w:after="75" w:afterAutospacing="0"/>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9.4单位负责人为同一人或存在直接控股、管理关系的不同供应商，不得同时参加同一合同项下的投标，否则</w:t>
      </w:r>
      <w:r>
        <w:rPr>
          <w:rStyle w:val="10"/>
          <w:rFonts w:hint="eastAsia" w:ascii="宋体" w:hAnsi="宋体" w:eastAsia="宋体" w:cs="宋体"/>
          <w:i w:val="0"/>
          <w:caps w:val="0"/>
          <w:color w:val="000000"/>
          <w:spacing w:val="0"/>
          <w:sz w:val="24"/>
          <w:szCs w:val="24"/>
        </w:rPr>
        <w:t>投标无效</w:t>
      </w:r>
      <w:r>
        <w:rPr>
          <w:rFonts w:hint="eastAsia" w:ascii="宋体" w:hAnsi="宋体" w:eastAsia="宋体" w:cs="宋体"/>
          <w:b w:val="0"/>
          <w:i w:val="0"/>
          <w:caps w:val="0"/>
          <w:color w:val="000000"/>
          <w:spacing w:val="0"/>
          <w:sz w:val="24"/>
          <w:szCs w:val="24"/>
        </w:rPr>
        <w:t>。</w:t>
      </w:r>
    </w:p>
    <w:p>
      <w:pPr>
        <w:pStyle w:val="6"/>
        <w:keepNext w:val="0"/>
        <w:keepLines w:val="0"/>
        <w:widowControl/>
        <w:suppressLineNumbers w:val="0"/>
        <w:spacing w:before="75" w:beforeAutospacing="0" w:after="75" w:afterAutospacing="0"/>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9.5为本项目提供整体设计、规范编制或项目管理、监理、检测等服务的供应商，不得参加本项目除整体设计、规范编制和项目管理、监理、检测等服务外的采购活动，否则</w:t>
      </w:r>
      <w:r>
        <w:rPr>
          <w:rStyle w:val="10"/>
          <w:rFonts w:hint="eastAsia" w:ascii="宋体" w:hAnsi="宋体" w:eastAsia="宋体" w:cs="宋体"/>
          <w:i w:val="0"/>
          <w:caps w:val="0"/>
          <w:color w:val="000000"/>
          <w:spacing w:val="0"/>
          <w:sz w:val="24"/>
          <w:szCs w:val="24"/>
        </w:rPr>
        <w:t>投标无效</w:t>
      </w:r>
      <w:r>
        <w:rPr>
          <w:rFonts w:hint="eastAsia" w:ascii="宋体" w:hAnsi="宋体" w:eastAsia="宋体" w:cs="宋体"/>
          <w:b w:val="0"/>
          <w:i w:val="0"/>
          <w:caps w:val="0"/>
          <w:color w:val="000000"/>
          <w:spacing w:val="0"/>
          <w:sz w:val="24"/>
          <w:szCs w:val="24"/>
        </w:rPr>
        <w:t>。</w:t>
      </w:r>
    </w:p>
    <w:p>
      <w:pPr>
        <w:pStyle w:val="6"/>
        <w:keepNext w:val="0"/>
        <w:keepLines w:val="0"/>
        <w:widowControl/>
        <w:suppressLineNumbers w:val="0"/>
        <w:spacing w:before="75" w:beforeAutospacing="0" w:after="75" w:afterAutospacing="0"/>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9.6列入失信被执行人、重大税收违法案件当事人名单、政府采购严重违法失信行为记录名单及其他不符合政府采购法第二十二条规定条件的供应商，不得参加投标，否则</w:t>
      </w:r>
      <w:r>
        <w:rPr>
          <w:rStyle w:val="10"/>
          <w:rFonts w:hint="eastAsia" w:ascii="宋体" w:hAnsi="宋体" w:eastAsia="宋体" w:cs="宋体"/>
          <w:i w:val="0"/>
          <w:caps w:val="0"/>
          <w:color w:val="000000"/>
          <w:spacing w:val="0"/>
          <w:sz w:val="24"/>
          <w:szCs w:val="24"/>
        </w:rPr>
        <w:t>投标无效</w:t>
      </w:r>
      <w:r>
        <w:rPr>
          <w:rFonts w:hint="eastAsia" w:ascii="宋体" w:hAnsi="宋体" w:eastAsia="宋体" w:cs="宋体"/>
          <w:b w:val="0"/>
          <w:i w:val="0"/>
          <w:caps w:val="0"/>
          <w:color w:val="000000"/>
          <w:spacing w:val="0"/>
          <w:sz w:val="24"/>
          <w:szCs w:val="24"/>
        </w:rPr>
        <w:t>。</w:t>
      </w:r>
    </w:p>
    <w:p>
      <w:pPr>
        <w:pStyle w:val="6"/>
        <w:keepNext w:val="0"/>
        <w:keepLines w:val="0"/>
        <w:widowControl/>
        <w:suppressLineNumbers w:val="0"/>
        <w:spacing w:before="75" w:beforeAutospacing="0" w:after="75" w:afterAutospacing="0"/>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9.7有下列情形之一的，视为投标人串通投标，</w:t>
      </w:r>
      <w:r>
        <w:rPr>
          <w:rStyle w:val="10"/>
          <w:rFonts w:hint="eastAsia" w:ascii="宋体" w:hAnsi="宋体" w:eastAsia="宋体" w:cs="宋体"/>
          <w:i w:val="0"/>
          <w:caps w:val="0"/>
          <w:color w:val="000000"/>
          <w:spacing w:val="0"/>
          <w:sz w:val="24"/>
          <w:szCs w:val="24"/>
        </w:rPr>
        <w:t>其投标无效：</w:t>
      </w:r>
    </w:p>
    <w:p>
      <w:pPr>
        <w:pStyle w:val="6"/>
        <w:keepNext w:val="0"/>
        <w:keepLines w:val="0"/>
        <w:widowControl/>
        <w:suppressLineNumbers w:val="0"/>
        <w:spacing w:before="75" w:beforeAutospacing="0" w:after="75" w:afterAutospacing="0"/>
        <w:ind w:left="0" w:right="0" w:firstLine="48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（1）不同投标人的投标文件由同一单位或个人编制；</w:t>
      </w:r>
    </w:p>
    <w:p>
      <w:pPr>
        <w:pStyle w:val="6"/>
        <w:keepNext w:val="0"/>
        <w:keepLines w:val="0"/>
        <w:widowControl/>
        <w:suppressLineNumbers w:val="0"/>
        <w:spacing w:before="75" w:beforeAutospacing="0" w:after="75" w:afterAutospacing="0"/>
        <w:ind w:left="0" w:right="0" w:firstLine="48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（2）不同投标人委托同一单位或个人办理投标事宜；</w:t>
      </w:r>
    </w:p>
    <w:p>
      <w:pPr>
        <w:pStyle w:val="6"/>
        <w:keepNext w:val="0"/>
        <w:keepLines w:val="0"/>
        <w:widowControl/>
        <w:suppressLineNumbers w:val="0"/>
        <w:spacing w:before="75" w:beforeAutospacing="0" w:after="75" w:afterAutospacing="0"/>
        <w:ind w:left="0" w:right="0" w:firstLine="48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（3）不同投标人的投标文件载明的项目管理成员或联系人员为同一人；</w:t>
      </w:r>
    </w:p>
    <w:p>
      <w:pPr>
        <w:pStyle w:val="6"/>
        <w:keepNext w:val="0"/>
        <w:keepLines w:val="0"/>
        <w:widowControl/>
        <w:suppressLineNumbers w:val="0"/>
        <w:spacing w:before="75" w:beforeAutospacing="0" w:after="75" w:afterAutospacing="0"/>
        <w:ind w:left="0" w:right="0" w:firstLine="48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（4）不同投标人的投标文件异常一致或投标报价呈规律性差异；</w:t>
      </w:r>
    </w:p>
    <w:p>
      <w:pPr>
        <w:pStyle w:val="6"/>
        <w:keepNext w:val="0"/>
        <w:keepLines w:val="0"/>
        <w:widowControl/>
        <w:suppressLineNumbers w:val="0"/>
        <w:spacing w:before="75" w:beforeAutospacing="0" w:after="75" w:afterAutospacing="0"/>
        <w:ind w:left="0" w:right="0" w:firstLine="48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（5）不同投标人的投标文件相互混装；</w:t>
      </w:r>
    </w:p>
    <w:p>
      <w:pPr>
        <w:pStyle w:val="6"/>
        <w:keepNext w:val="0"/>
        <w:keepLines w:val="0"/>
        <w:widowControl/>
        <w:suppressLineNumbers w:val="0"/>
        <w:spacing w:before="75" w:beforeAutospacing="0" w:after="75" w:afterAutospacing="0"/>
        <w:ind w:left="0" w:right="0" w:firstLine="48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（6）不同投标人的投标保证金从同一单位或个人的账户转出；</w:t>
      </w:r>
    </w:p>
    <w:p>
      <w:pPr>
        <w:pStyle w:val="6"/>
        <w:keepNext w:val="0"/>
        <w:keepLines w:val="0"/>
        <w:widowControl/>
        <w:suppressLineNumbers w:val="0"/>
        <w:spacing w:before="75" w:beforeAutospacing="0" w:after="75" w:afterAutospacing="0"/>
        <w:ind w:left="0" w:right="0" w:firstLine="48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（7）有关法律、法规和规章及招标文件规定的其他串通投标情形。</w:t>
      </w:r>
    </w:p>
    <w:p>
      <w:pPr>
        <w:pStyle w:val="6"/>
        <w:keepNext w:val="0"/>
        <w:keepLines w:val="0"/>
        <w:widowControl/>
        <w:suppressLineNumbers w:val="0"/>
        <w:spacing w:before="75" w:beforeAutospacing="0" w:after="75" w:afterAutospacing="0"/>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10、投标文件</w:t>
      </w:r>
    </w:p>
    <w:p>
      <w:pPr>
        <w:pStyle w:val="6"/>
        <w:keepNext w:val="0"/>
        <w:keepLines w:val="0"/>
        <w:widowControl/>
        <w:suppressLineNumbers w:val="0"/>
        <w:spacing w:before="75" w:beforeAutospacing="0" w:after="75" w:afterAutospacing="0"/>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10.1投标文件的编制</w:t>
      </w:r>
    </w:p>
    <w:p>
      <w:pPr>
        <w:pStyle w:val="6"/>
        <w:keepNext w:val="0"/>
        <w:keepLines w:val="0"/>
        <w:widowControl/>
        <w:suppressLineNumbers w:val="0"/>
        <w:spacing w:before="75" w:beforeAutospacing="0" w:after="75" w:afterAutospacing="0"/>
        <w:ind w:left="0" w:right="0" w:firstLine="48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（1）投标人应先仔细阅读招标文件的全部内容后，再进行投标文件的编制。</w:t>
      </w:r>
    </w:p>
    <w:p>
      <w:pPr>
        <w:pStyle w:val="6"/>
        <w:keepNext w:val="0"/>
        <w:keepLines w:val="0"/>
        <w:widowControl/>
        <w:suppressLineNumbers w:val="0"/>
        <w:spacing w:before="75" w:beforeAutospacing="0" w:after="75" w:afterAutospacing="0"/>
        <w:ind w:left="0" w:right="0" w:firstLine="48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（2）投标文件应按照本章第10.2条规定编制其组成部分。</w:t>
      </w:r>
    </w:p>
    <w:p>
      <w:pPr>
        <w:pStyle w:val="6"/>
        <w:keepNext w:val="0"/>
        <w:keepLines w:val="0"/>
        <w:widowControl/>
        <w:suppressLineNumbers w:val="0"/>
        <w:spacing w:before="75" w:beforeAutospacing="0" w:after="75" w:afterAutospacing="0"/>
        <w:ind w:left="0" w:right="0" w:firstLine="48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（3）投标文件应满足招标文件提出的实质性要求和条件，并保证其所提交的全部资料是不可割离且真实、有效、准确、完整和不具有任何误导性的，否则造成不利后果由投标人承担责任。</w:t>
      </w:r>
    </w:p>
    <w:p>
      <w:pPr>
        <w:pStyle w:val="6"/>
        <w:keepNext w:val="0"/>
        <w:keepLines w:val="0"/>
        <w:widowControl/>
        <w:suppressLineNumbers w:val="0"/>
        <w:spacing w:before="75" w:beforeAutospacing="0" w:after="75" w:afterAutospacing="0"/>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10.2投标文件由下述部分组成：</w:t>
      </w:r>
    </w:p>
    <w:p>
      <w:pPr>
        <w:pStyle w:val="6"/>
        <w:keepNext w:val="0"/>
        <w:keepLines w:val="0"/>
        <w:widowControl/>
        <w:suppressLineNumbers w:val="0"/>
        <w:spacing w:before="75" w:beforeAutospacing="0" w:after="75" w:afterAutospacing="0"/>
        <w:ind w:left="0" w:right="0" w:firstLine="48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（1）资格及资信证明部分</w:t>
      </w:r>
    </w:p>
    <w:p>
      <w:pPr>
        <w:pStyle w:val="6"/>
        <w:keepNext w:val="0"/>
        <w:keepLines w:val="0"/>
        <w:widowControl/>
        <w:suppressLineNumbers w:val="0"/>
        <w:spacing w:before="75" w:beforeAutospacing="0" w:after="75" w:afterAutospacing="0"/>
        <w:ind w:left="0" w:right="0" w:firstLine="48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①投标函</w:t>
      </w:r>
    </w:p>
    <w:p>
      <w:pPr>
        <w:pStyle w:val="6"/>
        <w:keepNext w:val="0"/>
        <w:keepLines w:val="0"/>
        <w:widowControl/>
        <w:suppressLineNumbers w:val="0"/>
        <w:spacing w:before="75" w:beforeAutospacing="0" w:after="75" w:afterAutospacing="0"/>
        <w:ind w:left="0" w:right="0" w:firstLine="48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②投标人的资格及资信证明文件</w:t>
      </w:r>
    </w:p>
    <w:p>
      <w:pPr>
        <w:pStyle w:val="6"/>
        <w:keepNext w:val="0"/>
        <w:keepLines w:val="0"/>
        <w:widowControl/>
        <w:suppressLineNumbers w:val="0"/>
        <w:spacing w:before="75" w:beforeAutospacing="0" w:after="75" w:afterAutospacing="0"/>
        <w:ind w:left="0" w:right="0" w:firstLine="48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③投标保证金</w:t>
      </w:r>
    </w:p>
    <w:p>
      <w:pPr>
        <w:pStyle w:val="6"/>
        <w:keepNext w:val="0"/>
        <w:keepLines w:val="0"/>
        <w:widowControl/>
        <w:suppressLineNumbers w:val="0"/>
        <w:spacing w:before="75" w:beforeAutospacing="0" w:after="75" w:afterAutospacing="0"/>
        <w:ind w:left="0" w:right="0" w:firstLine="48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（2）报价部分</w:t>
      </w:r>
    </w:p>
    <w:p>
      <w:pPr>
        <w:pStyle w:val="6"/>
        <w:keepNext w:val="0"/>
        <w:keepLines w:val="0"/>
        <w:widowControl/>
        <w:suppressLineNumbers w:val="0"/>
        <w:spacing w:before="75" w:beforeAutospacing="0" w:after="75" w:afterAutospacing="0"/>
        <w:ind w:left="0" w:right="0" w:firstLine="48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①开标一览表</w:t>
      </w:r>
    </w:p>
    <w:p>
      <w:pPr>
        <w:pStyle w:val="6"/>
        <w:keepNext w:val="0"/>
        <w:keepLines w:val="0"/>
        <w:widowControl/>
        <w:suppressLineNumbers w:val="0"/>
        <w:spacing w:before="75" w:beforeAutospacing="0" w:after="75" w:afterAutospacing="0"/>
        <w:ind w:left="0" w:right="0" w:firstLine="48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②投标分项报价表</w:t>
      </w:r>
    </w:p>
    <w:p>
      <w:pPr>
        <w:pStyle w:val="6"/>
        <w:keepNext w:val="0"/>
        <w:keepLines w:val="0"/>
        <w:widowControl/>
        <w:suppressLineNumbers w:val="0"/>
        <w:spacing w:before="75" w:beforeAutospacing="0" w:after="75" w:afterAutospacing="0"/>
        <w:ind w:left="0" w:right="0" w:firstLine="48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③招标文件规定的价格扣除证明材料（若有）</w:t>
      </w:r>
    </w:p>
    <w:p>
      <w:pPr>
        <w:pStyle w:val="6"/>
        <w:keepNext w:val="0"/>
        <w:keepLines w:val="0"/>
        <w:widowControl/>
        <w:suppressLineNumbers w:val="0"/>
        <w:spacing w:before="75" w:beforeAutospacing="0" w:after="75" w:afterAutospacing="0"/>
        <w:ind w:left="0" w:right="0" w:firstLine="48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④招标文件规定的加分证明材料（若有）</w:t>
      </w:r>
    </w:p>
    <w:p>
      <w:pPr>
        <w:pStyle w:val="6"/>
        <w:keepNext w:val="0"/>
        <w:keepLines w:val="0"/>
        <w:widowControl/>
        <w:suppressLineNumbers w:val="0"/>
        <w:spacing w:before="75" w:beforeAutospacing="0" w:after="75" w:afterAutospacing="0"/>
        <w:ind w:left="0" w:right="0" w:firstLine="48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（3）技术商务部分</w:t>
      </w:r>
    </w:p>
    <w:p>
      <w:pPr>
        <w:pStyle w:val="6"/>
        <w:keepNext w:val="0"/>
        <w:keepLines w:val="0"/>
        <w:widowControl/>
        <w:suppressLineNumbers w:val="0"/>
        <w:spacing w:before="75" w:beforeAutospacing="0" w:after="75" w:afterAutospacing="0"/>
        <w:ind w:left="0" w:right="0" w:firstLine="48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①标的说明一览表</w:t>
      </w:r>
    </w:p>
    <w:p>
      <w:pPr>
        <w:pStyle w:val="6"/>
        <w:keepNext w:val="0"/>
        <w:keepLines w:val="0"/>
        <w:widowControl/>
        <w:suppressLineNumbers w:val="0"/>
        <w:spacing w:before="75" w:beforeAutospacing="0" w:after="75" w:afterAutospacing="0"/>
        <w:ind w:left="0" w:right="0" w:firstLine="48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②技术和服务要求响应表</w:t>
      </w:r>
    </w:p>
    <w:p>
      <w:pPr>
        <w:pStyle w:val="6"/>
        <w:keepNext w:val="0"/>
        <w:keepLines w:val="0"/>
        <w:widowControl/>
        <w:suppressLineNumbers w:val="0"/>
        <w:spacing w:before="75" w:beforeAutospacing="0" w:after="75" w:afterAutospacing="0"/>
        <w:ind w:left="0" w:right="0" w:firstLine="48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③商务条件响应表</w:t>
      </w:r>
    </w:p>
    <w:p>
      <w:pPr>
        <w:pStyle w:val="6"/>
        <w:keepNext w:val="0"/>
        <w:keepLines w:val="0"/>
        <w:widowControl/>
        <w:suppressLineNumbers w:val="0"/>
        <w:spacing w:before="75" w:beforeAutospacing="0" w:after="75" w:afterAutospacing="0"/>
        <w:ind w:left="0" w:right="0" w:firstLine="48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④投标人提交的其他资料（若有）</w:t>
      </w:r>
    </w:p>
    <w:p>
      <w:pPr>
        <w:pStyle w:val="6"/>
        <w:keepNext w:val="0"/>
        <w:keepLines w:val="0"/>
        <w:widowControl/>
        <w:suppressLineNumbers w:val="0"/>
        <w:spacing w:before="75" w:beforeAutospacing="0" w:after="75" w:afterAutospacing="0"/>
        <w:ind w:left="0" w:right="0" w:firstLine="48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⑤招标文件规定作为投标文件组成部分的其他内容（若有）</w:t>
      </w:r>
    </w:p>
    <w:p>
      <w:pPr>
        <w:pStyle w:val="6"/>
        <w:keepNext w:val="0"/>
        <w:keepLines w:val="0"/>
        <w:widowControl/>
        <w:suppressLineNumbers w:val="0"/>
        <w:spacing w:before="75" w:beforeAutospacing="0" w:after="75" w:afterAutospacing="0"/>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10.3投标文件的语言</w:t>
      </w:r>
    </w:p>
    <w:p>
      <w:pPr>
        <w:pStyle w:val="6"/>
        <w:keepNext w:val="0"/>
        <w:keepLines w:val="0"/>
        <w:widowControl/>
        <w:suppressLineNumbers w:val="0"/>
        <w:spacing w:before="75" w:beforeAutospacing="0" w:after="75" w:afterAutospacing="0"/>
        <w:ind w:left="0" w:right="0" w:firstLine="48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（1）除招标文件另有规定外，投标文件应使用中文文本，若有不同文本，以中文文本为准。</w:t>
      </w:r>
    </w:p>
    <w:p>
      <w:pPr>
        <w:pStyle w:val="6"/>
        <w:keepNext w:val="0"/>
        <w:keepLines w:val="0"/>
        <w:widowControl/>
        <w:suppressLineNumbers w:val="0"/>
        <w:spacing w:before="75" w:beforeAutospacing="0" w:after="75" w:afterAutospacing="0"/>
        <w:ind w:left="0" w:right="0" w:firstLine="48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2）投标文件提供的全部资料中，若原件属于非中文描述，应提供具有翻译资质的机构翻译的中文译本。前述翻译机构应为中国翻译协会成员单位，翻译的中文译本应由翻译人员签名并加盖翻译机构公章，同时提供翻译人员翻译资格证书。中文译本、翻译机构的成员单位证书及翻译人员的资格证书可为复印件。</w:t>
      </w:r>
    </w:p>
    <w:p>
      <w:pPr>
        <w:pStyle w:val="6"/>
        <w:keepNext w:val="0"/>
        <w:keepLines w:val="0"/>
        <w:widowControl/>
        <w:suppressLineNumbers w:val="0"/>
        <w:spacing w:before="75" w:beforeAutospacing="0" w:after="75" w:afterAutospacing="0"/>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10.4投标文件的份数：详见招标文件第二章。</w:t>
      </w:r>
    </w:p>
    <w:p>
      <w:pPr>
        <w:pStyle w:val="6"/>
        <w:keepNext w:val="0"/>
        <w:keepLines w:val="0"/>
        <w:widowControl/>
        <w:suppressLineNumbers w:val="0"/>
        <w:spacing w:before="75" w:beforeAutospacing="0" w:after="75" w:afterAutospacing="0"/>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10.5投标文件的格式</w:t>
      </w:r>
    </w:p>
    <w:p>
      <w:pPr>
        <w:pStyle w:val="6"/>
        <w:keepNext w:val="0"/>
        <w:keepLines w:val="0"/>
        <w:widowControl/>
        <w:suppressLineNumbers w:val="0"/>
        <w:spacing w:before="75" w:beforeAutospacing="0" w:after="75" w:afterAutospacing="0"/>
        <w:ind w:left="0" w:right="0" w:firstLine="48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（1）除招标文件另有规定外，投标文件应使用招标文件第七章规定的格式。</w:t>
      </w:r>
    </w:p>
    <w:p>
      <w:pPr>
        <w:pStyle w:val="6"/>
        <w:keepNext w:val="0"/>
        <w:keepLines w:val="0"/>
        <w:widowControl/>
        <w:suppressLineNumbers w:val="0"/>
        <w:spacing w:before="75" w:beforeAutospacing="0" w:after="75" w:afterAutospacing="0"/>
        <w:ind w:left="0" w:right="0" w:firstLine="48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（2）除招标文件另有规定外，投标文件的正本和全部副本均应使用不能擦去的墨料或墨水打印、书写或复印，其中：</w:t>
      </w:r>
    </w:p>
    <w:p>
      <w:pPr>
        <w:pStyle w:val="6"/>
        <w:keepNext w:val="0"/>
        <w:keepLines w:val="0"/>
        <w:widowControl/>
        <w:suppressLineNumbers w:val="0"/>
        <w:spacing w:before="75" w:beforeAutospacing="0" w:after="75" w:afterAutospacing="0"/>
        <w:ind w:left="0" w:right="0" w:firstLine="48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①正本应用A4幅面纸张打印装订，编制封面（封面标明“正本”字样）、索引、页码，并用胶装装订成册。</w:t>
      </w:r>
    </w:p>
    <w:p>
      <w:pPr>
        <w:pStyle w:val="6"/>
        <w:keepNext w:val="0"/>
        <w:keepLines w:val="0"/>
        <w:widowControl/>
        <w:suppressLineNumbers w:val="0"/>
        <w:spacing w:before="75" w:beforeAutospacing="0" w:after="75" w:afterAutospacing="0"/>
        <w:ind w:left="0" w:right="0" w:firstLine="48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②副本应用A4幅面纸张打印装订，编制封面（封面标明“副本”字样）、索引、页码，并用胶装装订成册；副本可用正本的完整复印件，并与正本保持一致（若不一致，以正本为准）。</w:t>
      </w:r>
    </w:p>
    <w:p>
      <w:pPr>
        <w:pStyle w:val="6"/>
        <w:keepNext w:val="0"/>
        <w:keepLines w:val="0"/>
        <w:widowControl/>
        <w:suppressLineNumbers w:val="0"/>
        <w:spacing w:before="75" w:beforeAutospacing="0" w:after="75" w:afterAutospacing="0"/>
        <w:ind w:left="0" w:right="0" w:firstLine="48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③允许散装或活页装订的内容或材料：详见招标文件第二章。</w:t>
      </w:r>
    </w:p>
    <w:p>
      <w:pPr>
        <w:pStyle w:val="6"/>
        <w:keepNext w:val="0"/>
        <w:keepLines w:val="0"/>
        <w:widowControl/>
        <w:suppressLineNumbers w:val="0"/>
        <w:spacing w:before="75" w:beforeAutospacing="0" w:after="75" w:afterAutospacing="0"/>
        <w:ind w:left="0" w:right="0" w:firstLine="480"/>
        <w:rPr>
          <w:rFonts w:hint="eastAsia" w:ascii="宋体" w:hAnsi="宋体" w:eastAsia="宋体" w:cs="宋体"/>
          <w:b w:val="0"/>
          <w:i w:val="0"/>
          <w:caps w:val="0"/>
          <w:color w:val="000000"/>
          <w:spacing w:val="0"/>
          <w:sz w:val="24"/>
          <w:szCs w:val="24"/>
        </w:rPr>
      </w:pPr>
      <w:r>
        <w:rPr>
          <w:rStyle w:val="10"/>
          <w:rFonts w:hint="eastAsia" w:ascii="宋体" w:hAnsi="宋体" w:eastAsia="宋体" w:cs="宋体"/>
          <w:i w:val="0"/>
          <w:caps w:val="0"/>
          <w:color w:val="000000"/>
          <w:spacing w:val="0"/>
          <w:sz w:val="24"/>
          <w:szCs w:val="24"/>
        </w:rPr>
        <w:t>※除本章第10.5条第（2）款第③点规定情形外，投标文件散装或活页装订将导致投标无效。</w:t>
      </w:r>
    </w:p>
    <w:p>
      <w:pPr>
        <w:pStyle w:val="6"/>
        <w:keepNext w:val="0"/>
        <w:keepLines w:val="0"/>
        <w:widowControl/>
        <w:suppressLineNumbers w:val="0"/>
        <w:spacing w:before="75" w:beforeAutospacing="0" w:after="75" w:afterAutospacing="0"/>
        <w:ind w:left="0" w:right="0" w:firstLine="48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（3）除招标文件另有规定外，投标文件应使用人民币作为计量货币。</w:t>
      </w:r>
    </w:p>
    <w:p>
      <w:pPr>
        <w:pStyle w:val="6"/>
        <w:keepNext w:val="0"/>
        <w:keepLines w:val="0"/>
        <w:widowControl/>
        <w:suppressLineNumbers w:val="0"/>
        <w:spacing w:before="75" w:beforeAutospacing="0" w:after="75" w:afterAutospacing="0"/>
        <w:ind w:left="0" w:right="0" w:firstLine="48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（4）除招标文件另有规定外，签署、盖章应遵守下列规定：</w:t>
      </w:r>
    </w:p>
    <w:p>
      <w:pPr>
        <w:pStyle w:val="6"/>
        <w:keepNext w:val="0"/>
        <w:keepLines w:val="0"/>
        <w:widowControl/>
        <w:suppressLineNumbers w:val="0"/>
        <w:spacing w:before="75" w:beforeAutospacing="0" w:after="75" w:afterAutospacing="0"/>
        <w:ind w:left="0" w:right="0" w:firstLine="48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①投标文件应由投标人代表签字并加盖投标人的单位公章。若投标人代表为单位负责人授权的委托代理人，应提供“单位负责人授权书”。</w:t>
      </w:r>
    </w:p>
    <w:p>
      <w:pPr>
        <w:pStyle w:val="6"/>
        <w:keepNext w:val="0"/>
        <w:keepLines w:val="0"/>
        <w:widowControl/>
        <w:suppressLineNumbers w:val="0"/>
        <w:spacing w:before="75" w:beforeAutospacing="0" w:after="75" w:afterAutospacing="0"/>
        <w:ind w:left="0" w:right="0" w:firstLine="48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②投标文件应没有涂改或行间插字，除非这些改动是根据</w:t>
      </w:r>
      <w:r>
        <w:rPr>
          <w:rFonts w:hint="eastAsia" w:ascii="宋体" w:hAnsi="宋体" w:cs="宋体"/>
          <w:b w:val="0"/>
          <w:i w:val="0"/>
          <w:caps w:val="0"/>
          <w:color w:val="000000"/>
          <w:spacing w:val="0"/>
          <w:sz w:val="24"/>
          <w:szCs w:val="24"/>
          <w:u w:val="single"/>
          <w:lang w:eastAsia="zh-CN"/>
        </w:rPr>
        <w:t>三明天和工程管理有限公司</w:t>
      </w:r>
      <w:r>
        <w:rPr>
          <w:rFonts w:hint="eastAsia" w:ascii="宋体" w:hAnsi="宋体" w:eastAsia="宋体" w:cs="宋体"/>
          <w:b w:val="0"/>
          <w:i w:val="0"/>
          <w:caps w:val="0"/>
          <w:color w:val="000000"/>
          <w:spacing w:val="0"/>
          <w:sz w:val="24"/>
          <w:szCs w:val="24"/>
        </w:rPr>
        <w:t>的指示进行的，或是为改正投标人造成的应修改的错误而进行的。若有前述改动，应按照下列规定之一对改动处进行处理：</w:t>
      </w:r>
    </w:p>
    <w:p>
      <w:pPr>
        <w:pStyle w:val="6"/>
        <w:keepNext w:val="0"/>
        <w:keepLines w:val="0"/>
        <w:widowControl/>
        <w:suppressLineNumbers w:val="0"/>
        <w:spacing w:before="75" w:beforeAutospacing="0" w:after="75" w:afterAutospacing="0"/>
        <w:ind w:left="0" w:right="0" w:firstLine="48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a.投标人代表签字确认；</w:t>
      </w:r>
    </w:p>
    <w:p>
      <w:pPr>
        <w:pStyle w:val="6"/>
        <w:keepNext w:val="0"/>
        <w:keepLines w:val="0"/>
        <w:widowControl/>
        <w:suppressLineNumbers w:val="0"/>
        <w:spacing w:before="75" w:beforeAutospacing="0" w:after="75" w:afterAutospacing="0"/>
        <w:ind w:left="0" w:right="0" w:firstLine="48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b.加盖投标人的单位公章或校正章。</w:t>
      </w:r>
    </w:p>
    <w:p>
      <w:pPr>
        <w:pStyle w:val="6"/>
        <w:keepNext w:val="0"/>
        <w:keepLines w:val="0"/>
        <w:widowControl/>
        <w:suppressLineNumbers w:val="0"/>
        <w:spacing w:before="75" w:beforeAutospacing="0" w:after="75" w:afterAutospacing="0"/>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10.6投标报价</w:t>
      </w:r>
    </w:p>
    <w:p>
      <w:pPr>
        <w:pStyle w:val="6"/>
        <w:keepNext w:val="0"/>
        <w:keepLines w:val="0"/>
        <w:widowControl/>
        <w:suppressLineNumbers w:val="0"/>
        <w:spacing w:before="75" w:beforeAutospacing="0" w:after="75" w:afterAutospacing="0"/>
        <w:ind w:left="0" w:right="0" w:firstLine="48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（1）投标报价超出最高限价将导致</w:t>
      </w:r>
      <w:r>
        <w:rPr>
          <w:rStyle w:val="10"/>
          <w:rFonts w:hint="eastAsia" w:ascii="宋体" w:hAnsi="宋体" w:eastAsia="宋体" w:cs="宋体"/>
          <w:i w:val="0"/>
          <w:caps w:val="0"/>
          <w:color w:val="000000"/>
          <w:spacing w:val="0"/>
          <w:sz w:val="24"/>
          <w:szCs w:val="24"/>
        </w:rPr>
        <w:t>投标无效。</w:t>
      </w:r>
    </w:p>
    <w:p>
      <w:pPr>
        <w:pStyle w:val="6"/>
        <w:keepNext w:val="0"/>
        <w:keepLines w:val="0"/>
        <w:widowControl/>
        <w:suppressLineNumbers w:val="0"/>
        <w:spacing w:before="75" w:beforeAutospacing="0" w:after="75" w:afterAutospacing="0"/>
        <w:ind w:left="0" w:right="0" w:firstLine="48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（2）最高限价由采购人根据价格测算情况，在预算金额的额度内合理设定。最高限价不得超出预算金额。</w:t>
      </w:r>
    </w:p>
    <w:p>
      <w:pPr>
        <w:pStyle w:val="6"/>
        <w:keepNext w:val="0"/>
        <w:keepLines w:val="0"/>
        <w:widowControl/>
        <w:suppressLineNumbers w:val="0"/>
        <w:spacing w:before="75" w:beforeAutospacing="0" w:after="75" w:afterAutospacing="0"/>
        <w:ind w:left="0" w:right="0" w:firstLine="48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（3）除招标文件另有规定外，投标文件不能出现任何选择性的投标报价，即每一个合同包和品目号的采购标的都只能有一个投标报价。任何选择性的投标报价将导致</w:t>
      </w:r>
      <w:r>
        <w:rPr>
          <w:rStyle w:val="10"/>
          <w:rFonts w:hint="eastAsia" w:ascii="宋体" w:hAnsi="宋体" w:eastAsia="宋体" w:cs="宋体"/>
          <w:i w:val="0"/>
          <w:caps w:val="0"/>
          <w:color w:val="000000"/>
          <w:spacing w:val="0"/>
          <w:sz w:val="24"/>
          <w:szCs w:val="24"/>
        </w:rPr>
        <w:t>投标无效。</w:t>
      </w:r>
    </w:p>
    <w:p>
      <w:pPr>
        <w:pStyle w:val="6"/>
        <w:keepNext w:val="0"/>
        <w:keepLines w:val="0"/>
        <w:widowControl/>
        <w:suppressLineNumbers w:val="0"/>
        <w:spacing w:before="75" w:beforeAutospacing="0" w:after="75" w:afterAutospacing="0"/>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10.7分包</w:t>
      </w:r>
    </w:p>
    <w:p>
      <w:pPr>
        <w:pStyle w:val="6"/>
        <w:keepNext w:val="0"/>
        <w:keepLines w:val="0"/>
        <w:widowControl/>
        <w:suppressLineNumbers w:val="0"/>
        <w:spacing w:before="75" w:beforeAutospacing="0" w:after="75" w:afterAutospacing="0"/>
        <w:ind w:left="0" w:right="0" w:firstLine="48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（1）是否允许中标人将本项目的非主体、非关键性工作进行分包：详见招标文件第二章。</w:t>
      </w:r>
    </w:p>
    <w:p>
      <w:pPr>
        <w:pStyle w:val="6"/>
        <w:keepNext w:val="0"/>
        <w:keepLines w:val="0"/>
        <w:widowControl/>
        <w:suppressLineNumbers w:val="0"/>
        <w:spacing w:before="75" w:beforeAutospacing="0" w:after="75" w:afterAutospacing="0"/>
        <w:ind w:left="0" w:right="0" w:firstLine="48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（2）若允许中标人将本项目的非主体、非关键性工作进行分包且投标人拟在中标后进行分包，则投标人应在投标文件中载明分包承担主体，分包承担主体应具备相应资质条件（若有）且不得再次分包。</w:t>
      </w:r>
    </w:p>
    <w:p>
      <w:pPr>
        <w:pStyle w:val="6"/>
        <w:keepNext w:val="0"/>
        <w:keepLines w:val="0"/>
        <w:widowControl/>
        <w:suppressLineNumbers w:val="0"/>
        <w:spacing w:before="75" w:beforeAutospacing="0" w:after="75" w:afterAutospacing="0"/>
        <w:ind w:left="0" w:right="0" w:firstLine="48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（3）招标文件允许中标人将非主体、非关键性工作进行分包的项目，有下列情形之一的，中标人不得分包：</w:t>
      </w:r>
    </w:p>
    <w:p>
      <w:pPr>
        <w:pStyle w:val="6"/>
        <w:keepNext w:val="0"/>
        <w:keepLines w:val="0"/>
        <w:widowControl/>
        <w:suppressLineNumbers w:val="0"/>
        <w:spacing w:before="75" w:beforeAutospacing="0" w:after="75" w:afterAutospacing="0"/>
        <w:ind w:left="0" w:right="0" w:firstLine="48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①投标文件中未载明分包承担主体；</w:t>
      </w:r>
    </w:p>
    <w:p>
      <w:pPr>
        <w:pStyle w:val="6"/>
        <w:keepNext w:val="0"/>
        <w:keepLines w:val="0"/>
        <w:widowControl/>
        <w:suppressLineNumbers w:val="0"/>
        <w:spacing w:before="75" w:beforeAutospacing="0" w:after="75" w:afterAutospacing="0"/>
        <w:ind w:left="0" w:right="0" w:firstLine="48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②投标文件载明的分包承担主体不具备相应资质条件；</w:t>
      </w:r>
    </w:p>
    <w:p>
      <w:pPr>
        <w:pStyle w:val="6"/>
        <w:keepNext w:val="0"/>
        <w:keepLines w:val="0"/>
        <w:widowControl/>
        <w:suppressLineNumbers w:val="0"/>
        <w:spacing w:before="75" w:beforeAutospacing="0" w:after="75" w:afterAutospacing="0"/>
        <w:ind w:left="0" w:right="0" w:firstLine="48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③投标文件载明的分包承担主体拟再次分包。</w:t>
      </w:r>
    </w:p>
    <w:p>
      <w:pPr>
        <w:pStyle w:val="6"/>
        <w:keepNext w:val="0"/>
        <w:keepLines w:val="0"/>
        <w:widowControl/>
        <w:suppressLineNumbers w:val="0"/>
        <w:spacing w:before="75" w:beforeAutospacing="0" w:after="75" w:afterAutospacing="0"/>
        <w:ind w:left="0" w:right="0" w:firstLine="0"/>
        <w:rPr>
          <w:rFonts w:hint="eastAsia" w:ascii="宋体" w:hAnsi="宋体" w:eastAsia="宋体" w:cs="宋体"/>
          <w:sz w:val="24"/>
          <w:szCs w:val="24"/>
        </w:rPr>
      </w:pPr>
      <w:r>
        <w:rPr>
          <w:rFonts w:hint="eastAsia" w:ascii="宋体" w:hAnsi="宋体" w:eastAsia="宋体" w:cs="宋体"/>
          <w:spacing w:val="0"/>
          <w:sz w:val="24"/>
          <w:szCs w:val="24"/>
        </w:rPr>
        <w:t>10.8投标有效期</w:t>
      </w:r>
    </w:p>
    <w:p>
      <w:pPr>
        <w:pStyle w:val="6"/>
        <w:keepNext w:val="0"/>
        <w:keepLines w:val="0"/>
        <w:widowControl/>
        <w:suppressLineNumbers w:val="0"/>
        <w:spacing w:before="75" w:beforeAutospacing="0" w:after="75" w:afterAutospacing="0"/>
        <w:ind w:left="0" w:right="0" w:firstLine="480"/>
        <w:rPr>
          <w:rFonts w:hint="eastAsia" w:ascii="宋体" w:hAnsi="宋体" w:eastAsia="宋体" w:cs="宋体"/>
          <w:sz w:val="24"/>
          <w:szCs w:val="24"/>
        </w:rPr>
      </w:pPr>
      <w:r>
        <w:rPr>
          <w:rFonts w:hint="eastAsia" w:ascii="宋体" w:hAnsi="宋体" w:eastAsia="宋体" w:cs="宋体"/>
          <w:spacing w:val="0"/>
          <w:sz w:val="24"/>
          <w:szCs w:val="24"/>
        </w:rPr>
        <w:t>（1）招标文件载明的投标有效期：详见招标文件第二章。</w:t>
      </w:r>
    </w:p>
    <w:p>
      <w:pPr>
        <w:pStyle w:val="6"/>
        <w:keepNext w:val="0"/>
        <w:keepLines w:val="0"/>
        <w:widowControl/>
        <w:suppressLineNumbers w:val="0"/>
        <w:spacing w:before="75" w:beforeAutospacing="0" w:after="75" w:afterAutospacing="0"/>
        <w:ind w:left="0" w:right="0" w:firstLine="480"/>
        <w:rPr>
          <w:rFonts w:hint="eastAsia" w:ascii="宋体" w:hAnsi="宋体" w:eastAsia="宋体" w:cs="宋体"/>
          <w:sz w:val="24"/>
          <w:szCs w:val="24"/>
        </w:rPr>
      </w:pPr>
      <w:r>
        <w:rPr>
          <w:rFonts w:hint="eastAsia" w:ascii="宋体" w:hAnsi="宋体" w:eastAsia="宋体" w:cs="宋体"/>
          <w:spacing w:val="0"/>
          <w:sz w:val="24"/>
          <w:szCs w:val="24"/>
        </w:rPr>
        <w:t>（2）投标文件承诺的投标有效期不得少于招标文件载明的投标有效期，否则</w:t>
      </w:r>
      <w:r>
        <w:rPr>
          <w:rStyle w:val="10"/>
          <w:rFonts w:hint="eastAsia" w:ascii="宋体" w:hAnsi="宋体" w:eastAsia="宋体" w:cs="宋体"/>
          <w:spacing w:val="0"/>
          <w:sz w:val="24"/>
          <w:szCs w:val="24"/>
        </w:rPr>
        <w:t>投标无效</w:t>
      </w:r>
      <w:r>
        <w:rPr>
          <w:rFonts w:hint="eastAsia" w:ascii="宋体" w:hAnsi="宋体" w:eastAsia="宋体" w:cs="宋体"/>
          <w:spacing w:val="0"/>
          <w:sz w:val="24"/>
          <w:szCs w:val="24"/>
        </w:rPr>
        <w:t>。</w:t>
      </w:r>
    </w:p>
    <w:p>
      <w:pPr>
        <w:pStyle w:val="6"/>
        <w:keepNext w:val="0"/>
        <w:keepLines w:val="0"/>
        <w:widowControl/>
        <w:suppressLineNumbers w:val="0"/>
        <w:spacing w:before="75" w:beforeAutospacing="0" w:after="75" w:afterAutospacing="0"/>
        <w:ind w:left="0" w:right="0" w:firstLine="480"/>
        <w:rPr>
          <w:rFonts w:hint="eastAsia" w:ascii="宋体" w:hAnsi="宋体" w:eastAsia="宋体" w:cs="宋体"/>
          <w:spacing w:val="0"/>
          <w:sz w:val="24"/>
          <w:szCs w:val="24"/>
        </w:rPr>
      </w:pPr>
      <w:r>
        <w:rPr>
          <w:rFonts w:hint="eastAsia" w:ascii="宋体" w:hAnsi="宋体" w:eastAsia="宋体" w:cs="宋体"/>
          <w:spacing w:val="0"/>
          <w:sz w:val="24"/>
          <w:szCs w:val="24"/>
        </w:rPr>
        <w:t>（3）根据本次采购活动的需要，</w:t>
      </w:r>
      <w:r>
        <w:rPr>
          <w:rFonts w:hint="eastAsia" w:ascii="宋体" w:hAnsi="宋体" w:eastAsia="宋体" w:cs="宋体"/>
          <w:spacing w:val="0"/>
          <w:sz w:val="24"/>
          <w:szCs w:val="24"/>
          <w:u w:val="single"/>
          <w:lang w:val="en-US" w:eastAsia="zh-CN"/>
        </w:rPr>
        <w:t>三明天和工程管理有限公司</w:t>
      </w:r>
      <w:r>
        <w:rPr>
          <w:rFonts w:hint="eastAsia" w:ascii="宋体" w:hAnsi="宋体" w:eastAsia="宋体" w:cs="宋体"/>
          <w:spacing w:val="0"/>
          <w:sz w:val="24"/>
          <w:szCs w:val="24"/>
        </w:rPr>
        <w:t>可于投标有效期届满之前书面要求投标人延长投标有效期，投标人应在</w:t>
      </w:r>
      <w:r>
        <w:rPr>
          <w:rFonts w:hint="eastAsia" w:ascii="宋体" w:hAnsi="宋体" w:eastAsia="宋体" w:cs="宋体"/>
          <w:spacing w:val="0"/>
          <w:sz w:val="24"/>
          <w:szCs w:val="24"/>
          <w:u w:val="single"/>
          <w:lang w:val="en-US" w:eastAsia="zh-CN"/>
        </w:rPr>
        <w:t>三明天和工程管理有限公司</w:t>
      </w:r>
      <w:r>
        <w:rPr>
          <w:rFonts w:hint="eastAsia" w:ascii="宋体" w:hAnsi="宋体" w:eastAsia="宋体" w:cs="宋体"/>
          <w:spacing w:val="0"/>
          <w:sz w:val="24"/>
          <w:szCs w:val="24"/>
        </w:rPr>
        <w:t>规定的期限内以书面形式予以答复。对于延长投标有效期的要求，投标人可以拒绝也可以接受，投标人答复不明确或逾期未答复的，均视为拒绝该要求。对于接受延长投标有效期的投标人，既不要求也不允许修改投标文件。</w:t>
      </w:r>
    </w:p>
    <w:p>
      <w:pPr>
        <w:pStyle w:val="6"/>
        <w:keepNext w:val="0"/>
        <w:keepLines w:val="0"/>
        <w:widowControl/>
        <w:suppressLineNumbers w:val="0"/>
        <w:spacing w:before="75" w:beforeAutospacing="0" w:after="75" w:afterAutospacing="0"/>
        <w:ind w:left="0" w:right="0" w:firstLine="480"/>
        <w:rPr>
          <w:rFonts w:hint="eastAsia" w:ascii="宋体" w:hAnsi="宋体" w:eastAsia="宋体" w:cs="宋体"/>
          <w:spacing w:val="0"/>
          <w:sz w:val="24"/>
          <w:szCs w:val="24"/>
        </w:rPr>
      </w:pPr>
    </w:p>
    <w:p>
      <w:pPr>
        <w:pStyle w:val="6"/>
        <w:keepNext w:val="0"/>
        <w:keepLines w:val="0"/>
        <w:widowControl/>
        <w:suppressLineNumbers w:val="0"/>
        <w:spacing w:before="75" w:beforeAutospacing="0" w:after="75" w:afterAutospacing="0"/>
        <w:ind w:left="0" w:right="0" w:firstLine="0"/>
        <w:rPr>
          <w:rFonts w:hint="eastAsia" w:ascii="宋体" w:hAnsi="宋体" w:eastAsia="宋体" w:cs="宋体"/>
          <w:sz w:val="24"/>
          <w:szCs w:val="24"/>
        </w:rPr>
      </w:pPr>
      <w:r>
        <w:rPr>
          <w:rFonts w:hint="eastAsia" w:ascii="宋体" w:hAnsi="宋体" w:eastAsia="宋体" w:cs="宋体"/>
          <w:spacing w:val="0"/>
          <w:sz w:val="24"/>
          <w:szCs w:val="24"/>
        </w:rPr>
        <w:t>10.9投标保证金</w:t>
      </w:r>
    </w:p>
    <w:p>
      <w:pPr>
        <w:pStyle w:val="6"/>
        <w:keepNext w:val="0"/>
        <w:keepLines w:val="0"/>
        <w:widowControl/>
        <w:suppressLineNumbers w:val="0"/>
        <w:spacing w:before="75" w:beforeAutospacing="0" w:after="75" w:afterAutospacing="0"/>
        <w:ind w:left="0" w:right="0" w:firstLine="480"/>
        <w:rPr>
          <w:rFonts w:hint="eastAsia" w:ascii="宋体" w:hAnsi="宋体" w:eastAsia="宋体" w:cs="宋体"/>
          <w:sz w:val="24"/>
          <w:szCs w:val="24"/>
        </w:rPr>
      </w:pPr>
      <w:r>
        <w:rPr>
          <w:rFonts w:hint="eastAsia" w:ascii="宋体" w:hAnsi="宋体" w:eastAsia="宋体" w:cs="宋体"/>
          <w:spacing w:val="0"/>
          <w:sz w:val="24"/>
          <w:szCs w:val="24"/>
        </w:rPr>
        <w:t>（1）投标保证金作为投标人按照招标文件规定履行相应投标责任、义务的约束及担保。</w:t>
      </w:r>
    </w:p>
    <w:p>
      <w:pPr>
        <w:pStyle w:val="6"/>
        <w:keepNext w:val="0"/>
        <w:keepLines w:val="0"/>
        <w:widowControl/>
        <w:suppressLineNumbers w:val="0"/>
        <w:spacing w:before="75" w:beforeAutospacing="0" w:after="75" w:afterAutospacing="0"/>
        <w:ind w:left="0" w:right="0" w:firstLine="480"/>
        <w:rPr>
          <w:rFonts w:hint="eastAsia" w:ascii="宋体" w:hAnsi="宋体" w:eastAsia="宋体" w:cs="宋体"/>
          <w:sz w:val="24"/>
          <w:szCs w:val="24"/>
        </w:rPr>
      </w:pPr>
      <w:r>
        <w:rPr>
          <w:rFonts w:hint="eastAsia" w:ascii="宋体" w:hAnsi="宋体" w:eastAsia="宋体" w:cs="宋体"/>
          <w:spacing w:val="0"/>
          <w:sz w:val="24"/>
          <w:szCs w:val="24"/>
        </w:rPr>
        <w:t>（2）投标保证金的有效期应与投标文件承诺的投标有效期保持一致，否则</w:t>
      </w:r>
      <w:r>
        <w:rPr>
          <w:rStyle w:val="10"/>
          <w:rFonts w:hint="eastAsia" w:ascii="宋体" w:hAnsi="宋体" w:eastAsia="宋体" w:cs="宋体"/>
          <w:spacing w:val="0"/>
          <w:sz w:val="24"/>
          <w:szCs w:val="24"/>
        </w:rPr>
        <w:t>投标无效</w:t>
      </w:r>
      <w:r>
        <w:rPr>
          <w:rFonts w:hint="eastAsia" w:ascii="宋体" w:hAnsi="宋体" w:eastAsia="宋体" w:cs="宋体"/>
          <w:spacing w:val="0"/>
          <w:sz w:val="24"/>
          <w:szCs w:val="24"/>
        </w:rPr>
        <w:t>。</w:t>
      </w:r>
    </w:p>
    <w:p>
      <w:pPr>
        <w:pStyle w:val="6"/>
        <w:keepNext w:val="0"/>
        <w:keepLines w:val="0"/>
        <w:widowControl/>
        <w:suppressLineNumbers w:val="0"/>
        <w:spacing w:before="75" w:beforeAutospacing="0" w:after="75" w:afterAutospacing="0"/>
        <w:ind w:left="0" w:right="0" w:firstLine="480"/>
        <w:rPr>
          <w:rFonts w:hint="eastAsia" w:ascii="宋体" w:hAnsi="宋体" w:eastAsia="宋体" w:cs="宋体"/>
          <w:sz w:val="24"/>
          <w:szCs w:val="24"/>
        </w:rPr>
      </w:pPr>
      <w:r>
        <w:rPr>
          <w:rFonts w:hint="eastAsia" w:ascii="宋体" w:hAnsi="宋体" w:eastAsia="宋体" w:cs="宋体"/>
          <w:spacing w:val="0"/>
          <w:sz w:val="24"/>
          <w:szCs w:val="24"/>
        </w:rPr>
        <w:t>（3）提交</w:t>
      </w:r>
    </w:p>
    <w:p>
      <w:pPr>
        <w:pStyle w:val="6"/>
        <w:keepNext w:val="0"/>
        <w:keepLines w:val="0"/>
        <w:widowControl/>
        <w:suppressLineNumbers w:val="0"/>
        <w:spacing w:before="75" w:beforeAutospacing="0" w:after="75" w:afterAutospacing="0"/>
        <w:ind w:left="0" w:right="0" w:firstLine="480"/>
        <w:rPr>
          <w:rFonts w:hint="eastAsia" w:ascii="宋体" w:hAnsi="宋体" w:eastAsia="宋体" w:cs="宋体"/>
          <w:sz w:val="24"/>
          <w:szCs w:val="24"/>
        </w:rPr>
      </w:pPr>
      <w:r>
        <w:rPr>
          <w:rFonts w:hint="eastAsia" w:ascii="宋体" w:hAnsi="宋体" w:eastAsia="宋体" w:cs="宋体"/>
          <w:spacing w:val="0"/>
          <w:sz w:val="24"/>
          <w:szCs w:val="24"/>
        </w:rPr>
        <w:t>①投标人应从其银行账户</w:t>
      </w:r>
      <w:r>
        <w:rPr>
          <w:rStyle w:val="10"/>
          <w:rFonts w:hint="eastAsia" w:ascii="宋体" w:hAnsi="宋体" w:eastAsia="宋体" w:cs="宋体"/>
          <w:spacing w:val="0"/>
          <w:sz w:val="24"/>
          <w:szCs w:val="24"/>
        </w:rPr>
        <w:t>（基本存款账户）</w:t>
      </w:r>
      <w:r>
        <w:rPr>
          <w:rFonts w:hint="eastAsia" w:ascii="宋体" w:hAnsi="宋体" w:eastAsia="宋体" w:cs="宋体"/>
          <w:spacing w:val="0"/>
          <w:sz w:val="24"/>
          <w:szCs w:val="24"/>
        </w:rPr>
        <w:t>按照下列方式：</w:t>
      </w:r>
      <w:r>
        <w:rPr>
          <w:rStyle w:val="10"/>
          <w:rFonts w:hint="eastAsia" w:ascii="宋体" w:hAnsi="宋体" w:eastAsia="宋体" w:cs="宋体"/>
          <w:spacing w:val="0"/>
          <w:sz w:val="24"/>
          <w:szCs w:val="24"/>
        </w:rPr>
        <w:t>公对公转账方式</w:t>
      </w:r>
      <w:r>
        <w:rPr>
          <w:rFonts w:hint="eastAsia" w:ascii="宋体" w:hAnsi="宋体" w:eastAsia="宋体" w:cs="宋体"/>
          <w:spacing w:val="0"/>
          <w:sz w:val="24"/>
          <w:szCs w:val="24"/>
        </w:rPr>
        <w:t>向招标文件载明的投标保证金账户提交投标保证金，具体金额详见招标文件第一章。</w:t>
      </w:r>
    </w:p>
    <w:p>
      <w:pPr>
        <w:pStyle w:val="6"/>
        <w:keepNext w:val="0"/>
        <w:keepLines w:val="0"/>
        <w:widowControl/>
        <w:suppressLineNumbers w:val="0"/>
        <w:spacing w:before="75" w:beforeAutospacing="0" w:after="75" w:afterAutospacing="0"/>
        <w:ind w:left="0" w:right="0" w:firstLine="480"/>
        <w:rPr>
          <w:rFonts w:hint="eastAsia" w:ascii="宋体" w:hAnsi="宋体" w:eastAsia="宋体" w:cs="宋体"/>
          <w:sz w:val="24"/>
          <w:szCs w:val="24"/>
        </w:rPr>
      </w:pPr>
      <w:r>
        <w:rPr>
          <w:rFonts w:hint="eastAsia" w:ascii="宋体" w:hAnsi="宋体" w:eastAsia="宋体" w:cs="宋体"/>
          <w:spacing w:val="0"/>
          <w:sz w:val="24"/>
          <w:szCs w:val="24"/>
        </w:rPr>
        <w:t>②投标保证金应于投标截止时间前到达招标文件载明的投标保证金账户，否则视为投标保证金未提交；是否到达按照下列方式认定：</w:t>
      </w:r>
      <w:r>
        <w:rPr>
          <w:rStyle w:val="10"/>
          <w:rFonts w:hint="eastAsia" w:ascii="宋体" w:hAnsi="宋体" w:eastAsia="宋体" w:cs="宋体"/>
          <w:spacing w:val="0"/>
          <w:sz w:val="24"/>
          <w:szCs w:val="24"/>
        </w:rPr>
        <w:t>以福建省政府采购网上公开信息系统记载的为准。</w:t>
      </w:r>
    </w:p>
    <w:p>
      <w:pPr>
        <w:pStyle w:val="6"/>
        <w:keepNext w:val="0"/>
        <w:keepLines w:val="0"/>
        <w:widowControl/>
        <w:suppressLineNumbers w:val="0"/>
        <w:spacing w:before="75" w:beforeAutospacing="0" w:after="75" w:afterAutospacing="0"/>
        <w:ind w:left="0" w:right="0" w:firstLine="480"/>
        <w:rPr>
          <w:rFonts w:hint="eastAsia" w:ascii="宋体" w:hAnsi="宋体" w:eastAsia="宋体" w:cs="宋体"/>
          <w:sz w:val="24"/>
          <w:szCs w:val="24"/>
        </w:rPr>
      </w:pPr>
      <w:r>
        <w:rPr>
          <w:rFonts w:hint="eastAsia" w:ascii="宋体" w:hAnsi="宋体" w:eastAsia="宋体" w:cs="宋体"/>
          <w:spacing w:val="0"/>
          <w:sz w:val="24"/>
          <w:szCs w:val="24"/>
        </w:rPr>
        <w:t>③若本项目接受联合体投标且投标人为联合体，则联合体中的牵头方应按照本章第10.9条第（3）款第①、②点规定提交投标保证金。</w:t>
      </w:r>
    </w:p>
    <w:p>
      <w:pPr>
        <w:pStyle w:val="6"/>
        <w:keepNext w:val="0"/>
        <w:keepLines w:val="0"/>
        <w:widowControl/>
        <w:suppressLineNumbers w:val="0"/>
        <w:spacing w:before="75" w:beforeAutospacing="0" w:after="75" w:afterAutospacing="0"/>
        <w:ind w:left="0" w:right="0" w:firstLine="480"/>
        <w:rPr>
          <w:rFonts w:hint="eastAsia" w:ascii="宋体" w:hAnsi="宋体" w:eastAsia="宋体" w:cs="宋体"/>
          <w:sz w:val="24"/>
          <w:szCs w:val="24"/>
        </w:rPr>
      </w:pPr>
      <w:r>
        <w:rPr>
          <w:rStyle w:val="10"/>
          <w:rFonts w:hint="eastAsia" w:ascii="宋体" w:hAnsi="宋体" w:eastAsia="宋体" w:cs="宋体"/>
          <w:spacing w:val="0"/>
          <w:sz w:val="24"/>
          <w:szCs w:val="24"/>
        </w:rPr>
        <w:t>※除招标文件另有规定外，未按照上述规定提交投标保证金将导致资格审查不合格。</w:t>
      </w:r>
    </w:p>
    <w:p>
      <w:pPr>
        <w:pStyle w:val="6"/>
        <w:keepNext w:val="0"/>
        <w:keepLines w:val="0"/>
        <w:widowControl/>
        <w:suppressLineNumbers w:val="0"/>
        <w:spacing w:before="75" w:beforeAutospacing="0" w:after="75" w:afterAutospacing="0"/>
        <w:ind w:left="0" w:right="0" w:firstLine="480"/>
        <w:rPr>
          <w:rFonts w:hint="eastAsia" w:ascii="宋体" w:hAnsi="宋体" w:eastAsia="宋体" w:cs="宋体"/>
          <w:sz w:val="24"/>
          <w:szCs w:val="24"/>
        </w:rPr>
      </w:pPr>
      <w:r>
        <w:rPr>
          <w:rFonts w:hint="eastAsia" w:ascii="宋体" w:hAnsi="宋体" w:eastAsia="宋体" w:cs="宋体"/>
          <w:spacing w:val="0"/>
          <w:sz w:val="24"/>
          <w:szCs w:val="24"/>
        </w:rPr>
        <w:t>（4）退还</w:t>
      </w:r>
    </w:p>
    <w:p>
      <w:pPr>
        <w:pStyle w:val="6"/>
        <w:keepNext w:val="0"/>
        <w:keepLines w:val="0"/>
        <w:widowControl/>
        <w:suppressLineNumbers w:val="0"/>
        <w:spacing w:before="75" w:beforeAutospacing="0" w:after="75" w:afterAutospacing="0"/>
        <w:ind w:left="0" w:right="0" w:firstLine="480"/>
        <w:rPr>
          <w:rFonts w:hint="eastAsia" w:ascii="宋体" w:hAnsi="宋体" w:eastAsia="宋体" w:cs="宋体"/>
          <w:sz w:val="24"/>
          <w:szCs w:val="24"/>
        </w:rPr>
      </w:pPr>
      <w:r>
        <w:rPr>
          <w:rFonts w:hint="eastAsia" w:ascii="宋体" w:hAnsi="宋体" w:eastAsia="宋体" w:cs="宋体"/>
          <w:spacing w:val="0"/>
          <w:sz w:val="24"/>
          <w:szCs w:val="24"/>
        </w:rPr>
        <w:t>①在投标截止时间前撤回已提交的投标文件的投标人，其投标保证金将在</w:t>
      </w:r>
      <w:r>
        <w:rPr>
          <w:rFonts w:hint="eastAsia" w:ascii="宋体" w:hAnsi="宋体" w:eastAsia="宋体" w:cs="宋体"/>
          <w:spacing w:val="0"/>
          <w:sz w:val="24"/>
          <w:szCs w:val="24"/>
          <w:u w:val="single"/>
          <w:lang w:eastAsia="zh-CN"/>
        </w:rPr>
        <w:t>三明天和工程管理有限公司</w:t>
      </w:r>
      <w:r>
        <w:rPr>
          <w:rFonts w:hint="eastAsia" w:ascii="宋体" w:hAnsi="宋体" w:eastAsia="宋体" w:cs="宋体"/>
          <w:spacing w:val="0"/>
          <w:sz w:val="24"/>
          <w:szCs w:val="24"/>
        </w:rPr>
        <w:t>收到投标人书面撤回通知之日起5个工作日内退回原账户。</w:t>
      </w:r>
    </w:p>
    <w:p>
      <w:pPr>
        <w:pStyle w:val="6"/>
        <w:keepNext w:val="0"/>
        <w:keepLines w:val="0"/>
        <w:widowControl/>
        <w:suppressLineNumbers w:val="0"/>
        <w:spacing w:before="75" w:beforeAutospacing="0" w:after="75" w:afterAutospacing="0"/>
        <w:ind w:left="0" w:right="0" w:firstLine="480"/>
        <w:rPr>
          <w:rFonts w:hint="eastAsia" w:ascii="宋体" w:hAnsi="宋体" w:eastAsia="宋体" w:cs="宋体"/>
          <w:sz w:val="24"/>
          <w:szCs w:val="24"/>
        </w:rPr>
      </w:pPr>
      <w:r>
        <w:rPr>
          <w:rFonts w:hint="eastAsia" w:ascii="宋体" w:hAnsi="宋体" w:eastAsia="宋体" w:cs="宋体"/>
          <w:spacing w:val="0"/>
          <w:sz w:val="24"/>
          <w:szCs w:val="24"/>
        </w:rPr>
        <w:t>②未中标人的投标保证金将在中标通知书发出之日起5个工作日内退回原账户。</w:t>
      </w:r>
    </w:p>
    <w:p>
      <w:pPr>
        <w:pStyle w:val="6"/>
        <w:keepNext w:val="0"/>
        <w:keepLines w:val="0"/>
        <w:widowControl/>
        <w:suppressLineNumbers w:val="0"/>
        <w:spacing w:before="75" w:beforeAutospacing="0" w:after="75" w:afterAutospacing="0"/>
        <w:ind w:left="0" w:right="0" w:firstLine="480"/>
        <w:rPr>
          <w:rFonts w:hint="eastAsia" w:ascii="宋体" w:hAnsi="宋体" w:eastAsia="宋体" w:cs="宋体"/>
          <w:sz w:val="24"/>
          <w:szCs w:val="24"/>
        </w:rPr>
      </w:pPr>
      <w:r>
        <w:rPr>
          <w:rFonts w:hint="eastAsia" w:ascii="宋体" w:hAnsi="宋体" w:eastAsia="宋体" w:cs="宋体"/>
          <w:spacing w:val="0"/>
          <w:sz w:val="24"/>
          <w:szCs w:val="24"/>
        </w:rPr>
        <w:t>③中标人的投标保证金将在政府采购合同签订之日起5个工作日内退回原账户；合同签订之日按照下列方式认定：</w:t>
      </w:r>
      <w:r>
        <w:rPr>
          <w:rStyle w:val="10"/>
          <w:rFonts w:hint="eastAsia" w:ascii="宋体" w:hAnsi="宋体" w:eastAsia="宋体" w:cs="宋体"/>
          <w:spacing w:val="0"/>
          <w:sz w:val="24"/>
          <w:szCs w:val="24"/>
        </w:rPr>
        <w:t>以福建省政府采购网上公开信息系统记载的为准。</w:t>
      </w:r>
    </w:p>
    <w:p>
      <w:pPr>
        <w:pStyle w:val="6"/>
        <w:keepNext w:val="0"/>
        <w:keepLines w:val="0"/>
        <w:widowControl/>
        <w:suppressLineNumbers w:val="0"/>
        <w:spacing w:before="75" w:beforeAutospacing="0" w:after="75" w:afterAutospacing="0"/>
        <w:ind w:left="0" w:right="0" w:firstLine="480"/>
        <w:rPr>
          <w:rFonts w:hint="eastAsia" w:ascii="宋体" w:hAnsi="宋体" w:eastAsia="宋体" w:cs="宋体"/>
          <w:sz w:val="24"/>
          <w:szCs w:val="24"/>
        </w:rPr>
      </w:pPr>
      <w:r>
        <w:rPr>
          <w:rFonts w:hint="eastAsia" w:ascii="宋体" w:hAnsi="宋体" w:eastAsia="宋体" w:cs="宋体"/>
          <w:spacing w:val="0"/>
          <w:sz w:val="24"/>
          <w:szCs w:val="24"/>
        </w:rPr>
        <w:t>④终止招标的，</w:t>
      </w:r>
      <w:r>
        <w:rPr>
          <w:rFonts w:hint="eastAsia" w:ascii="宋体" w:hAnsi="宋体" w:eastAsia="宋体" w:cs="宋体"/>
          <w:spacing w:val="0"/>
          <w:sz w:val="24"/>
          <w:szCs w:val="24"/>
          <w:u w:val="single"/>
          <w:lang w:val="en-US" w:eastAsia="zh-CN"/>
        </w:rPr>
        <w:t>三明天和工程管理有限公司</w:t>
      </w:r>
      <w:r>
        <w:rPr>
          <w:rFonts w:hint="eastAsia" w:ascii="宋体" w:hAnsi="宋体" w:eastAsia="宋体" w:cs="宋体"/>
          <w:spacing w:val="0"/>
          <w:sz w:val="24"/>
          <w:szCs w:val="24"/>
        </w:rPr>
        <w:t>将在终止公告发布之日起5个工作日内退回已收取的投标保证金及其在银行产生的孳息。</w:t>
      </w:r>
    </w:p>
    <w:p>
      <w:pPr>
        <w:pStyle w:val="6"/>
        <w:keepNext w:val="0"/>
        <w:keepLines w:val="0"/>
        <w:widowControl/>
        <w:suppressLineNumbers w:val="0"/>
        <w:spacing w:before="75" w:beforeAutospacing="0" w:after="75" w:afterAutospacing="0"/>
        <w:ind w:left="0" w:right="0" w:firstLine="480"/>
        <w:rPr>
          <w:rFonts w:hint="eastAsia" w:ascii="宋体" w:hAnsi="宋体" w:eastAsia="宋体" w:cs="宋体"/>
          <w:sz w:val="24"/>
          <w:szCs w:val="24"/>
        </w:rPr>
      </w:pPr>
      <w:r>
        <w:rPr>
          <w:rFonts w:hint="eastAsia" w:ascii="宋体" w:hAnsi="宋体" w:eastAsia="宋体" w:cs="宋体"/>
          <w:spacing w:val="0"/>
          <w:sz w:val="24"/>
          <w:szCs w:val="24"/>
        </w:rPr>
        <w:t>⑤除招标文件另有规定外，质疑或投诉涉及的投标人，若投标保证金尚未退还，则待质疑或投诉处理完毕后不计利息原额退还。</w:t>
      </w:r>
    </w:p>
    <w:p>
      <w:pPr>
        <w:pStyle w:val="6"/>
        <w:keepNext w:val="0"/>
        <w:keepLines w:val="0"/>
        <w:widowControl/>
        <w:suppressLineNumbers w:val="0"/>
        <w:spacing w:before="75" w:beforeAutospacing="0" w:after="75" w:afterAutospacing="0"/>
        <w:ind w:left="0" w:right="0" w:firstLine="480"/>
        <w:rPr>
          <w:rFonts w:hint="eastAsia" w:ascii="宋体" w:hAnsi="宋体" w:eastAsia="宋体" w:cs="宋体"/>
          <w:sz w:val="24"/>
          <w:szCs w:val="24"/>
        </w:rPr>
      </w:pPr>
      <w:r>
        <w:rPr>
          <w:rStyle w:val="10"/>
          <w:rFonts w:hint="eastAsia" w:ascii="宋体" w:hAnsi="宋体" w:eastAsia="宋体" w:cs="宋体"/>
          <w:spacing w:val="0"/>
          <w:sz w:val="24"/>
          <w:szCs w:val="24"/>
        </w:rPr>
        <w:t>※本章第10.9条第（4）款第①、②、③点规定的投标保证金退还时限不包括因投标人自身原因导致无法及时退还而增加的时间。</w:t>
      </w:r>
    </w:p>
    <w:p>
      <w:pPr>
        <w:pStyle w:val="6"/>
        <w:keepNext w:val="0"/>
        <w:keepLines w:val="0"/>
        <w:widowControl/>
        <w:suppressLineNumbers w:val="0"/>
        <w:spacing w:before="75" w:beforeAutospacing="0" w:after="75" w:afterAutospacing="0"/>
        <w:ind w:left="0" w:right="0" w:firstLine="480"/>
        <w:rPr>
          <w:rFonts w:hint="eastAsia" w:ascii="宋体" w:hAnsi="宋体" w:eastAsia="宋体" w:cs="宋体"/>
          <w:sz w:val="24"/>
          <w:szCs w:val="24"/>
        </w:rPr>
      </w:pPr>
      <w:r>
        <w:rPr>
          <w:rFonts w:hint="eastAsia" w:ascii="宋体" w:hAnsi="宋体" w:eastAsia="宋体" w:cs="宋体"/>
          <w:spacing w:val="0"/>
          <w:sz w:val="24"/>
          <w:szCs w:val="24"/>
        </w:rPr>
        <w:t>（5）若出现本章第10.8条第（3）款规定情形，对于拒绝延长投标有效期的投标人，投标保证金仍可退还。对于接受延长投标有效期的投标人，相应延长投标保证金有效期，招标文件关于退还和不予退还投标保证金的规定继续适用。</w:t>
      </w:r>
    </w:p>
    <w:p>
      <w:pPr>
        <w:pStyle w:val="6"/>
        <w:keepNext w:val="0"/>
        <w:keepLines w:val="0"/>
        <w:widowControl/>
        <w:suppressLineNumbers w:val="0"/>
        <w:spacing w:before="75" w:beforeAutospacing="0" w:after="75" w:afterAutospacing="0"/>
        <w:ind w:left="0" w:right="0" w:firstLine="480"/>
        <w:rPr>
          <w:rFonts w:hint="eastAsia" w:ascii="宋体" w:hAnsi="宋体" w:eastAsia="宋体" w:cs="宋体"/>
          <w:sz w:val="24"/>
          <w:szCs w:val="24"/>
        </w:rPr>
      </w:pPr>
      <w:r>
        <w:rPr>
          <w:rFonts w:hint="eastAsia" w:ascii="宋体" w:hAnsi="宋体" w:eastAsia="宋体" w:cs="宋体"/>
          <w:spacing w:val="0"/>
          <w:sz w:val="24"/>
          <w:szCs w:val="24"/>
        </w:rPr>
        <w:t>（6）有下列情形之一的，投标保证金将不予退还：</w:t>
      </w:r>
    </w:p>
    <w:p>
      <w:pPr>
        <w:pStyle w:val="6"/>
        <w:keepNext w:val="0"/>
        <w:keepLines w:val="0"/>
        <w:widowControl/>
        <w:suppressLineNumbers w:val="0"/>
        <w:spacing w:before="75" w:beforeAutospacing="0" w:after="75" w:afterAutospacing="0"/>
        <w:ind w:left="0" w:right="0" w:firstLine="480"/>
        <w:rPr>
          <w:rFonts w:hint="eastAsia" w:ascii="宋体" w:hAnsi="宋体" w:eastAsia="宋体" w:cs="宋体"/>
          <w:sz w:val="24"/>
          <w:szCs w:val="24"/>
        </w:rPr>
      </w:pPr>
      <w:r>
        <w:rPr>
          <w:rFonts w:hint="eastAsia" w:ascii="宋体" w:hAnsi="宋体" w:eastAsia="宋体" w:cs="宋体"/>
          <w:spacing w:val="0"/>
          <w:sz w:val="24"/>
          <w:szCs w:val="24"/>
        </w:rPr>
        <w:t>①投标人串通投标；</w:t>
      </w:r>
    </w:p>
    <w:p>
      <w:pPr>
        <w:pStyle w:val="6"/>
        <w:keepNext w:val="0"/>
        <w:keepLines w:val="0"/>
        <w:widowControl/>
        <w:suppressLineNumbers w:val="0"/>
        <w:spacing w:before="75" w:beforeAutospacing="0" w:after="75" w:afterAutospacing="0"/>
        <w:ind w:left="0" w:right="0" w:firstLine="480"/>
        <w:rPr>
          <w:rFonts w:hint="eastAsia" w:ascii="宋体" w:hAnsi="宋体" w:eastAsia="宋体" w:cs="宋体"/>
          <w:sz w:val="24"/>
          <w:szCs w:val="24"/>
        </w:rPr>
      </w:pPr>
      <w:r>
        <w:rPr>
          <w:rFonts w:hint="eastAsia" w:ascii="宋体" w:hAnsi="宋体" w:eastAsia="宋体" w:cs="宋体"/>
          <w:spacing w:val="0"/>
          <w:sz w:val="24"/>
          <w:szCs w:val="24"/>
        </w:rPr>
        <w:t>②投标人提供虚假材料；</w:t>
      </w:r>
    </w:p>
    <w:p>
      <w:pPr>
        <w:pStyle w:val="6"/>
        <w:keepNext w:val="0"/>
        <w:keepLines w:val="0"/>
        <w:widowControl/>
        <w:suppressLineNumbers w:val="0"/>
        <w:spacing w:before="75" w:beforeAutospacing="0" w:after="75" w:afterAutospacing="0"/>
        <w:ind w:left="0" w:right="0" w:firstLine="480"/>
        <w:rPr>
          <w:rFonts w:hint="eastAsia" w:ascii="宋体" w:hAnsi="宋体" w:eastAsia="宋体" w:cs="宋体"/>
          <w:sz w:val="24"/>
          <w:szCs w:val="24"/>
        </w:rPr>
      </w:pPr>
      <w:r>
        <w:rPr>
          <w:rFonts w:hint="eastAsia" w:ascii="宋体" w:hAnsi="宋体" w:eastAsia="宋体" w:cs="宋体"/>
          <w:spacing w:val="0"/>
          <w:sz w:val="24"/>
          <w:szCs w:val="24"/>
        </w:rPr>
        <w:t>③投标人采取不正当手段诋毁、排挤其他投标人；</w:t>
      </w:r>
    </w:p>
    <w:p>
      <w:pPr>
        <w:pStyle w:val="6"/>
        <w:keepNext w:val="0"/>
        <w:keepLines w:val="0"/>
        <w:widowControl/>
        <w:suppressLineNumbers w:val="0"/>
        <w:spacing w:before="75" w:beforeAutospacing="0" w:after="75" w:afterAutospacing="0"/>
        <w:ind w:left="0" w:right="0" w:firstLine="480"/>
        <w:rPr>
          <w:rFonts w:hint="eastAsia" w:ascii="宋体" w:hAnsi="宋体" w:eastAsia="宋体" w:cs="宋体"/>
          <w:sz w:val="24"/>
          <w:szCs w:val="24"/>
        </w:rPr>
      </w:pPr>
      <w:r>
        <w:rPr>
          <w:rFonts w:hint="eastAsia" w:ascii="宋体" w:hAnsi="宋体" w:eastAsia="宋体" w:cs="宋体"/>
          <w:spacing w:val="0"/>
          <w:sz w:val="24"/>
          <w:szCs w:val="24"/>
        </w:rPr>
        <w:t>④投标截止时间后，投标人在投标有效期内撤销投标文件；</w:t>
      </w:r>
    </w:p>
    <w:p>
      <w:pPr>
        <w:pStyle w:val="6"/>
        <w:keepNext w:val="0"/>
        <w:keepLines w:val="0"/>
        <w:widowControl/>
        <w:suppressLineNumbers w:val="0"/>
        <w:spacing w:before="75" w:beforeAutospacing="0" w:after="75" w:afterAutospacing="0"/>
        <w:ind w:left="0" w:right="0" w:firstLine="480"/>
        <w:rPr>
          <w:rFonts w:hint="eastAsia" w:ascii="宋体" w:hAnsi="宋体" w:eastAsia="宋体" w:cs="宋体"/>
          <w:sz w:val="24"/>
          <w:szCs w:val="24"/>
        </w:rPr>
      </w:pPr>
      <w:r>
        <w:rPr>
          <w:rFonts w:hint="eastAsia" w:ascii="宋体" w:hAnsi="宋体" w:eastAsia="宋体" w:cs="宋体"/>
          <w:spacing w:val="0"/>
          <w:sz w:val="24"/>
          <w:szCs w:val="24"/>
        </w:rPr>
        <w:t>⑤投标人不接受评标委员会按照招标文件规定对投标报价错误之处进行修正；</w:t>
      </w:r>
    </w:p>
    <w:p>
      <w:pPr>
        <w:pStyle w:val="6"/>
        <w:keepNext w:val="0"/>
        <w:keepLines w:val="0"/>
        <w:widowControl/>
        <w:suppressLineNumbers w:val="0"/>
        <w:spacing w:before="75" w:beforeAutospacing="0" w:after="75" w:afterAutospacing="0"/>
        <w:ind w:left="0" w:right="0" w:firstLine="480"/>
        <w:rPr>
          <w:rFonts w:hint="eastAsia" w:ascii="宋体" w:hAnsi="宋体" w:eastAsia="宋体" w:cs="宋体"/>
          <w:sz w:val="24"/>
          <w:szCs w:val="24"/>
        </w:rPr>
      </w:pPr>
      <w:r>
        <w:rPr>
          <w:rFonts w:hint="eastAsia" w:ascii="宋体" w:hAnsi="宋体" w:eastAsia="宋体" w:cs="宋体"/>
          <w:spacing w:val="0"/>
          <w:sz w:val="24"/>
          <w:szCs w:val="24"/>
        </w:rPr>
        <w:t>⑥投标人违反招标文件第三章第9.4、9.5、9.6条规定之一；</w:t>
      </w:r>
    </w:p>
    <w:p>
      <w:pPr>
        <w:pStyle w:val="6"/>
        <w:keepNext w:val="0"/>
        <w:keepLines w:val="0"/>
        <w:widowControl/>
        <w:suppressLineNumbers w:val="0"/>
        <w:spacing w:before="75" w:beforeAutospacing="0" w:after="75" w:afterAutospacing="0"/>
        <w:ind w:left="0" w:right="0" w:firstLine="480"/>
        <w:rPr>
          <w:rFonts w:hint="eastAsia" w:ascii="宋体" w:hAnsi="宋体" w:eastAsia="宋体" w:cs="宋体"/>
          <w:sz w:val="24"/>
          <w:szCs w:val="24"/>
        </w:rPr>
      </w:pPr>
      <w:r>
        <w:rPr>
          <w:rFonts w:hint="eastAsia" w:ascii="宋体" w:hAnsi="宋体" w:eastAsia="宋体" w:cs="宋体"/>
          <w:spacing w:val="0"/>
          <w:sz w:val="24"/>
          <w:szCs w:val="24"/>
        </w:rPr>
        <w:t>⑦招标文件规定的其他不予退还情形；</w:t>
      </w:r>
    </w:p>
    <w:p>
      <w:pPr>
        <w:pStyle w:val="6"/>
        <w:keepNext w:val="0"/>
        <w:keepLines w:val="0"/>
        <w:widowControl/>
        <w:suppressLineNumbers w:val="0"/>
        <w:spacing w:before="75" w:beforeAutospacing="0" w:after="75" w:afterAutospacing="0"/>
        <w:ind w:left="0" w:right="0" w:firstLine="480"/>
        <w:rPr>
          <w:rFonts w:hint="eastAsia" w:ascii="宋体" w:hAnsi="宋体" w:eastAsia="宋体" w:cs="宋体"/>
          <w:sz w:val="24"/>
          <w:szCs w:val="24"/>
        </w:rPr>
      </w:pPr>
      <w:r>
        <w:rPr>
          <w:rFonts w:hint="eastAsia" w:ascii="宋体" w:hAnsi="宋体" w:eastAsia="宋体" w:cs="宋体"/>
          <w:spacing w:val="0"/>
          <w:sz w:val="24"/>
          <w:szCs w:val="24"/>
        </w:rPr>
        <w:t>⑧中标人有下列情形之一的：</w:t>
      </w:r>
    </w:p>
    <w:p>
      <w:pPr>
        <w:pStyle w:val="6"/>
        <w:keepNext w:val="0"/>
        <w:keepLines w:val="0"/>
        <w:widowControl/>
        <w:suppressLineNumbers w:val="0"/>
        <w:spacing w:before="75" w:beforeAutospacing="0" w:after="75" w:afterAutospacing="0"/>
        <w:ind w:left="0" w:right="0" w:firstLine="480"/>
        <w:rPr>
          <w:rFonts w:hint="eastAsia" w:ascii="宋体" w:hAnsi="宋体" w:eastAsia="宋体" w:cs="宋体"/>
          <w:sz w:val="24"/>
          <w:szCs w:val="24"/>
        </w:rPr>
      </w:pPr>
      <w:r>
        <w:rPr>
          <w:rFonts w:hint="eastAsia" w:ascii="宋体" w:hAnsi="宋体" w:eastAsia="宋体" w:cs="宋体"/>
          <w:spacing w:val="0"/>
          <w:sz w:val="24"/>
          <w:szCs w:val="24"/>
        </w:rPr>
        <w:t>a.除不可抗力外，因中标人自身原因未在中标通知书要求的期限内与采购人签订政府采购合同；</w:t>
      </w:r>
    </w:p>
    <w:p>
      <w:pPr>
        <w:pStyle w:val="6"/>
        <w:keepNext w:val="0"/>
        <w:keepLines w:val="0"/>
        <w:widowControl/>
        <w:suppressLineNumbers w:val="0"/>
        <w:spacing w:before="75" w:beforeAutospacing="0" w:after="75" w:afterAutospacing="0"/>
        <w:ind w:left="0" w:right="0" w:firstLine="480"/>
        <w:rPr>
          <w:rFonts w:hint="eastAsia" w:ascii="宋体" w:hAnsi="宋体" w:eastAsia="宋体" w:cs="宋体"/>
          <w:sz w:val="24"/>
          <w:szCs w:val="24"/>
        </w:rPr>
      </w:pPr>
      <w:r>
        <w:rPr>
          <w:rFonts w:hint="eastAsia" w:ascii="宋体" w:hAnsi="宋体" w:eastAsia="宋体" w:cs="宋体"/>
          <w:spacing w:val="0"/>
          <w:sz w:val="24"/>
          <w:szCs w:val="24"/>
        </w:rPr>
        <w:t>b.未按照招标文件、投标文件的约定签订政府采购合同或提交履约保证金。</w:t>
      </w:r>
    </w:p>
    <w:p>
      <w:pPr>
        <w:pStyle w:val="6"/>
        <w:keepNext w:val="0"/>
        <w:keepLines w:val="0"/>
        <w:widowControl/>
        <w:suppressLineNumbers w:val="0"/>
        <w:spacing w:before="75" w:beforeAutospacing="0" w:after="75" w:afterAutospacing="0"/>
        <w:ind w:left="0" w:right="0" w:firstLine="480"/>
        <w:rPr>
          <w:rFonts w:hint="eastAsia" w:ascii="宋体" w:hAnsi="宋体" w:eastAsia="宋体" w:cs="宋体"/>
          <w:sz w:val="24"/>
          <w:szCs w:val="24"/>
        </w:rPr>
      </w:pPr>
      <w:r>
        <w:rPr>
          <w:rStyle w:val="10"/>
          <w:rFonts w:hint="eastAsia" w:ascii="宋体" w:hAnsi="宋体" w:eastAsia="宋体" w:cs="宋体"/>
          <w:spacing w:val="0"/>
          <w:sz w:val="24"/>
          <w:szCs w:val="24"/>
        </w:rPr>
        <w:t>※若上述投标保证金不予退还情形给采购人（采购代理机构）造成损失，则投标人还要承担相应的赔偿责任。</w:t>
      </w:r>
    </w:p>
    <w:p>
      <w:pPr>
        <w:pStyle w:val="6"/>
        <w:keepNext w:val="0"/>
        <w:keepLines w:val="0"/>
        <w:widowControl/>
        <w:suppressLineNumbers w:val="0"/>
        <w:spacing w:before="75" w:beforeAutospacing="0" w:after="75" w:afterAutospacing="0"/>
        <w:ind w:left="0" w:right="0" w:firstLine="0"/>
        <w:rPr>
          <w:rFonts w:hint="eastAsia" w:ascii="宋体" w:hAnsi="宋体" w:eastAsia="宋体" w:cs="宋体"/>
          <w:sz w:val="24"/>
          <w:szCs w:val="24"/>
        </w:rPr>
      </w:pPr>
      <w:r>
        <w:rPr>
          <w:rFonts w:hint="eastAsia" w:ascii="宋体" w:hAnsi="宋体" w:eastAsia="宋体" w:cs="宋体"/>
          <w:spacing w:val="0"/>
          <w:sz w:val="24"/>
          <w:szCs w:val="24"/>
        </w:rPr>
        <w:t>10.10投标文件的提交</w:t>
      </w:r>
    </w:p>
    <w:p>
      <w:pPr>
        <w:pStyle w:val="6"/>
        <w:keepNext w:val="0"/>
        <w:keepLines w:val="0"/>
        <w:widowControl/>
        <w:suppressLineNumbers w:val="0"/>
        <w:spacing w:before="75" w:beforeAutospacing="0" w:after="75" w:afterAutospacing="0"/>
        <w:ind w:left="0" w:right="0" w:firstLine="480"/>
        <w:rPr>
          <w:rFonts w:hint="eastAsia" w:ascii="宋体" w:hAnsi="宋体" w:eastAsia="宋体" w:cs="宋体"/>
          <w:sz w:val="24"/>
          <w:szCs w:val="24"/>
        </w:rPr>
      </w:pPr>
      <w:r>
        <w:rPr>
          <w:rFonts w:hint="eastAsia" w:ascii="宋体" w:hAnsi="宋体" w:eastAsia="宋体" w:cs="宋体"/>
          <w:spacing w:val="0"/>
          <w:sz w:val="24"/>
          <w:szCs w:val="24"/>
        </w:rPr>
        <w:t>（1）一个投标人只能提交一个投标文件，并按照招标文件第一章规定将其送达。</w:t>
      </w:r>
    </w:p>
    <w:p>
      <w:pPr>
        <w:pStyle w:val="6"/>
        <w:keepNext w:val="0"/>
        <w:keepLines w:val="0"/>
        <w:widowControl/>
        <w:suppressLineNumbers w:val="0"/>
        <w:spacing w:before="75" w:beforeAutospacing="0" w:after="75" w:afterAutospacing="0"/>
        <w:ind w:left="0" w:right="0" w:firstLine="480"/>
        <w:rPr>
          <w:rFonts w:hint="eastAsia" w:ascii="宋体" w:hAnsi="宋体" w:eastAsia="宋体" w:cs="宋体"/>
          <w:sz w:val="24"/>
          <w:szCs w:val="24"/>
        </w:rPr>
      </w:pPr>
      <w:r>
        <w:rPr>
          <w:rFonts w:hint="eastAsia" w:ascii="宋体" w:hAnsi="宋体" w:eastAsia="宋体" w:cs="宋体"/>
          <w:spacing w:val="0"/>
          <w:sz w:val="24"/>
          <w:szCs w:val="24"/>
        </w:rPr>
        <w:t>（2）密封及其标记的具体形式：详见招标文件第二章。</w:t>
      </w:r>
    </w:p>
    <w:p>
      <w:pPr>
        <w:pStyle w:val="6"/>
        <w:keepNext w:val="0"/>
        <w:keepLines w:val="0"/>
        <w:widowControl/>
        <w:suppressLineNumbers w:val="0"/>
        <w:spacing w:before="75" w:beforeAutospacing="0" w:after="75" w:afterAutospacing="0"/>
        <w:ind w:left="0" w:right="0" w:firstLine="0"/>
        <w:rPr>
          <w:rFonts w:hint="eastAsia" w:ascii="宋体" w:hAnsi="宋体" w:eastAsia="宋体" w:cs="宋体"/>
          <w:sz w:val="24"/>
          <w:szCs w:val="24"/>
        </w:rPr>
      </w:pPr>
      <w:r>
        <w:rPr>
          <w:rFonts w:hint="eastAsia" w:ascii="宋体" w:hAnsi="宋体" w:eastAsia="宋体" w:cs="宋体"/>
          <w:spacing w:val="0"/>
          <w:sz w:val="24"/>
          <w:szCs w:val="24"/>
        </w:rPr>
        <w:t>10.11投标文件的补充、修改或撤回</w:t>
      </w:r>
    </w:p>
    <w:p>
      <w:pPr>
        <w:pStyle w:val="6"/>
        <w:keepNext w:val="0"/>
        <w:keepLines w:val="0"/>
        <w:widowControl/>
        <w:suppressLineNumbers w:val="0"/>
        <w:spacing w:before="75" w:beforeAutospacing="0" w:after="75" w:afterAutospacing="0"/>
        <w:ind w:left="0" w:right="0" w:firstLine="480"/>
        <w:rPr>
          <w:rFonts w:hint="eastAsia" w:ascii="宋体" w:hAnsi="宋体" w:eastAsia="宋体" w:cs="宋体"/>
          <w:sz w:val="24"/>
          <w:szCs w:val="24"/>
        </w:rPr>
      </w:pPr>
      <w:r>
        <w:rPr>
          <w:rFonts w:hint="eastAsia" w:ascii="宋体" w:hAnsi="宋体" w:eastAsia="宋体" w:cs="宋体"/>
          <w:spacing w:val="0"/>
          <w:sz w:val="24"/>
          <w:szCs w:val="24"/>
        </w:rPr>
        <w:t>（1）投标截止时间前，投标人可对所提交的投标文件进行补充、修改或撤回，并书面通知</w:t>
      </w:r>
      <w:r>
        <w:rPr>
          <w:rFonts w:hint="eastAsia" w:ascii="宋体" w:hAnsi="宋体" w:eastAsia="宋体" w:cs="宋体"/>
          <w:spacing w:val="0"/>
          <w:sz w:val="24"/>
          <w:szCs w:val="24"/>
          <w:u w:val="single"/>
          <w:lang w:eastAsia="zh-CN"/>
        </w:rPr>
        <w:t>三明天和工程管理有限公司</w:t>
      </w:r>
      <w:r>
        <w:rPr>
          <w:rFonts w:hint="eastAsia" w:ascii="宋体" w:hAnsi="宋体" w:eastAsia="宋体" w:cs="宋体"/>
          <w:spacing w:val="0"/>
          <w:sz w:val="24"/>
          <w:szCs w:val="24"/>
        </w:rPr>
        <w:t>。</w:t>
      </w:r>
    </w:p>
    <w:p>
      <w:pPr>
        <w:pStyle w:val="6"/>
        <w:keepNext w:val="0"/>
        <w:keepLines w:val="0"/>
        <w:widowControl/>
        <w:suppressLineNumbers w:val="0"/>
        <w:spacing w:before="75" w:beforeAutospacing="0" w:after="75" w:afterAutospacing="0"/>
        <w:ind w:left="0" w:right="0" w:firstLine="480"/>
        <w:rPr>
          <w:rFonts w:hint="eastAsia" w:ascii="宋体" w:hAnsi="宋体" w:eastAsia="宋体" w:cs="宋体"/>
          <w:sz w:val="24"/>
          <w:szCs w:val="24"/>
        </w:rPr>
      </w:pPr>
      <w:r>
        <w:rPr>
          <w:rFonts w:hint="eastAsia" w:ascii="宋体" w:hAnsi="宋体" w:eastAsia="宋体" w:cs="宋体"/>
          <w:spacing w:val="0"/>
          <w:sz w:val="24"/>
          <w:szCs w:val="24"/>
        </w:rPr>
        <w:t>（2）补充、修改的内容应按照本章第10.5条第（4）款规定进行签署、盖章，并按照本章第10.10条规定提交，</w:t>
      </w:r>
      <w:r>
        <w:rPr>
          <w:rStyle w:val="10"/>
          <w:rFonts w:hint="eastAsia" w:ascii="宋体" w:hAnsi="宋体" w:eastAsia="宋体" w:cs="宋体"/>
          <w:spacing w:val="0"/>
          <w:sz w:val="24"/>
          <w:szCs w:val="24"/>
        </w:rPr>
        <w:t>否则将被拒收。</w:t>
      </w:r>
    </w:p>
    <w:p>
      <w:pPr>
        <w:pStyle w:val="6"/>
        <w:keepNext w:val="0"/>
        <w:keepLines w:val="0"/>
        <w:widowControl/>
        <w:suppressLineNumbers w:val="0"/>
        <w:spacing w:before="75" w:beforeAutospacing="0" w:after="75" w:afterAutospacing="0"/>
        <w:ind w:left="0" w:right="0" w:firstLine="480"/>
        <w:rPr>
          <w:rFonts w:hint="eastAsia" w:ascii="宋体" w:hAnsi="宋体" w:eastAsia="宋体" w:cs="宋体"/>
          <w:sz w:val="24"/>
          <w:szCs w:val="24"/>
        </w:rPr>
      </w:pPr>
      <w:r>
        <w:rPr>
          <w:rStyle w:val="10"/>
          <w:rFonts w:hint="eastAsia" w:ascii="宋体" w:hAnsi="宋体" w:eastAsia="宋体" w:cs="宋体"/>
          <w:spacing w:val="0"/>
          <w:sz w:val="24"/>
          <w:szCs w:val="24"/>
        </w:rPr>
        <w:t>※按照上述规定提交的补充、修改内容作为投标文件组成部分。</w:t>
      </w:r>
    </w:p>
    <w:p>
      <w:pPr>
        <w:pStyle w:val="6"/>
        <w:keepNext w:val="0"/>
        <w:keepLines w:val="0"/>
        <w:widowControl/>
        <w:suppressLineNumbers w:val="0"/>
        <w:spacing w:before="75" w:beforeAutospacing="0" w:after="75" w:afterAutospacing="0"/>
        <w:ind w:left="0" w:right="0" w:firstLine="0"/>
        <w:rPr>
          <w:rFonts w:hint="eastAsia" w:ascii="宋体" w:hAnsi="宋体" w:eastAsia="宋体" w:cs="宋体"/>
          <w:sz w:val="24"/>
          <w:szCs w:val="24"/>
        </w:rPr>
      </w:pPr>
      <w:r>
        <w:rPr>
          <w:rFonts w:hint="eastAsia" w:ascii="宋体" w:hAnsi="宋体" w:eastAsia="宋体" w:cs="宋体"/>
          <w:spacing w:val="0"/>
          <w:sz w:val="24"/>
          <w:szCs w:val="24"/>
        </w:rPr>
        <w:t>10.12除招标文件另有规定外，有下列情形之一的，</w:t>
      </w:r>
      <w:r>
        <w:rPr>
          <w:rStyle w:val="10"/>
          <w:rFonts w:hint="eastAsia" w:ascii="宋体" w:hAnsi="宋体" w:eastAsia="宋体" w:cs="宋体"/>
          <w:spacing w:val="0"/>
          <w:sz w:val="24"/>
          <w:szCs w:val="24"/>
        </w:rPr>
        <w:t>投标无效</w:t>
      </w:r>
      <w:r>
        <w:rPr>
          <w:rFonts w:hint="eastAsia" w:ascii="宋体" w:hAnsi="宋体" w:eastAsia="宋体" w:cs="宋体"/>
          <w:spacing w:val="0"/>
          <w:sz w:val="24"/>
          <w:szCs w:val="24"/>
        </w:rPr>
        <w:t>：</w:t>
      </w:r>
    </w:p>
    <w:p>
      <w:pPr>
        <w:pStyle w:val="6"/>
        <w:keepNext w:val="0"/>
        <w:keepLines w:val="0"/>
        <w:widowControl/>
        <w:suppressLineNumbers w:val="0"/>
        <w:spacing w:before="75" w:beforeAutospacing="0" w:after="75" w:afterAutospacing="0"/>
        <w:ind w:left="0" w:right="0" w:firstLine="480"/>
        <w:rPr>
          <w:rFonts w:hint="eastAsia" w:ascii="宋体" w:hAnsi="宋体" w:eastAsia="宋体" w:cs="宋体"/>
          <w:sz w:val="24"/>
          <w:szCs w:val="24"/>
        </w:rPr>
      </w:pPr>
      <w:r>
        <w:rPr>
          <w:rFonts w:hint="eastAsia" w:ascii="宋体" w:hAnsi="宋体" w:eastAsia="宋体" w:cs="宋体"/>
          <w:spacing w:val="0"/>
          <w:sz w:val="24"/>
          <w:szCs w:val="24"/>
        </w:rPr>
        <w:t>（1）投标文件未按照招标文件要求签署、盖章；</w:t>
      </w:r>
    </w:p>
    <w:p>
      <w:pPr>
        <w:pStyle w:val="6"/>
        <w:keepNext w:val="0"/>
        <w:keepLines w:val="0"/>
        <w:widowControl/>
        <w:suppressLineNumbers w:val="0"/>
        <w:spacing w:before="75" w:beforeAutospacing="0" w:after="75" w:afterAutospacing="0"/>
        <w:ind w:left="0" w:right="0" w:firstLine="480"/>
        <w:rPr>
          <w:rFonts w:hint="eastAsia" w:ascii="宋体" w:hAnsi="宋体" w:eastAsia="宋体" w:cs="宋体"/>
          <w:sz w:val="24"/>
          <w:szCs w:val="24"/>
        </w:rPr>
      </w:pPr>
      <w:r>
        <w:rPr>
          <w:rFonts w:hint="eastAsia" w:ascii="宋体" w:hAnsi="宋体" w:eastAsia="宋体" w:cs="宋体"/>
          <w:spacing w:val="0"/>
          <w:sz w:val="24"/>
          <w:szCs w:val="24"/>
        </w:rPr>
        <w:t>（2）不符合招标文件中规定的资格要求；</w:t>
      </w:r>
    </w:p>
    <w:p>
      <w:pPr>
        <w:pStyle w:val="6"/>
        <w:keepNext w:val="0"/>
        <w:keepLines w:val="0"/>
        <w:widowControl/>
        <w:suppressLineNumbers w:val="0"/>
        <w:spacing w:before="75" w:beforeAutospacing="0" w:after="75" w:afterAutospacing="0"/>
        <w:ind w:left="0" w:right="0" w:firstLine="480"/>
        <w:rPr>
          <w:rFonts w:hint="eastAsia" w:ascii="宋体" w:hAnsi="宋体" w:eastAsia="宋体" w:cs="宋体"/>
          <w:sz w:val="24"/>
          <w:szCs w:val="24"/>
        </w:rPr>
      </w:pPr>
      <w:r>
        <w:rPr>
          <w:rFonts w:hint="eastAsia" w:ascii="宋体" w:hAnsi="宋体" w:eastAsia="宋体" w:cs="宋体"/>
          <w:spacing w:val="0"/>
          <w:sz w:val="24"/>
          <w:szCs w:val="24"/>
        </w:rPr>
        <w:t>（3）投标报价超过招标文件中规定的预算金额或最高限价；</w:t>
      </w:r>
    </w:p>
    <w:p>
      <w:pPr>
        <w:pStyle w:val="6"/>
        <w:keepNext w:val="0"/>
        <w:keepLines w:val="0"/>
        <w:widowControl/>
        <w:suppressLineNumbers w:val="0"/>
        <w:spacing w:before="75" w:beforeAutospacing="0" w:after="75" w:afterAutospacing="0"/>
        <w:ind w:left="0" w:right="0" w:firstLine="480"/>
        <w:rPr>
          <w:rFonts w:hint="eastAsia" w:ascii="宋体" w:hAnsi="宋体" w:eastAsia="宋体" w:cs="宋体"/>
          <w:sz w:val="24"/>
          <w:szCs w:val="24"/>
        </w:rPr>
      </w:pPr>
      <w:r>
        <w:rPr>
          <w:rFonts w:hint="eastAsia" w:ascii="宋体" w:hAnsi="宋体" w:eastAsia="宋体" w:cs="宋体"/>
          <w:spacing w:val="0"/>
          <w:sz w:val="24"/>
          <w:szCs w:val="24"/>
        </w:rPr>
        <w:t>（4）投标文件含有采购人不能接受的附加条件；</w:t>
      </w:r>
    </w:p>
    <w:p>
      <w:pPr>
        <w:pStyle w:val="6"/>
        <w:keepNext w:val="0"/>
        <w:keepLines w:val="0"/>
        <w:widowControl/>
        <w:suppressLineNumbers w:val="0"/>
        <w:spacing w:before="75" w:beforeAutospacing="0" w:after="75" w:afterAutospacing="0"/>
        <w:ind w:left="0" w:right="0" w:firstLine="480"/>
        <w:rPr>
          <w:rFonts w:hint="eastAsia" w:ascii="宋体" w:hAnsi="宋体" w:eastAsia="宋体" w:cs="宋体"/>
          <w:sz w:val="24"/>
          <w:szCs w:val="24"/>
        </w:rPr>
      </w:pPr>
      <w:r>
        <w:rPr>
          <w:rFonts w:hint="eastAsia" w:ascii="宋体" w:hAnsi="宋体" w:eastAsia="宋体" w:cs="宋体"/>
          <w:spacing w:val="0"/>
          <w:sz w:val="24"/>
          <w:szCs w:val="24"/>
        </w:rPr>
        <w:t>（5）有关法律、法规和规章及招标文件规定的其他无效情形。</w:t>
      </w:r>
    </w:p>
    <w:p>
      <w:pPr>
        <w:pStyle w:val="6"/>
        <w:keepNext w:val="0"/>
        <w:keepLines w:val="0"/>
        <w:widowControl/>
        <w:suppressLineNumbers w:val="0"/>
        <w:spacing w:before="75" w:beforeAutospacing="0" w:after="75" w:afterAutospacing="0"/>
        <w:ind w:left="0" w:right="0" w:firstLine="0"/>
        <w:rPr>
          <w:rFonts w:hint="eastAsia" w:ascii="宋体" w:hAnsi="宋体" w:eastAsia="宋体" w:cs="宋体"/>
          <w:sz w:val="24"/>
          <w:szCs w:val="24"/>
        </w:rPr>
      </w:pPr>
      <w:r>
        <w:rPr>
          <w:rFonts w:hint="eastAsia" w:ascii="宋体" w:hAnsi="宋体" w:eastAsia="宋体" w:cs="宋体"/>
          <w:spacing w:val="0"/>
          <w:sz w:val="24"/>
          <w:szCs w:val="24"/>
        </w:rPr>
        <w:t> </w:t>
      </w:r>
    </w:p>
    <w:p>
      <w:pPr>
        <w:pStyle w:val="6"/>
        <w:keepNext w:val="0"/>
        <w:keepLines w:val="0"/>
        <w:widowControl/>
        <w:suppressLineNumbers w:val="0"/>
        <w:spacing w:before="75" w:beforeAutospacing="0" w:after="75" w:afterAutospacing="0"/>
        <w:ind w:left="0" w:right="0" w:firstLine="0"/>
        <w:jc w:val="center"/>
        <w:rPr>
          <w:rFonts w:hint="eastAsia" w:ascii="宋体" w:hAnsi="宋体" w:eastAsia="宋体" w:cs="宋体"/>
          <w:sz w:val="24"/>
          <w:szCs w:val="24"/>
        </w:rPr>
      </w:pPr>
      <w:r>
        <w:rPr>
          <w:rStyle w:val="10"/>
          <w:rFonts w:hint="eastAsia" w:ascii="宋体" w:hAnsi="宋体" w:eastAsia="宋体" w:cs="宋体"/>
          <w:spacing w:val="0"/>
          <w:sz w:val="24"/>
          <w:szCs w:val="24"/>
        </w:rPr>
        <w:t>五、开标</w:t>
      </w:r>
    </w:p>
    <w:p>
      <w:pPr>
        <w:pStyle w:val="6"/>
        <w:keepNext w:val="0"/>
        <w:keepLines w:val="0"/>
        <w:widowControl/>
        <w:suppressLineNumbers w:val="0"/>
        <w:spacing w:before="75" w:beforeAutospacing="0" w:after="75" w:afterAutospacing="0"/>
        <w:ind w:left="0" w:right="0" w:firstLine="0"/>
        <w:rPr>
          <w:rFonts w:hint="eastAsia" w:ascii="宋体" w:hAnsi="宋体" w:eastAsia="宋体" w:cs="宋体"/>
          <w:sz w:val="24"/>
          <w:szCs w:val="24"/>
        </w:rPr>
      </w:pPr>
      <w:r>
        <w:rPr>
          <w:rFonts w:hint="eastAsia" w:ascii="宋体" w:hAnsi="宋体" w:eastAsia="宋体" w:cs="宋体"/>
          <w:spacing w:val="0"/>
          <w:sz w:val="24"/>
          <w:szCs w:val="24"/>
        </w:rPr>
        <w:t>11、开标</w:t>
      </w:r>
    </w:p>
    <w:p>
      <w:pPr>
        <w:pStyle w:val="6"/>
        <w:keepNext w:val="0"/>
        <w:keepLines w:val="0"/>
        <w:widowControl/>
        <w:suppressLineNumbers w:val="0"/>
        <w:spacing w:before="75" w:beforeAutospacing="0" w:after="75" w:afterAutospacing="0"/>
        <w:ind w:left="0" w:right="0" w:firstLine="0"/>
        <w:rPr>
          <w:rFonts w:hint="eastAsia" w:ascii="宋体" w:hAnsi="宋体" w:eastAsia="宋体" w:cs="宋体"/>
          <w:sz w:val="24"/>
          <w:szCs w:val="24"/>
        </w:rPr>
      </w:pPr>
      <w:r>
        <w:rPr>
          <w:rFonts w:hint="eastAsia" w:ascii="宋体" w:hAnsi="宋体" w:eastAsia="宋体" w:cs="宋体"/>
          <w:spacing w:val="0"/>
          <w:sz w:val="24"/>
          <w:szCs w:val="24"/>
        </w:rPr>
        <w:t>11.1</w:t>
      </w:r>
      <w:r>
        <w:rPr>
          <w:rFonts w:hint="eastAsia" w:ascii="宋体" w:hAnsi="宋体" w:eastAsia="宋体" w:cs="宋体"/>
          <w:spacing w:val="0"/>
          <w:sz w:val="24"/>
          <w:szCs w:val="24"/>
          <w:u w:val="single"/>
          <w:lang w:val="en-US" w:eastAsia="zh-CN"/>
        </w:rPr>
        <w:t>三明天和工程管理有限公司</w:t>
      </w:r>
      <w:r>
        <w:rPr>
          <w:rFonts w:hint="eastAsia" w:ascii="宋体" w:hAnsi="宋体" w:eastAsia="宋体" w:cs="宋体"/>
          <w:spacing w:val="0"/>
          <w:sz w:val="24"/>
          <w:szCs w:val="24"/>
        </w:rPr>
        <w:t>将在招标文件载明的开标时间及地点主持召开开标会，并邀请投标人参加。</w:t>
      </w:r>
    </w:p>
    <w:p>
      <w:pPr>
        <w:pStyle w:val="6"/>
        <w:keepNext w:val="0"/>
        <w:keepLines w:val="0"/>
        <w:widowControl/>
        <w:suppressLineNumbers w:val="0"/>
        <w:spacing w:before="75" w:beforeAutospacing="0" w:after="75" w:afterAutospacing="0"/>
        <w:ind w:left="0" w:right="0" w:firstLine="0"/>
        <w:rPr>
          <w:rFonts w:hint="eastAsia" w:ascii="宋体" w:hAnsi="宋体" w:eastAsia="宋体" w:cs="宋体"/>
          <w:sz w:val="24"/>
          <w:szCs w:val="24"/>
        </w:rPr>
      </w:pPr>
      <w:r>
        <w:rPr>
          <w:rFonts w:hint="eastAsia" w:ascii="宋体" w:hAnsi="宋体" w:eastAsia="宋体" w:cs="宋体"/>
          <w:spacing w:val="0"/>
          <w:sz w:val="24"/>
          <w:szCs w:val="24"/>
        </w:rPr>
        <w:t>11.2开标会的主持人、唱标人、记录人及其他工作人员（若有）均由</w:t>
      </w:r>
      <w:r>
        <w:rPr>
          <w:rFonts w:hint="eastAsia" w:ascii="宋体" w:hAnsi="宋体" w:eastAsia="宋体" w:cs="宋体"/>
          <w:spacing w:val="0"/>
          <w:sz w:val="24"/>
          <w:szCs w:val="24"/>
          <w:u w:val="single"/>
          <w:lang w:val="en-US" w:eastAsia="zh-CN"/>
        </w:rPr>
        <w:t>三明天和工程管理有限公司</w:t>
      </w:r>
      <w:r>
        <w:rPr>
          <w:rFonts w:hint="eastAsia" w:ascii="宋体" w:hAnsi="宋体" w:eastAsia="宋体" w:cs="宋体"/>
          <w:spacing w:val="0"/>
          <w:sz w:val="24"/>
          <w:szCs w:val="24"/>
        </w:rPr>
        <w:t>派出，现场监督人员（若有）可由有关方面派出。</w:t>
      </w:r>
    </w:p>
    <w:p>
      <w:pPr>
        <w:pStyle w:val="6"/>
        <w:keepNext w:val="0"/>
        <w:keepLines w:val="0"/>
        <w:widowControl/>
        <w:suppressLineNumbers w:val="0"/>
        <w:spacing w:before="75" w:beforeAutospacing="0" w:after="75" w:afterAutospacing="0"/>
        <w:ind w:left="0" w:right="0" w:firstLine="0"/>
        <w:rPr>
          <w:rFonts w:hint="eastAsia" w:ascii="宋体" w:hAnsi="宋体" w:eastAsia="宋体" w:cs="宋体"/>
          <w:sz w:val="24"/>
          <w:szCs w:val="24"/>
        </w:rPr>
      </w:pPr>
      <w:r>
        <w:rPr>
          <w:rFonts w:hint="eastAsia" w:ascii="宋体" w:hAnsi="宋体" w:eastAsia="宋体" w:cs="宋体"/>
          <w:spacing w:val="0"/>
          <w:sz w:val="24"/>
          <w:szCs w:val="24"/>
        </w:rPr>
        <w:t>11.3参加开标会的投标人应签到，非投标人不参加开标会。</w:t>
      </w:r>
    </w:p>
    <w:p>
      <w:pPr>
        <w:pStyle w:val="6"/>
        <w:keepNext w:val="0"/>
        <w:keepLines w:val="0"/>
        <w:widowControl/>
        <w:suppressLineNumbers w:val="0"/>
        <w:spacing w:before="75" w:beforeAutospacing="0" w:after="75" w:afterAutospacing="0"/>
        <w:ind w:left="0" w:right="0" w:firstLine="0"/>
        <w:rPr>
          <w:rFonts w:hint="eastAsia" w:ascii="宋体" w:hAnsi="宋体" w:eastAsia="宋体" w:cs="宋体"/>
          <w:sz w:val="24"/>
          <w:szCs w:val="24"/>
        </w:rPr>
      </w:pPr>
      <w:r>
        <w:rPr>
          <w:rFonts w:hint="eastAsia" w:ascii="宋体" w:hAnsi="宋体" w:eastAsia="宋体" w:cs="宋体"/>
          <w:spacing w:val="0"/>
          <w:sz w:val="24"/>
          <w:szCs w:val="24"/>
        </w:rPr>
        <w:t>11.4开标会应遵守下列规定：</w:t>
      </w:r>
    </w:p>
    <w:p>
      <w:pPr>
        <w:pStyle w:val="6"/>
        <w:keepNext w:val="0"/>
        <w:keepLines w:val="0"/>
        <w:widowControl/>
        <w:suppressLineNumbers w:val="0"/>
        <w:spacing w:before="75" w:beforeAutospacing="0" w:after="75" w:afterAutospacing="0"/>
        <w:ind w:left="0" w:right="0" w:firstLine="480"/>
        <w:rPr>
          <w:rFonts w:hint="eastAsia" w:ascii="宋体" w:hAnsi="宋体" w:eastAsia="宋体" w:cs="宋体"/>
          <w:sz w:val="24"/>
          <w:szCs w:val="24"/>
        </w:rPr>
      </w:pPr>
      <w:r>
        <w:rPr>
          <w:rFonts w:hint="eastAsia" w:ascii="宋体" w:hAnsi="宋体" w:eastAsia="宋体" w:cs="宋体"/>
          <w:spacing w:val="0"/>
          <w:sz w:val="24"/>
          <w:szCs w:val="24"/>
        </w:rPr>
        <w:t>（1）首先由主持人宣布开标会须知，然后由投标人代表对投标文件的密封情况进行检查，经确认无误后，由工作人员对密封的投标文件当众拆封。</w:t>
      </w:r>
    </w:p>
    <w:p>
      <w:pPr>
        <w:pStyle w:val="6"/>
        <w:keepNext w:val="0"/>
        <w:keepLines w:val="0"/>
        <w:widowControl/>
        <w:suppressLineNumbers w:val="0"/>
        <w:spacing w:before="75" w:beforeAutospacing="0" w:after="75" w:afterAutospacing="0"/>
        <w:ind w:left="0" w:right="0" w:firstLine="480"/>
        <w:rPr>
          <w:rFonts w:hint="eastAsia" w:ascii="宋体" w:hAnsi="宋体" w:eastAsia="宋体" w:cs="宋体"/>
          <w:sz w:val="24"/>
          <w:szCs w:val="24"/>
        </w:rPr>
      </w:pPr>
      <w:r>
        <w:rPr>
          <w:rFonts w:hint="eastAsia" w:ascii="宋体" w:hAnsi="宋体" w:eastAsia="宋体" w:cs="宋体"/>
          <w:spacing w:val="0"/>
          <w:sz w:val="24"/>
          <w:szCs w:val="24"/>
        </w:rPr>
        <w:t>（2）唱标时，唱标人将依次宣布“投标人名称”、“各投标人关于投标文件补充、修改或撤回的书面通知（若有）”、“各投标人的投标报价”和招标文件规定的需要宣布的其他内容（包括但不限于：开标一览表中的内容、唱标人认为需要宣布的内容等）。</w:t>
      </w:r>
    </w:p>
    <w:p>
      <w:pPr>
        <w:pStyle w:val="6"/>
        <w:keepNext w:val="0"/>
        <w:keepLines w:val="0"/>
        <w:widowControl/>
        <w:suppressLineNumbers w:val="0"/>
        <w:spacing w:before="75" w:beforeAutospacing="0" w:after="75" w:afterAutospacing="0"/>
        <w:ind w:left="0" w:right="0" w:firstLine="480"/>
        <w:rPr>
          <w:rFonts w:hint="eastAsia" w:ascii="宋体" w:hAnsi="宋体" w:eastAsia="宋体" w:cs="宋体"/>
          <w:sz w:val="24"/>
          <w:szCs w:val="24"/>
        </w:rPr>
      </w:pPr>
      <w:r>
        <w:rPr>
          <w:rFonts w:hint="eastAsia" w:ascii="宋体" w:hAnsi="宋体" w:eastAsia="宋体" w:cs="宋体"/>
          <w:spacing w:val="0"/>
          <w:sz w:val="24"/>
          <w:szCs w:val="24"/>
        </w:rPr>
        <w:t>（3）记录人对唱标人宣布的内容作开标记录。</w:t>
      </w:r>
    </w:p>
    <w:p>
      <w:pPr>
        <w:pStyle w:val="6"/>
        <w:keepNext w:val="0"/>
        <w:keepLines w:val="0"/>
        <w:widowControl/>
        <w:suppressLineNumbers w:val="0"/>
        <w:spacing w:before="75" w:beforeAutospacing="0" w:after="75" w:afterAutospacing="0"/>
        <w:ind w:left="0" w:right="0" w:firstLine="480"/>
        <w:rPr>
          <w:rFonts w:hint="eastAsia" w:ascii="宋体" w:hAnsi="宋体" w:eastAsia="宋体" w:cs="宋体"/>
          <w:sz w:val="24"/>
          <w:szCs w:val="24"/>
        </w:rPr>
      </w:pPr>
      <w:r>
        <w:rPr>
          <w:rFonts w:hint="eastAsia" w:ascii="宋体" w:hAnsi="宋体" w:eastAsia="宋体" w:cs="宋体"/>
          <w:spacing w:val="0"/>
          <w:sz w:val="24"/>
          <w:szCs w:val="24"/>
        </w:rPr>
        <w:t>（4）唱标结束后，投标人代表应对开标记录进行签字确认。投标人代表的签字确认，视为投标人对开标过程和开标记录予以认可。投标人代表拒绝签字确认且无正当理由，亦视为投标人对开标过程和开标记录予以认可。</w:t>
      </w:r>
    </w:p>
    <w:p>
      <w:pPr>
        <w:pStyle w:val="6"/>
        <w:keepNext w:val="0"/>
        <w:keepLines w:val="0"/>
        <w:widowControl/>
        <w:suppressLineNumbers w:val="0"/>
        <w:spacing w:before="75" w:beforeAutospacing="0" w:after="75" w:afterAutospacing="0"/>
        <w:ind w:left="0" w:right="0" w:firstLine="480"/>
        <w:rPr>
          <w:rFonts w:hint="eastAsia" w:ascii="宋体" w:hAnsi="宋体" w:eastAsia="宋体" w:cs="宋体"/>
          <w:sz w:val="24"/>
          <w:szCs w:val="24"/>
        </w:rPr>
      </w:pPr>
      <w:r>
        <w:rPr>
          <w:rFonts w:hint="eastAsia" w:ascii="宋体" w:hAnsi="宋体" w:eastAsia="宋体" w:cs="宋体"/>
          <w:spacing w:val="0"/>
          <w:sz w:val="24"/>
          <w:szCs w:val="24"/>
        </w:rPr>
        <w:t>（5）投标人代表对开标过程和开标记录有疑义，以及认为采购人（采购代理机构）相关工作人员有需要回避情形的，应当场提出询问或回避申请。否则，视为投标人对开标过程和开标记录予以认可。</w:t>
      </w:r>
    </w:p>
    <w:p>
      <w:pPr>
        <w:pStyle w:val="6"/>
        <w:keepNext w:val="0"/>
        <w:keepLines w:val="0"/>
        <w:widowControl/>
        <w:suppressLineNumbers w:val="0"/>
        <w:spacing w:before="75" w:beforeAutospacing="0" w:after="75" w:afterAutospacing="0"/>
        <w:ind w:left="0" w:right="0" w:firstLine="480"/>
        <w:rPr>
          <w:rFonts w:hint="eastAsia" w:ascii="宋体" w:hAnsi="宋体" w:eastAsia="宋体" w:cs="宋体"/>
          <w:sz w:val="24"/>
          <w:szCs w:val="24"/>
        </w:rPr>
      </w:pPr>
      <w:r>
        <w:rPr>
          <w:rFonts w:hint="eastAsia" w:ascii="宋体" w:hAnsi="宋体" w:eastAsia="宋体" w:cs="宋体"/>
          <w:spacing w:val="0"/>
          <w:sz w:val="24"/>
          <w:szCs w:val="24"/>
        </w:rPr>
        <w:t>（6）若投标人未参加开标会（包括但不限于投标人派出的人员不是投标人代表），视同其对开标过程和开标记录予以认可。</w:t>
      </w:r>
    </w:p>
    <w:p>
      <w:pPr>
        <w:pStyle w:val="6"/>
        <w:keepNext w:val="0"/>
        <w:keepLines w:val="0"/>
        <w:widowControl/>
        <w:suppressLineNumbers w:val="0"/>
        <w:spacing w:before="75" w:beforeAutospacing="0" w:after="75" w:afterAutospacing="0"/>
        <w:ind w:left="0" w:right="0" w:firstLine="480"/>
        <w:rPr>
          <w:rFonts w:hint="eastAsia" w:ascii="宋体" w:hAnsi="宋体" w:eastAsia="宋体" w:cs="宋体"/>
          <w:sz w:val="24"/>
          <w:szCs w:val="24"/>
        </w:rPr>
      </w:pPr>
      <w:r>
        <w:rPr>
          <w:rStyle w:val="10"/>
          <w:rFonts w:hint="eastAsia" w:ascii="宋体" w:hAnsi="宋体" w:eastAsia="宋体" w:cs="宋体"/>
          <w:spacing w:val="0"/>
          <w:sz w:val="24"/>
          <w:szCs w:val="24"/>
        </w:rPr>
        <w:t>※若出现本章第11.4条第（4）、（5）、（6）款规定情形之一</w:t>
      </w:r>
      <w:r>
        <w:rPr>
          <w:rFonts w:hint="eastAsia" w:ascii="宋体" w:hAnsi="宋体" w:eastAsia="宋体" w:cs="宋体"/>
          <w:spacing w:val="0"/>
          <w:sz w:val="24"/>
          <w:szCs w:val="24"/>
        </w:rPr>
        <w:t>，</w:t>
      </w:r>
      <w:r>
        <w:rPr>
          <w:rStyle w:val="10"/>
          <w:rFonts w:hint="eastAsia" w:ascii="宋体" w:hAnsi="宋体" w:eastAsia="宋体" w:cs="宋体"/>
          <w:spacing w:val="0"/>
          <w:sz w:val="24"/>
          <w:szCs w:val="24"/>
        </w:rPr>
        <w:t>则投标人不得在开标会后就开标过程和开标记录涉及或可能涉及的有关事由（包括但不限于：“投标报价”、“投标文件的格式”、“投标文件的提交”、“投标文件的补充、修改或撤回”等）向</w:t>
      </w:r>
      <w:r>
        <w:rPr>
          <w:rFonts w:hint="eastAsia" w:ascii="宋体" w:hAnsi="宋体" w:eastAsia="宋体" w:cs="宋体"/>
          <w:spacing w:val="0"/>
          <w:sz w:val="24"/>
          <w:szCs w:val="24"/>
          <w:u w:val="single"/>
          <w:lang w:val="en-US" w:eastAsia="zh-CN"/>
        </w:rPr>
        <w:t>三明天和工程管理有限公司</w:t>
      </w:r>
      <w:r>
        <w:rPr>
          <w:rStyle w:val="10"/>
          <w:rFonts w:hint="eastAsia" w:ascii="宋体" w:hAnsi="宋体" w:eastAsia="宋体" w:cs="宋体"/>
          <w:spacing w:val="0"/>
          <w:sz w:val="24"/>
          <w:szCs w:val="24"/>
        </w:rPr>
        <w:t>提出任何疑义或要求（包括质疑）。</w:t>
      </w:r>
    </w:p>
    <w:p>
      <w:pPr>
        <w:pStyle w:val="6"/>
        <w:keepNext w:val="0"/>
        <w:keepLines w:val="0"/>
        <w:widowControl/>
        <w:suppressLineNumbers w:val="0"/>
        <w:spacing w:before="75" w:beforeAutospacing="0" w:after="75" w:afterAutospacing="0"/>
        <w:ind w:left="0" w:right="0" w:firstLine="0"/>
        <w:rPr>
          <w:rFonts w:hint="eastAsia" w:ascii="宋体" w:hAnsi="宋体" w:eastAsia="宋体" w:cs="宋体"/>
          <w:sz w:val="24"/>
          <w:szCs w:val="24"/>
        </w:rPr>
      </w:pPr>
      <w:r>
        <w:rPr>
          <w:rFonts w:hint="eastAsia" w:ascii="宋体" w:hAnsi="宋体" w:eastAsia="宋体" w:cs="宋体"/>
          <w:spacing w:val="0"/>
          <w:sz w:val="24"/>
          <w:szCs w:val="24"/>
        </w:rPr>
        <w:t>11.5投标截止时间后，参加投标的投标人不足三家的，不进行开标。同时，本次采购活动结束，</w:t>
      </w:r>
      <w:r>
        <w:rPr>
          <w:rFonts w:hint="eastAsia" w:ascii="宋体" w:hAnsi="宋体" w:eastAsia="宋体" w:cs="宋体"/>
          <w:spacing w:val="0"/>
          <w:sz w:val="24"/>
          <w:szCs w:val="24"/>
          <w:u w:val="single"/>
          <w:lang w:val="en-US" w:eastAsia="zh-CN"/>
        </w:rPr>
        <w:t>三明天和工程管理有限公司</w:t>
      </w:r>
      <w:r>
        <w:rPr>
          <w:rFonts w:hint="eastAsia" w:ascii="宋体" w:hAnsi="宋体" w:eastAsia="宋体" w:cs="宋体"/>
          <w:spacing w:val="0"/>
          <w:sz w:val="24"/>
          <w:szCs w:val="24"/>
        </w:rPr>
        <w:t>将依法组织后续采购活动（包括但不限于：重新招标、采用其他方式采购等）。</w:t>
      </w:r>
    </w:p>
    <w:p>
      <w:pPr>
        <w:pStyle w:val="6"/>
        <w:keepNext w:val="0"/>
        <w:keepLines w:val="0"/>
        <w:widowControl/>
        <w:suppressLineNumbers w:val="0"/>
        <w:spacing w:before="75" w:beforeAutospacing="0" w:after="75" w:afterAutospacing="0"/>
        <w:ind w:left="0" w:right="0" w:firstLine="0"/>
        <w:jc w:val="center"/>
        <w:rPr>
          <w:rFonts w:hint="eastAsia" w:ascii="宋体" w:hAnsi="宋体" w:eastAsia="宋体" w:cs="宋体"/>
          <w:sz w:val="24"/>
          <w:szCs w:val="24"/>
        </w:rPr>
      </w:pPr>
      <w:r>
        <w:rPr>
          <w:rStyle w:val="10"/>
          <w:rFonts w:hint="eastAsia" w:ascii="宋体" w:hAnsi="宋体" w:eastAsia="宋体" w:cs="宋体"/>
          <w:spacing w:val="0"/>
          <w:sz w:val="24"/>
          <w:szCs w:val="24"/>
        </w:rPr>
        <w:t>六、中标与政府采购合同</w:t>
      </w:r>
    </w:p>
    <w:p>
      <w:pPr>
        <w:pStyle w:val="6"/>
        <w:keepNext w:val="0"/>
        <w:keepLines w:val="0"/>
        <w:widowControl/>
        <w:suppressLineNumbers w:val="0"/>
        <w:spacing w:before="75" w:beforeAutospacing="0" w:after="75" w:afterAutospacing="0"/>
        <w:ind w:left="0" w:right="0" w:firstLine="0"/>
        <w:rPr>
          <w:rFonts w:hint="eastAsia" w:ascii="宋体" w:hAnsi="宋体" w:eastAsia="宋体" w:cs="宋体"/>
          <w:sz w:val="24"/>
          <w:szCs w:val="24"/>
        </w:rPr>
      </w:pPr>
      <w:r>
        <w:rPr>
          <w:rFonts w:hint="eastAsia" w:ascii="宋体" w:hAnsi="宋体" w:eastAsia="宋体" w:cs="宋体"/>
          <w:spacing w:val="0"/>
          <w:sz w:val="24"/>
          <w:szCs w:val="24"/>
        </w:rPr>
        <w:t>12、中标</w:t>
      </w:r>
    </w:p>
    <w:p>
      <w:pPr>
        <w:pStyle w:val="6"/>
        <w:keepNext w:val="0"/>
        <w:keepLines w:val="0"/>
        <w:widowControl/>
        <w:suppressLineNumbers w:val="0"/>
        <w:spacing w:before="75" w:beforeAutospacing="0" w:after="75" w:afterAutospacing="0"/>
        <w:ind w:left="0" w:right="0" w:firstLine="0"/>
        <w:rPr>
          <w:rFonts w:hint="eastAsia" w:ascii="宋体" w:hAnsi="宋体" w:eastAsia="宋体" w:cs="宋体"/>
          <w:sz w:val="24"/>
          <w:szCs w:val="24"/>
        </w:rPr>
      </w:pPr>
      <w:r>
        <w:rPr>
          <w:rFonts w:hint="eastAsia" w:ascii="宋体" w:hAnsi="宋体" w:eastAsia="宋体" w:cs="宋体"/>
          <w:spacing w:val="0"/>
          <w:sz w:val="24"/>
          <w:szCs w:val="24"/>
        </w:rPr>
        <w:t>12.1本项目推荐的中标候选人家数：详见招标文件第二章。</w:t>
      </w:r>
    </w:p>
    <w:p>
      <w:pPr>
        <w:pStyle w:val="6"/>
        <w:keepNext w:val="0"/>
        <w:keepLines w:val="0"/>
        <w:widowControl/>
        <w:suppressLineNumbers w:val="0"/>
        <w:spacing w:before="75" w:beforeAutospacing="0" w:after="75" w:afterAutospacing="0"/>
        <w:ind w:left="0" w:right="0" w:firstLine="0"/>
        <w:rPr>
          <w:rFonts w:hint="eastAsia" w:ascii="宋体" w:hAnsi="宋体" w:eastAsia="宋体" w:cs="宋体"/>
          <w:sz w:val="24"/>
          <w:szCs w:val="24"/>
        </w:rPr>
      </w:pPr>
      <w:r>
        <w:rPr>
          <w:rFonts w:hint="eastAsia" w:ascii="宋体" w:hAnsi="宋体" w:eastAsia="宋体" w:cs="宋体"/>
          <w:spacing w:val="0"/>
          <w:sz w:val="24"/>
          <w:szCs w:val="24"/>
        </w:rPr>
        <w:t>12.2本项目中标人的确定：详见招标文件第二章。</w:t>
      </w:r>
    </w:p>
    <w:p>
      <w:pPr>
        <w:pStyle w:val="6"/>
        <w:keepNext w:val="0"/>
        <w:keepLines w:val="0"/>
        <w:widowControl/>
        <w:suppressLineNumbers w:val="0"/>
        <w:spacing w:before="75" w:beforeAutospacing="0" w:after="75" w:afterAutospacing="0"/>
        <w:ind w:left="0" w:right="0" w:firstLine="0"/>
        <w:rPr>
          <w:rFonts w:hint="eastAsia" w:ascii="宋体" w:hAnsi="宋体" w:eastAsia="宋体" w:cs="宋体"/>
          <w:sz w:val="24"/>
          <w:szCs w:val="24"/>
        </w:rPr>
      </w:pPr>
      <w:r>
        <w:rPr>
          <w:rFonts w:hint="eastAsia" w:ascii="宋体" w:hAnsi="宋体" w:eastAsia="宋体" w:cs="宋体"/>
          <w:spacing w:val="0"/>
          <w:sz w:val="24"/>
          <w:szCs w:val="24"/>
        </w:rPr>
        <w:t>12.3中标公告</w:t>
      </w:r>
    </w:p>
    <w:p>
      <w:pPr>
        <w:pStyle w:val="6"/>
        <w:keepNext w:val="0"/>
        <w:keepLines w:val="0"/>
        <w:widowControl/>
        <w:suppressLineNumbers w:val="0"/>
        <w:spacing w:before="75" w:beforeAutospacing="0" w:after="75" w:afterAutospacing="0"/>
        <w:ind w:left="0" w:right="0" w:firstLine="480"/>
        <w:rPr>
          <w:rFonts w:hint="eastAsia" w:ascii="宋体" w:hAnsi="宋体" w:eastAsia="宋体" w:cs="宋体"/>
          <w:sz w:val="24"/>
          <w:szCs w:val="24"/>
        </w:rPr>
      </w:pPr>
      <w:r>
        <w:rPr>
          <w:rFonts w:hint="eastAsia" w:ascii="宋体" w:hAnsi="宋体" w:eastAsia="宋体" w:cs="宋体"/>
          <w:spacing w:val="0"/>
          <w:sz w:val="24"/>
          <w:szCs w:val="24"/>
        </w:rPr>
        <w:t>（1）中标人确定之日起2个工作日内，</w:t>
      </w:r>
      <w:r>
        <w:rPr>
          <w:rFonts w:hint="eastAsia" w:ascii="宋体" w:hAnsi="宋体" w:eastAsia="宋体" w:cs="宋体"/>
          <w:spacing w:val="0"/>
          <w:sz w:val="24"/>
          <w:szCs w:val="24"/>
          <w:u w:val="single"/>
          <w:lang w:val="en-US" w:eastAsia="zh-CN"/>
        </w:rPr>
        <w:t>三明天和工程管理有限公司</w:t>
      </w:r>
      <w:r>
        <w:rPr>
          <w:rFonts w:hint="eastAsia" w:ascii="宋体" w:hAnsi="宋体" w:eastAsia="宋体" w:cs="宋体"/>
          <w:spacing w:val="0"/>
          <w:sz w:val="24"/>
          <w:szCs w:val="24"/>
        </w:rPr>
        <w:t>将在招标文件载明的指定媒体以中标公告的形式发布中标结果。</w:t>
      </w:r>
    </w:p>
    <w:p>
      <w:pPr>
        <w:pStyle w:val="6"/>
        <w:keepNext w:val="0"/>
        <w:keepLines w:val="0"/>
        <w:widowControl/>
        <w:suppressLineNumbers w:val="0"/>
        <w:spacing w:before="75" w:beforeAutospacing="0" w:after="75" w:afterAutospacing="0"/>
        <w:ind w:left="0" w:right="0" w:firstLine="480"/>
        <w:rPr>
          <w:rFonts w:hint="eastAsia" w:ascii="宋体" w:hAnsi="宋体" w:eastAsia="宋体" w:cs="宋体"/>
          <w:sz w:val="24"/>
          <w:szCs w:val="24"/>
        </w:rPr>
      </w:pPr>
      <w:r>
        <w:rPr>
          <w:rFonts w:hint="eastAsia" w:ascii="宋体" w:hAnsi="宋体" w:eastAsia="宋体" w:cs="宋体"/>
          <w:spacing w:val="0"/>
          <w:sz w:val="24"/>
          <w:szCs w:val="24"/>
        </w:rPr>
        <w:t>（2）中标公告的公告期限为1个工作日。</w:t>
      </w:r>
    </w:p>
    <w:p>
      <w:pPr>
        <w:pStyle w:val="6"/>
        <w:keepNext w:val="0"/>
        <w:keepLines w:val="0"/>
        <w:widowControl/>
        <w:suppressLineNumbers w:val="0"/>
        <w:spacing w:before="75" w:beforeAutospacing="0" w:after="75" w:afterAutospacing="0"/>
        <w:ind w:left="0" w:right="0" w:firstLine="480"/>
        <w:rPr>
          <w:rFonts w:hint="eastAsia" w:ascii="宋体" w:hAnsi="宋体" w:eastAsia="宋体" w:cs="宋体"/>
          <w:sz w:val="24"/>
          <w:szCs w:val="24"/>
        </w:rPr>
      </w:pPr>
      <w:r>
        <w:rPr>
          <w:rFonts w:hint="eastAsia" w:ascii="宋体" w:hAnsi="宋体" w:eastAsia="宋体" w:cs="宋体"/>
          <w:spacing w:val="0"/>
          <w:sz w:val="24"/>
          <w:szCs w:val="24"/>
        </w:rPr>
        <w:t>（3）中标公告同时作为</w:t>
      </w:r>
      <w:r>
        <w:rPr>
          <w:rFonts w:hint="eastAsia" w:ascii="宋体" w:hAnsi="宋体" w:eastAsia="宋体" w:cs="宋体"/>
          <w:spacing w:val="0"/>
          <w:sz w:val="24"/>
          <w:szCs w:val="24"/>
          <w:u w:val="single"/>
          <w:lang w:val="en-US" w:eastAsia="zh-CN"/>
        </w:rPr>
        <w:t>三明天和工程管理有限公司</w:t>
      </w:r>
      <w:r>
        <w:rPr>
          <w:rFonts w:hint="eastAsia" w:ascii="宋体" w:hAnsi="宋体" w:eastAsia="宋体" w:cs="宋体"/>
          <w:spacing w:val="0"/>
          <w:sz w:val="24"/>
          <w:szCs w:val="24"/>
        </w:rPr>
        <w:t>通知除中标人外的其他投标人没有中标的书面形式。</w:t>
      </w:r>
    </w:p>
    <w:p>
      <w:pPr>
        <w:pStyle w:val="6"/>
        <w:keepNext w:val="0"/>
        <w:keepLines w:val="0"/>
        <w:widowControl/>
        <w:suppressLineNumbers w:val="0"/>
        <w:spacing w:before="75" w:beforeAutospacing="0" w:after="75" w:afterAutospacing="0"/>
        <w:ind w:left="0" w:right="0" w:firstLine="0"/>
        <w:rPr>
          <w:rFonts w:hint="eastAsia" w:ascii="宋体" w:hAnsi="宋体" w:eastAsia="宋体" w:cs="宋体"/>
          <w:sz w:val="24"/>
          <w:szCs w:val="24"/>
        </w:rPr>
      </w:pPr>
      <w:r>
        <w:rPr>
          <w:rFonts w:hint="eastAsia" w:ascii="宋体" w:hAnsi="宋体" w:eastAsia="宋体" w:cs="宋体"/>
          <w:spacing w:val="0"/>
          <w:sz w:val="24"/>
          <w:szCs w:val="24"/>
        </w:rPr>
        <w:t>12.4中标通知书</w:t>
      </w:r>
    </w:p>
    <w:p>
      <w:pPr>
        <w:pStyle w:val="6"/>
        <w:keepNext w:val="0"/>
        <w:keepLines w:val="0"/>
        <w:widowControl/>
        <w:suppressLineNumbers w:val="0"/>
        <w:spacing w:before="75" w:beforeAutospacing="0" w:after="75" w:afterAutospacing="0"/>
        <w:ind w:left="0" w:right="0" w:firstLine="480"/>
        <w:rPr>
          <w:rFonts w:hint="eastAsia" w:ascii="宋体" w:hAnsi="宋体" w:eastAsia="宋体" w:cs="宋体"/>
          <w:sz w:val="24"/>
          <w:szCs w:val="24"/>
        </w:rPr>
      </w:pPr>
      <w:r>
        <w:rPr>
          <w:rFonts w:hint="eastAsia" w:ascii="宋体" w:hAnsi="宋体" w:eastAsia="宋体" w:cs="宋体"/>
          <w:spacing w:val="0"/>
          <w:sz w:val="24"/>
          <w:szCs w:val="24"/>
        </w:rPr>
        <w:t>（1）中标公告发布的同时，</w:t>
      </w:r>
      <w:r>
        <w:rPr>
          <w:rFonts w:hint="eastAsia" w:ascii="宋体" w:hAnsi="宋体" w:eastAsia="宋体" w:cs="宋体"/>
          <w:spacing w:val="0"/>
          <w:sz w:val="24"/>
          <w:szCs w:val="24"/>
          <w:u w:val="single"/>
          <w:lang w:val="en-US" w:eastAsia="zh-CN"/>
        </w:rPr>
        <w:t>三明天和工程管理有限公司</w:t>
      </w:r>
      <w:r>
        <w:rPr>
          <w:rFonts w:hint="eastAsia" w:ascii="宋体" w:hAnsi="宋体" w:eastAsia="宋体" w:cs="宋体"/>
          <w:spacing w:val="0"/>
          <w:sz w:val="24"/>
          <w:szCs w:val="24"/>
        </w:rPr>
        <w:t>将向中标人发出中标通知书。</w:t>
      </w:r>
    </w:p>
    <w:p>
      <w:pPr>
        <w:pStyle w:val="6"/>
        <w:keepNext w:val="0"/>
        <w:keepLines w:val="0"/>
        <w:widowControl/>
        <w:suppressLineNumbers w:val="0"/>
        <w:spacing w:before="75" w:beforeAutospacing="0" w:after="75" w:afterAutospacing="0"/>
        <w:ind w:left="0" w:right="0" w:firstLine="480"/>
        <w:rPr>
          <w:rFonts w:hint="eastAsia" w:ascii="宋体" w:hAnsi="宋体" w:eastAsia="宋体" w:cs="宋体"/>
          <w:sz w:val="24"/>
          <w:szCs w:val="24"/>
        </w:rPr>
      </w:pPr>
      <w:r>
        <w:rPr>
          <w:rFonts w:hint="eastAsia" w:ascii="宋体" w:hAnsi="宋体" w:eastAsia="宋体" w:cs="宋体"/>
          <w:spacing w:val="0"/>
          <w:sz w:val="24"/>
          <w:szCs w:val="24"/>
        </w:rPr>
        <w:t>（2）中标通知书发出后，采购人不得违法改变中标结果，中标人无正当理由不得放弃中标。</w:t>
      </w:r>
    </w:p>
    <w:p>
      <w:pPr>
        <w:pStyle w:val="6"/>
        <w:keepNext w:val="0"/>
        <w:keepLines w:val="0"/>
        <w:widowControl/>
        <w:suppressLineNumbers w:val="0"/>
        <w:spacing w:before="75" w:beforeAutospacing="0" w:after="75" w:afterAutospacing="0"/>
        <w:ind w:left="0" w:right="0" w:firstLine="0"/>
        <w:rPr>
          <w:rFonts w:hint="eastAsia" w:ascii="宋体" w:hAnsi="宋体" w:eastAsia="宋体" w:cs="宋体"/>
          <w:sz w:val="24"/>
          <w:szCs w:val="24"/>
        </w:rPr>
      </w:pPr>
      <w:r>
        <w:rPr>
          <w:rFonts w:hint="eastAsia" w:ascii="宋体" w:hAnsi="宋体" w:eastAsia="宋体" w:cs="宋体"/>
          <w:spacing w:val="0"/>
          <w:sz w:val="24"/>
          <w:szCs w:val="24"/>
        </w:rPr>
        <w:t>13、政府采购合同</w:t>
      </w:r>
    </w:p>
    <w:p>
      <w:pPr>
        <w:pStyle w:val="6"/>
        <w:keepNext w:val="0"/>
        <w:keepLines w:val="0"/>
        <w:widowControl/>
        <w:suppressLineNumbers w:val="0"/>
        <w:spacing w:before="75" w:beforeAutospacing="0" w:after="75" w:afterAutospacing="0"/>
        <w:ind w:left="0" w:right="0" w:firstLine="0"/>
        <w:rPr>
          <w:rFonts w:hint="eastAsia" w:ascii="宋体" w:hAnsi="宋体" w:eastAsia="宋体" w:cs="宋体"/>
          <w:sz w:val="24"/>
          <w:szCs w:val="24"/>
        </w:rPr>
      </w:pPr>
      <w:r>
        <w:rPr>
          <w:rFonts w:hint="eastAsia" w:ascii="宋体" w:hAnsi="宋体" w:eastAsia="宋体" w:cs="宋体"/>
          <w:spacing w:val="0"/>
          <w:sz w:val="24"/>
          <w:szCs w:val="24"/>
        </w:rPr>
        <w:t>13.1签订政府采购合同应遵守政府采购法及实施条例的规定，不得对招标文件确定的事项和中标人的投标文件作实质性修改。采购人不得向中标人提出任何不合理的要求作为政府采购合同的签订条件。</w:t>
      </w:r>
    </w:p>
    <w:p>
      <w:pPr>
        <w:pStyle w:val="6"/>
        <w:keepNext w:val="0"/>
        <w:keepLines w:val="0"/>
        <w:widowControl/>
        <w:suppressLineNumbers w:val="0"/>
        <w:spacing w:before="75" w:beforeAutospacing="0" w:after="75" w:afterAutospacing="0"/>
        <w:ind w:left="0" w:right="0" w:firstLine="0"/>
        <w:rPr>
          <w:rFonts w:hint="eastAsia" w:ascii="宋体" w:hAnsi="宋体" w:eastAsia="宋体" w:cs="宋体"/>
          <w:sz w:val="24"/>
          <w:szCs w:val="24"/>
        </w:rPr>
      </w:pPr>
      <w:r>
        <w:rPr>
          <w:rFonts w:hint="eastAsia" w:ascii="宋体" w:hAnsi="宋体" w:eastAsia="宋体" w:cs="宋体"/>
          <w:spacing w:val="0"/>
          <w:sz w:val="24"/>
          <w:szCs w:val="24"/>
        </w:rPr>
        <w:t>13.2签订时限：自中标通知书发出之日起30个日历日内。</w:t>
      </w:r>
    </w:p>
    <w:p>
      <w:pPr>
        <w:pStyle w:val="6"/>
        <w:keepNext w:val="0"/>
        <w:keepLines w:val="0"/>
        <w:widowControl/>
        <w:suppressLineNumbers w:val="0"/>
        <w:spacing w:before="75" w:beforeAutospacing="0" w:after="75" w:afterAutospacing="0"/>
        <w:ind w:left="0" w:right="0" w:firstLine="0"/>
        <w:rPr>
          <w:rFonts w:hint="eastAsia" w:ascii="宋体" w:hAnsi="宋体" w:eastAsia="宋体" w:cs="宋体"/>
          <w:sz w:val="24"/>
          <w:szCs w:val="24"/>
        </w:rPr>
      </w:pPr>
      <w:r>
        <w:rPr>
          <w:rFonts w:hint="eastAsia" w:ascii="宋体" w:hAnsi="宋体" w:eastAsia="宋体" w:cs="宋体"/>
          <w:spacing w:val="0"/>
          <w:sz w:val="24"/>
          <w:szCs w:val="24"/>
        </w:rPr>
        <w:t>13.3政府采购合同的履行、违约责任和解决争议的方法等适用合同法。</w:t>
      </w:r>
    </w:p>
    <w:p>
      <w:pPr>
        <w:pStyle w:val="6"/>
        <w:keepNext w:val="0"/>
        <w:keepLines w:val="0"/>
        <w:widowControl/>
        <w:suppressLineNumbers w:val="0"/>
        <w:spacing w:before="75" w:beforeAutospacing="0" w:after="75" w:afterAutospacing="0"/>
        <w:ind w:left="0" w:right="0" w:firstLine="0"/>
        <w:rPr>
          <w:rFonts w:hint="eastAsia" w:ascii="宋体" w:hAnsi="宋体" w:eastAsia="宋体" w:cs="宋体"/>
          <w:sz w:val="24"/>
          <w:szCs w:val="24"/>
        </w:rPr>
      </w:pPr>
      <w:r>
        <w:rPr>
          <w:rFonts w:hint="eastAsia" w:ascii="宋体" w:hAnsi="宋体" w:eastAsia="宋体" w:cs="宋体"/>
          <w:spacing w:val="0"/>
          <w:sz w:val="24"/>
          <w:szCs w:val="24"/>
        </w:rPr>
        <w:t>13.4采购人与中标人应根据政府采购合同的约定依法履行合同义务。</w:t>
      </w:r>
    </w:p>
    <w:p>
      <w:pPr>
        <w:pStyle w:val="6"/>
        <w:keepNext w:val="0"/>
        <w:keepLines w:val="0"/>
        <w:widowControl/>
        <w:suppressLineNumbers w:val="0"/>
        <w:spacing w:before="75" w:beforeAutospacing="0" w:after="75" w:afterAutospacing="0"/>
        <w:ind w:left="0" w:right="0" w:firstLine="0"/>
        <w:rPr>
          <w:rFonts w:hint="eastAsia" w:ascii="宋体" w:hAnsi="宋体" w:eastAsia="宋体" w:cs="宋体"/>
          <w:sz w:val="24"/>
          <w:szCs w:val="24"/>
        </w:rPr>
      </w:pPr>
      <w:r>
        <w:rPr>
          <w:rFonts w:hint="eastAsia" w:ascii="宋体" w:hAnsi="宋体" w:eastAsia="宋体" w:cs="宋体"/>
          <w:spacing w:val="0"/>
          <w:sz w:val="24"/>
          <w:szCs w:val="24"/>
        </w:rPr>
        <w:t>13.5政府采购合同履行过程中，采购人若需追加与合同标的相同的货物或服务，则追加采购金额不得超过原合同采购金额的10%。</w:t>
      </w:r>
    </w:p>
    <w:p>
      <w:pPr>
        <w:pStyle w:val="6"/>
        <w:keepNext w:val="0"/>
        <w:keepLines w:val="0"/>
        <w:widowControl/>
        <w:suppressLineNumbers w:val="0"/>
        <w:spacing w:before="75" w:beforeAutospacing="0" w:after="75" w:afterAutospacing="0"/>
        <w:ind w:left="0" w:right="0" w:firstLine="0"/>
        <w:rPr>
          <w:rFonts w:hint="eastAsia" w:ascii="宋体" w:hAnsi="宋体" w:eastAsia="宋体" w:cs="宋体"/>
          <w:sz w:val="24"/>
          <w:szCs w:val="24"/>
        </w:rPr>
      </w:pPr>
      <w:r>
        <w:rPr>
          <w:rFonts w:hint="eastAsia" w:ascii="宋体" w:hAnsi="宋体" w:eastAsia="宋体" w:cs="宋体"/>
          <w:spacing w:val="0"/>
          <w:sz w:val="24"/>
          <w:szCs w:val="24"/>
        </w:rPr>
        <w:t>13.6中标人在政府采购合同履行过程中应遵守有关法律、法规和规章的强制性规定（即使前述强制性规定有可能在招标文件中未予列明）。</w:t>
      </w:r>
    </w:p>
    <w:p>
      <w:pPr>
        <w:pStyle w:val="6"/>
        <w:keepNext w:val="0"/>
        <w:keepLines w:val="0"/>
        <w:widowControl/>
        <w:suppressLineNumbers w:val="0"/>
        <w:spacing w:before="75" w:beforeAutospacing="0" w:after="75" w:afterAutospacing="0"/>
        <w:ind w:left="0" w:right="0" w:firstLine="0"/>
        <w:jc w:val="center"/>
        <w:rPr>
          <w:rFonts w:hint="eastAsia" w:ascii="宋体" w:hAnsi="宋体" w:eastAsia="宋体" w:cs="宋体"/>
          <w:sz w:val="24"/>
          <w:szCs w:val="24"/>
        </w:rPr>
      </w:pPr>
      <w:r>
        <w:rPr>
          <w:rStyle w:val="10"/>
          <w:rFonts w:hint="eastAsia" w:ascii="宋体" w:hAnsi="宋体" w:eastAsia="宋体" w:cs="宋体"/>
          <w:spacing w:val="0"/>
          <w:sz w:val="24"/>
          <w:szCs w:val="24"/>
        </w:rPr>
        <w:t>七、询问、质疑与投诉</w:t>
      </w:r>
    </w:p>
    <w:p>
      <w:pPr>
        <w:pStyle w:val="6"/>
        <w:keepNext w:val="0"/>
        <w:keepLines w:val="0"/>
        <w:widowControl/>
        <w:suppressLineNumbers w:val="0"/>
        <w:spacing w:before="75" w:beforeAutospacing="0" w:after="75" w:afterAutospacing="0"/>
        <w:ind w:left="0" w:right="0" w:firstLine="0"/>
        <w:rPr>
          <w:rFonts w:hint="eastAsia" w:ascii="宋体" w:hAnsi="宋体" w:eastAsia="宋体" w:cs="宋体"/>
          <w:sz w:val="24"/>
          <w:szCs w:val="24"/>
        </w:rPr>
      </w:pPr>
      <w:r>
        <w:rPr>
          <w:rFonts w:hint="eastAsia" w:ascii="宋体" w:hAnsi="宋体" w:eastAsia="宋体" w:cs="宋体"/>
          <w:spacing w:val="0"/>
          <w:sz w:val="24"/>
          <w:szCs w:val="24"/>
        </w:rPr>
        <w:t>14、询问</w:t>
      </w:r>
    </w:p>
    <w:p>
      <w:pPr>
        <w:pStyle w:val="6"/>
        <w:keepNext w:val="0"/>
        <w:keepLines w:val="0"/>
        <w:widowControl/>
        <w:suppressLineNumbers w:val="0"/>
        <w:spacing w:before="75" w:beforeAutospacing="0" w:after="75" w:afterAutospacing="0"/>
        <w:ind w:left="0" w:right="0" w:firstLine="0"/>
        <w:rPr>
          <w:rFonts w:hint="eastAsia" w:ascii="宋体" w:hAnsi="宋体" w:eastAsia="宋体" w:cs="宋体"/>
          <w:sz w:val="24"/>
          <w:szCs w:val="24"/>
        </w:rPr>
      </w:pPr>
      <w:r>
        <w:rPr>
          <w:rFonts w:hint="eastAsia" w:ascii="宋体" w:hAnsi="宋体" w:eastAsia="宋体" w:cs="宋体"/>
          <w:spacing w:val="0"/>
          <w:sz w:val="24"/>
          <w:szCs w:val="24"/>
        </w:rPr>
        <w:t>14.1潜在投标人或投标人对本次采购活动的有关事项若有疑问，可向</w:t>
      </w:r>
      <w:r>
        <w:rPr>
          <w:rFonts w:hint="eastAsia" w:ascii="宋体" w:hAnsi="宋体" w:eastAsia="宋体" w:cs="宋体"/>
          <w:spacing w:val="0"/>
          <w:sz w:val="24"/>
          <w:szCs w:val="24"/>
          <w:u w:val="single"/>
          <w:lang w:val="en-US" w:eastAsia="zh-CN"/>
        </w:rPr>
        <w:t>三明天和工程管理有限公司</w:t>
      </w:r>
      <w:r>
        <w:rPr>
          <w:rFonts w:hint="eastAsia" w:ascii="宋体" w:hAnsi="宋体" w:eastAsia="宋体" w:cs="宋体"/>
          <w:spacing w:val="0"/>
          <w:sz w:val="24"/>
          <w:szCs w:val="24"/>
        </w:rPr>
        <w:t>提出询问，</w:t>
      </w:r>
      <w:r>
        <w:rPr>
          <w:rFonts w:hint="eastAsia" w:ascii="宋体" w:hAnsi="宋体" w:eastAsia="宋体" w:cs="宋体"/>
          <w:spacing w:val="0"/>
          <w:sz w:val="24"/>
          <w:szCs w:val="24"/>
          <w:u w:val="single"/>
          <w:lang w:val="en-US" w:eastAsia="zh-CN"/>
        </w:rPr>
        <w:t>三明天和工程管理有限公司</w:t>
      </w:r>
      <w:r>
        <w:rPr>
          <w:rFonts w:hint="eastAsia" w:ascii="宋体" w:hAnsi="宋体" w:eastAsia="宋体" w:cs="宋体"/>
          <w:spacing w:val="0"/>
          <w:sz w:val="24"/>
          <w:szCs w:val="24"/>
        </w:rPr>
        <w:t>将按照政府采购法及实施条例的有关规定进行答复。</w:t>
      </w:r>
    </w:p>
    <w:p>
      <w:pPr>
        <w:pStyle w:val="6"/>
        <w:keepNext w:val="0"/>
        <w:keepLines w:val="0"/>
        <w:widowControl/>
        <w:suppressLineNumbers w:val="0"/>
        <w:spacing w:before="75" w:beforeAutospacing="0" w:after="75" w:afterAutospacing="0"/>
        <w:ind w:left="0" w:right="0" w:firstLine="0"/>
        <w:rPr>
          <w:rFonts w:hint="eastAsia" w:ascii="宋体" w:hAnsi="宋体" w:eastAsia="宋体" w:cs="宋体"/>
          <w:sz w:val="24"/>
          <w:szCs w:val="24"/>
        </w:rPr>
      </w:pPr>
      <w:r>
        <w:rPr>
          <w:rFonts w:hint="eastAsia" w:ascii="宋体" w:hAnsi="宋体" w:eastAsia="宋体" w:cs="宋体"/>
          <w:spacing w:val="0"/>
          <w:sz w:val="24"/>
          <w:szCs w:val="24"/>
        </w:rPr>
        <w:t>15、质疑</w:t>
      </w:r>
    </w:p>
    <w:p>
      <w:pPr>
        <w:pStyle w:val="6"/>
        <w:keepNext w:val="0"/>
        <w:keepLines w:val="0"/>
        <w:widowControl/>
        <w:suppressLineNumbers w:val="0"/>
        <w:spacing w:before="75" w:beforeAutospacing="0" w:after="75" w:afterAutospacing="0"/>
        <w:ind w:left="0" w:right="0" w:firstLine="0"/>
        <w:rPr>
          <w:rFonts w:hint="eastAsia" w:ascii="宋体" w:hAnsi="宋体" w:eastAsia="宋体" w:cs="宋体"/>
          <w:sz w:val="24"/>
          <w:szCs w:val="24"/>
        </w:rPr>
      </w:pPr>
      <w:r>
        <w:rPr>
          <w:rFonts w:hint="eastAsia" w:ascii="宋体" w:hAnsi="宋体" w:eastAsia="宋体" w:cs="宋体"/>
          <w:spacing w:val="0"/>
          <w:sz w:val="24"/>
          <w:szCs w:val="24"/>
        </w:rPr>
        <w:t>15.1质疑应在政府采购法及实施条例规定的时限内提出，并同时符合下列条件：</w:t>
      </w:r>
    </w:p>
    <w:p>
      <w:pPr>
        <w:pStyle w:val="6"/>
        <w:keepNext w:val="0"/>
        <w:keepLines w:val="0"/>
        <w:widowControl/>
        <w:suppressLineNumbers w:val="0"/>
        <w:spacing w:before="75" w:beforeAutospacing="0" w:after="75" w:afterAutospacing="0"/>
        <w:ind w:left="0" w:right="0" w:firstLine="480"/>
        <w:rPr>
          <w:rFonts w:hint="eastAsia" w:ascii="宋体" w:hAnsi="宋体" w:eastAsia="宋体" w:cs="宋体"/>
          <w:sz w:val="24"/>
          <w:szCs w:val="24"/>
        </w:rPr>
      </w:pPr>
      <w:r>
        <w:rPr>
          <w:rFonts w:hint="eastAsia" w:ascii="宋体" w:hAnsi="宋体" w:eastAsia="宋体" w:cs="宋体"/>
          <w:spacing w:val="0"/>
          <w:sz w:val="24"/>
          <w:szCs w:val="24"/>
        </w:rPr>
        <w:t>（1）对招标文件提出质疑的，质疑人应为潜在投标人，且两者的身份、名称等均应保持一致。对采购过程、结果提出质疑的，质疑人应为投标人，且两者的身份、名称等均应保持一致。</w:t>
      </w:r>
    </w:p>
    <w:p>
      <w:pPr>
        <w:pStyle w:val="6"/>
        <w:keepNext w:val="0"/>
        <w:keepLines w:val="0"/>
        <w:widowControl/>
        <w:suppressLineNumbers w:val="0"/>
        <w:spacing w:before="75" w:beforeAutospacing="0" w:after="75" w:afterAutospacing="0"/>
        <w:ind w:left="0" w:right="0" w:firstLine="480"/>
        <w:rPr>
          <w:rFonts w:hint="eastAsia" w:ascii="宋体" w:hAnsi="宋体" w:eastAsia="宋体" w:cs="宋体"/>
          <w:sz w:val="24"/>
          <w:szCs w:val="24"/>
        </w:rPr>
      </w:pPr>
      <w:r>
        <w:rPr>
          <w:rFonts w:hint="eastAsia" w:ascii="宋体" w:hAnsi="宋体" w:eastAsia="宋体" w:cs="宋体"/>
          <w:spacing w:val="0"/>
          <w:sz w:val="24"/>
          <w:szCs w:val="24"/>
        </w:rPr>
        <w:t>（2）质疑人应按照招标文件第二章规定方式提交质疑函。</w:t>
      </w:r>
    </w:p>
    <w:p>
      <w:pPr>
        <w:pStyle w:val="6"/>
        <w:keepNext w:val="0"/>
        <w:keepLines w:val="0"/>
        <w:widowControl/>
        <w:suppressLineNumbers w:val="0"/>
        <w:spacing w:before="75" w:beforeAutospacing="0" w:after="75" w:afterAutospacing="0"/>
        <w:ind w:left="0" w:right="0" w:firstLine="480"/>
        <w:rPr>
          <w:rFonts w:hint="eastAsia" w:ascii="宋体" w:hAnsi="宋体" w:eastAsia="宋体" w:cs="宋体"/>
          <w:sz w:val="24"/>
          <w:szCs w:val="24"/>
        </w:rPr>
      </w:pPr>
      <w:r>
        <w:rPr>
          <w:rFonts w:hint="eastAsia" w:ascii="宋体" w:hAnsi="宋体" w:eastAsia="宋体" w:cs="宋体"/>
          <w:spacing w:val="0"/>
          <w:sz w:val="24"/>
          <w:szCs w:val="24"/>
        </w:rPr>
        <w:t>（3）质疑函应包括下列主要内容：</w:t>
      </w:r>
    </w:p>
    <w:p>
      <w:pPr>
        <w:pStyle w:val="6"/>
        <w:keepNext w:val="0"/>
        <w:keepLines w:val="0"/>
        <w:widowControl/>
        <w:suppressLineNumbers w:val="0"/>
        <w:spacing w:before="75" w:beforeAutospacing="0" w:after="75" w:afterAutospacing="0"/>
        <w:ind w:left="0" w:right="0" w:firstLine="480"/>
        <w:rPr>
          <w:rFonts w:hint="eastAsia" w:ascii="宋体" w:hAnsi="宋体" w:eastAsia="宋体" w:cs="宋体"/>
          <w:sz w:val="24"/>
          <w:szCs w:val="24"/>
        </w:rPr>
      </w:pPr>
      <w:r>
        <w:rPr>
          <w:rFonts w:hint="eastAsia" w:ascii="宋体" w:hAnsi="宋体" w:eastAsia="宋体" w:cs="宋体"/>
          <w:spacing w:val="0"/>
          <w:sz w:val="24"/>
          <w:szCs w:val="24"/>
        </w:rPr>
        <w:t>①质疑人的基本信息，至少包括：全称、地址、邮政编码等；</w:t>
      </w:r>
    </w:p>
    <w:p>
      <w:pPr>
        <w:pStyle w:val="6"/>
        <w:keepNext w:val="0"/>
        <w:keepLines w:val="0"/>
        <w:widowControl/>
        <w:suppressLineNumbers w:val="0"/>
        <w:spacing w:before="75" w:beforeAutospacing="0" w:after="75" w:afterAutospacing="0"/>
        <w:ind w:left="0" w:right="0" w:firstLine="480"/>
        <w:rPr>
          <w:rFonts w:hint="eastAsia" w:ascii="宋体" w:hAnsi="宋体" w:eastAsia="宋体" w:cs="宋体"/>
          <w:sz w:val="24"/>
          <w:szCs w:val="24"/>
        </w:rPr>
      </w:pPr>
      <w:r>
        <w:rPr>
          <w:rFonts w:hint="eastAsia" w:ascii="宋体" w:hAnsi="宋体" w:eastAsia="宋体" w:cs="宋体"/>
          <w:spacing w:val="0"/>
          <w:sz w:val="24"/>
          <w:szCs w:val="24"/>
        </w:rPr>
        <w:t>②所质疑项目的基本信息，至少包括：招标编号、项目名称等；</w:t>
      </w:r>
    </w:p>
    <w:p>
      <w:pPr>
        <w:pStyle w:val="6"/>
        <w:keepNext w:val="0"/>
        <w:keepLines w:val="0"/>
        <w:widowControl/>
        <w:suppressLineNumbers w:val="0"/>
        <w:spacing w:before="75" w:beforeAutospacing="0" w:after="75" w:afterAutospacing="0"/>
        <w:ind w:left="0" w:right="0" w:firstLine="480"/>
        <w:rPr>
          <w:rFonts w:hint="eastAsia" w:ascii="宋体" w:hAnsi="宋体" w:eastAsia="宋体" w:cs="宋体"/>
          <w:sz w:val="24"/>
          <w:szCs w:val="24"/>
        </w:rPr>
      </w:pPr>
      <w:r>
        <w:rPr>
          <w:rFonts w:hint="eastAsia" w:ascii="宋体" w:hAnsi="宋体" w:eastAsia="宋体" w:cs="宋体"/>
          <w:spacing w:val="0"/>
          <w:sz w:val="24"/>
          <w:szCs w:val="24"/>
        </w:rPr>
        <w:t>③所质疑的具体事项（以下简称：“质疑事项”）；</w:t>
      </w:r>
    </w:p>
    <w:p>
      <w:pPr>
        <w:pStyle w:val="6"/>
        <w:keepNext w:val="0"/>
        <w:keepLines w:val="0"/>
        <w:widowControl/>
        <w:suppressLineNumbers w:val="0"/>
        <w:spacing w:before="75" w:beforeAutospacing="0" w:after="75" w:afterAutospacing="0"/>
        <w:ind w:left="0" w:right="0" w:firstLine="480"/>
        <w:rPr>
          <w:rFonts w:hint="eastAsia" w:ascii="宋体" w:hAnsi="宋体" w:eastAsia="宋体" w:cs="宋体"/>
          <w:sz w:val="24"/>
          <w:szCs w:val="24"/>
        </w:rPr>
      </w:pPr>
      <w:r>
        <w:rPr>
          <w:rFonts w:hint="eastAsia" w:ascii="宋体" w:hAnsi="宋体" w:eastAsia="宋体" w:cs="宋体"/>
          <w:spacing w:val="0"/>
          <w:sz w:val="24"/>
          <w:szCs w:val="24"/>
        </w:rPr>
        <w:t>④针对质疑事项提出的明确请求，前述明确请求指质疑人提出质疑的目的以及希望</w:t>
      </w:r>
      <w:r>
        <w:rPr>
          <w:rFonts w:hint="eastAsia" w:ascii="宋体" w:hAnsi="宋体" w:eastAsia="宋体" w:cs="宋体"/>
          <w:spacing w:val="0"/>
          <w:sz w:val="24"/>
          <w:szCs w:val="24"/>
          <w:u w:val="single"/>
          <w:lang w:val="en-US" w:eastAsia="zh-CN"/>
        </w:rPr>
        <w:t>三明天和工程管理有限公司</w:t>
      </w:r>
      <w:r>
        <w:rPr>
          <w:rFonts w:hint="eastAsia" w:ascii="宋体" w:hAnsi="宋体" w:eastAsia="宋体" w:cs="宋体"/>
          <w:spacing w:val="0"/>
          <w:sz w:val="24"/>
          <w:szCs w:val="24"/>
          <w:u w:val="single"/>
        </w:rPr>
        <w:t>司</w:t>
      </w:r>
      <w:r>
        <w:rPr>
          <w:rFonts w:hint="eastAsia" w:ascii="宋体" w:hAnsi="宋体" w:eastAsia="宋体" w:cs="宋体"/>
          <w:spacing w:val="0"/>
          <w:sz w:val="24"/>
          <w:szCs w:val="24"/>
        </w:rPr>
        <w:t>对其质疑作出的处理结果，如：暂停招标投标活动、修改招标文件、停止或纠正违法违规行为、中标结果无效、废标、重新招标等；</w:t>
      </w:r>
    </w:p>
    <w:p>
      <w:pPr>
        <w:pStyle w:val="6"/>
        <w:keepNext w:val="0"/>
        <w:keepLines w:val="0"/>
        <w:widowControl/>
        <w:suppressLineNumbers w:val="0"/>
        <w:spacing w:before="75" w:beforeAutospacing="0" w:after="75" w:afterAutospacing="0"/>
        <w:ind w:left="0" w:right="0" w:firstLine="480"/>
        <w:rPr>
          <w:rFonts w:hint="eastAsia" w:ascii="宋体" w:hAnsi="宋体" w:eastAsia="宋体" w:cs="宋体"/>
          <w:sz w:val="24"/>
          <w:szCs w:val="24"/>
        </w:rPr>
      </w:pPr>
      <w:r>
        <w:rPr>
          <w:rFonts w:hint="eastAsia" w:ascii="宋体" w:hAnsi="宋体" w:eastAsia="宋体" w:cs="宋体"/>
          <w:spacing w:val="0"/>
          <w:sz w:val="24"/>
          <w:szCs w:val="24"/>
        </w:rPr>
        <w:t>⑤针对质疑事项导致质疑人自身权益受到损害的必要证明材料，至少包括：</w:t>
      </w:r>
    </w:p>
    <w:p>
      <w:pPr>
        <w:pStyle w:val="6"/>
        <w:keepNext w:val="0"/>
        <w:keepLines w:val="0"/>
        <w:widowControl/>
        <w:suppressLineNumbers w:val="0"/>
        <w:spacing w:before="75" w:beforeAutospacing="0" w:after="75" w:afterAutospacing="0"/>
        <w:ind w:left="0" w:right="0" w:firstLine="480"/>
        <w:rPr>
          <w:rFonts w:hint="eastAsia" w:ascii="宋体" w:hAnsi="宋体" w:eastAsia="宋体" w:cs="宋体"/>
          <w:sz w:val="24"/>
          <w:szCs w:val="24"/>
        </w:rPr>
      </w:pPr>
      <w:r>
        <w:rPr>
          <w:rFonts w:hint="eastAsia" w:ascii="宋体" w:hAnsi="宋体" w:eastAsia="宋体" w:cs="宋体"/>
          <w:spacing w:val="0"/>
          <w:sz w:val="24"/>
          <w:szCs w:val="24"/>
        </w:rPr>
        <w:t>a.质疑人代表的身份证明材料：</w:t>
      </w:r>
    </w:p>
    <w:p>
      <w:pPr>
        <w:pStyle w:val="6"/>
        <w:keepNext w:val="0"/>
        <w:keepLines w:val="0"/>
        <w:widowControl/>
        <w:suppressLineNumbers w:val="0"/>
        <w:spacing w:before="75" w:beforeAutospacing="0" w:after="75" w:afterAutospacing="0"/>
        <w:ind w:left="0" w:right="0" w:firstLine="480"/>
        <w:rPr>
          <w:rFonts w:hint="eastAsia" w:ascii="宋体" w:hAnsi="宋体" w:eastAsia="宋体" w:cs="宋体"/>
          <w:sz w:val="24"/>
          <w:szCs w:val="24"/>
        </w:rPr>
      </w:pPr>
      <w:r>
        <w:rPr>
          <w:rFonts w:hint="eastAsia" w:ascii="宋体" w:hAnsi="宋体" w:eastAsia="宋体" w:cs="宋体"/>
          <w:spacing w:val="0"/>
          <w:sz w:val="24"/>
          <w:szCs w:val="24"/>
        </w:rPr>
        <w:t>a1质疑人为法人或其他组织的，提供统一社会信用代码营业执照的副本复印件、单位负责人的身份证复印件；质疑人代表为委托代理人的，还应同时提供单位负责人授权书和委托代理人的身份证复印件。</w:t>
      </w:r>
    </w:p>
    <w:p>
      <w:pPr>
        <w:pStyle w:val="6"/>
        <w:keepNext w:val="0"/>
        <w:keepLines w:val="0"/>
        <w:widowControl/>
        <w:suppressLineNumbers w:val="0"/>
        <w:spacing w:before="75" w:beforeAutospacing="0" w:after="75" w:afterAutospacing="0"/>
        <w:ind w:left="0" w:right="0" w:firstLine="480"/>
        <w:rPr>
          <w:rFonts w:hint="eastAsia" w:ascii="宋体" w:hAnsi="宋体" w:eastAsia="宋体" w:cs="宋体"/>
          <w:sz w:val="24"/>
          <w:szCs w:val="24"/>
        </w:rPr>
      </w:pPr>
      <w:r>
        <w:rPr>
          <w:rFonts w:hint="eastAsia" w:ascii="宋体" w:hAnsi="宋体" w:eastAsia="宋体" w:cs="宋体"/>
          <w:spacing w:val="0"/>
          <w:sz w:val="24"/>
          <w:szCs w:val="24"/>
        </w:rPr>
        <w:t>a2若本项目接受自然人投标且质疑人为自然人的，提供本人的身份证复印件。</w:t>
      </w:r>
    </w:p>
    <w:p>
      <w:pPr>
        <w:pStyle w:val="6"/>
        <w:keepNext w:val="0"/>
        <w:keepLines w:val="0"/>
        <w:widowControl/>
        <w:suppressLineNumbers w:val="0"/>
        <w:spacing w:before="75" w:beforeAutospacing="0" w:after="75" w:afterAutospacing="0"/>
        <w:ind w:left="0" w:right="0" w:firstLine="480"/>
        <w:rPr>
          <w:rFonts w:hint="eastAsia" w:ascii="宋体" w:hAnsi="宋体" w:eastAsia="宋体" w:cs="宋体"/>
          <w:sz w:val="24"/>
          <w:szCs w:val="24"/>
        </w:rPr>
      </w:pPr>
      <w:r>
        <w:rPr>
          <w:rFonts w:hint="eastAsia" w:ascii="宋体" w:hAnsi="宋体" w:eastAsia="宋体" w:cs="宋体"/>
          <w:spacing w:val="0"/>
          <w:sz w:val="24"/>
          <w:szCs w:val="24"/>
        </w:rPr>
        <w:t>b.其他证明材料，包括但不限于下列材料：</w:t>
      </w:r>
    </w:p>
    <w:p>
      <w:pPr>
        <w:pStyle w:val="6"/>
        <w:keepNext w:val="0"/>
        <w:keepLines w:val="0"/>
        <w:widowControl/>
        <w:suppressLineNumbers w:val="0"/>
        <w:spacing w:before="75" w:beforeAutospacing="0" w:after="75" w:afterAutospacing="0"/>
        <w:ind w:left="0" w:right="0" w:firstLine="480"/>
        <w:rPr>
          <w:rFonts w:hint="eastAsia" w:ascii="宋体" w:hAnsi="宋体" w:eastAsia="宋体" w:cs="宋体"/>
          <w:sz w:val="24"/>
          <w:szCs w:val="24"/>
        </w:rPr>
      </w:pPr>
      <w:r>
        <w:rPr>
          <w:rFonts w:hint="eastAsia" w:ascii="宋体" w:hAnsi="宋体" w:eastAsia="宋体" w:cs="宋体"/>
          <w:spacing w:val="0"/>
          <w:sz w:val="24"/>
          <w:szCs w:val="24"/>
        </w:rPr>
        <w:t>b1所质疑的具体事项是与自已有利害关系的证明材料；</w:t>
      </w:r>
    </w:p>
    <w:p>
      <w:pPr>
        <w:pStyle w:val="6"/>
        <w:keepNext w:val="0"/>
        <w:keepLines w:val="0"/>
        <w:widowControl/>
        <w:suppressLineNumbers w:val="0"/>
        <w:spacing w:before="75" w:beforeAutospacing="0" w:after="75" w:afterAutospacing="0"/>
        <w:ind w:left="0" w:right="0" w:firstLine="480"/>
        <w:rPr>
          <w:rFonts w:hint="eastAsia" w:ascii="宋体" w:hAnsi="宋体" w:eastAsia="宋体" w:cs="宋体"/>
          <w:sz w:val="24"/>
          <w:szCs w:val="24"/>
        </w:rPr>
      </w:pPr>
      <w:r>
        <w:rPr>
          <w:rFonts w:hint="eastAsia" w:ascii="宋体" w:hAnsi="宋体" w:eastAsia="宋体" w:cs="宋体"/>
          <w:spacing w:val="0"/>
          <w:sz w:val="24"/>
          <w:szCs w:val="24"/>
        </w:rPr>
        <w:t>b2质疑函所述事实存在的证明材料，如：采购文件、采购过程或中标结果违法违规或不符合采购文件要求等证明材料；</w:t>
      </w:r>
    </w:p>
    <w:p>
      <w:pPr>
        <w:pStyle w:val="6"/>
        <w:keepNext w:val="0"/>
        <w:keepLines w:val="0"/>
        <w:widowControl/>
        <w:suppressLineNumbers w:val="0"/>
        <w:spacing w:before="75" w:beforeAutospacing="0" w:after="75" w:afterAutospacing="0"/>
        <w:ind w:left="0" w:right="0" w:firstLine="480"/>
        <w:rPr>
          <w:rFonts w:hint="eastAsia" w:ascii="宋体" w:hAnsi="宋体" w:eastAsia="宋体" w:cs="宋体"/>
          <w:sz w:val="24"/>
          <w:szCs w:val="24"/>
        </w:rPr>
      </w:pPr>
      <w:r>
        <w:rPr>
          <w:rFonts w:hint="eastAsia" w:ascii="宋体" w:hAnsi="宋体" w:eastAsia="宋体" w:cs="宋体"/>
          <w:spacing w:val="0"/>
          <w:sz w:val="24"/>
          <w:szCs w:val="24"/>
        </w:rPr>
        <w:t>b3依法应终止采购程序的证明材料；</w:t>
      </w:r>
    </w:p>
    <w:p>
      <w:pPr>
        <w:pStyle w:val="6"/>
        <w:keepNext w:val="0"/>
        <w:keepLines w:val="0"/>
        <w:widowControl/>
        <w:suppressLineNumbers w:val="0"/>
        <w:spacing w:before="75" w:beforeAutospacing="0" w:after="75" w:afterAutospacing="0"/>
        <w:ind w:left="0" w:right="0" w:firstLine="480"/>
        <w:rPr>
          <w:rFonts w:hint="eastAsia" w:ascii="宋体" w:hAnsi="宋体" w:eastAsia="宋体" w:cs="宋体"/>
          <w:sz w:val="24"/>
          <w:szCs w:val="24"/>
        </w:rPr>
      </w:pPr>
      <w:r>
        <w:rPr>
          <w:rFonts w:hint="eastAsia" w:ascii="宋体" w:hAnsi="宋体" w:eastAsia="宋体" w:cs="宋体"/>
          <w:spacing w:val="0"/>
          <w:sz w:val="24"/>
          <w:szCs w:val="24"/>
        </w:rPr>
        <w:t>b4应重新采购的证明材料；</w:t>
      </w:r>
    </w:p>
    <w:p>
      <w:pPr>
        <w:pStyle w:val="6"/>
        <w:keepNext w:val="0"/>
        <w:keepLines w:val="0"/>
        <w:widowControl/>
        <w:suppressLineNumbers w:val="0"/>
        <w:spacing w:before="75" w:beforeAutospacing="0" w:after="75" w:afterAutospacing="0"/>
        <w:ind w:left="0" w:right="0" w:firstLine="480"/>
        <w:rPr>
          <w:rFonts w:hint="eastAsia" w:ascii="宋体" w:hAnsi="宋体" w:eastAsia="宋体" w:cs="宋体"/>
          <w:sz w:val="24"/>
          <w:szCs w:val="24"/>
        </w:rPr>
      </w:pPr>
      <w:r>
        <w:rPr>
          <w:rFonts w:hint="eastAsia" w:ascii="宋体" w:hAnsi="宋体" w:eastAsia="宋体" w:cs="宋体"/>
          <w:spacing w:val="0"/>
          <w:sz w:val="24"/>
          <w:szCs w:val="24"/>
        </w:rPr>
        <w:t>b5采购文件、采购过程或中标、成交结果损害自已合法权益的证明材料等；</w:t>
      </w:r>
    </w:p>
    <w:p>
      <w:pPr>
        <w:pStyle w:val="6"/>
        <w:keepNext w:val="0"/>
        <w:keepLines w:val="0"/>
        <w:widowControl/>
        <w:suppressLineNumbers w:val="0"/>
        <w:spacing w:before="75" w:beforeAutospacing="0" w:after="75" w:afterAutospacing="0"/>
        <w:ind w:left="0" w:right="0" w:firstLine="480"/>
        <w:rPr>
          <w:rFonts w:hint="eastAsia" w:ascii="宋体" w:hAnsi="宋体" w:eastAsia="宋体" w:cs="宋体"/>
          <w:sz w:val="24"/>
          <w:szCs w:val="24"/>
        </w:rPr>
      </w:pPr>
      <w:r>
        <w:rPr>
          <w:rFonts w:hint="eastAsia" w:ascii="宋体" w:hAnsi="宋体" w:eastAsia="宋体" w:cs="宋体"/>
          <w:spacing w:val="0"/>
          <w:sz w:val="24"/>
          <w:szCs w:val="24"/>
        </w:rPr>
        <w:t>b6若质疑的具体事项按照有关法律、法规和规章规定处于保密阶段，则应提供信息或证明材料为合法或公开渠道获得的有效证据（若证据无法有效表明信息或证明材料为合法或公开渠道获得，则前述信息或证明材料</w:t>
      </w:r>
      <w:r>
        <w:rPr>
          <w:rStyle w:val="10"/>
          <w:rFonts w:hint="eastAsia" w:ascii="宋体" w:hAnsi="宋体" w:eastAsia="宋体" w:cs="宋体"/>
          <w:spacing w:val="0"/>
          <w:sz w:val="24"/>
          <w:szCs w:val="24"/>
        </w:rPr>
        <w:t>视为无效</w:t>
      </w:r>
      <w:r>
        <w:rPr>
          <w:rFonts w:hint="eastAsia" w:ascii="宋体" w:hAnsi="宋体" w:eastAsia="宋体" w:cs="宋体"/>
          <w:spacing w:val="0"/>
          <w:sz w:val="24"/>
          <w:szCs w:val="24"/>
        </w:rPr>
        <w:t>）。</w:t>
      </w:r>
    </w:p>
    <w:p>
      <w:pPr>
        <w:pStyle w:val="6"/>
        <w:keepNext w:val="0"/>
        <w:keepLines w:val="0"/>
        <w:widowControl/>
        <w:suppressLineNumbers w:val="0"/>
        <w:spacing w:before="75" w:beforeAutospacing="0" w:after="75" w:afterAutospacing="0"/>
        <w:ind w:left="0" w:right="0" w:firstLine="480"/>
        <w:rPr>
          <w:rFonts w:hint="eastAsia" w:ascii="宋体" w:hAnsi="宋体" w:eastAsia="宋体" w:cs="宋体"/>
          <w:sz w:val="24"/>
          <w:szCs w:val="24"/>
        </w:rPr>
      </w:pPr>
      <w:r>
        <w:rPr>
          <w:rFonts w:hint="eastAsia" w:ascii="宋体" w:hAnsi="宋体" w:eastAsia="宋体" w:cs="宋体"/>
          <w:spacing w:val="0"/>
          <w:sz w:val="24"/>
          <w:szCs w:val="24"/>
        </w:rPr>
        <w:t>⑥质疑人代表及其联系方式的信息，至少包括：姓名、手机、电子信箱、邮寄地址等。</w:t>
      </w:r>
    </w:p>
    <w:p>
      <w:pPr>
        <w:pStyle w:val="6"/>
        <w:keepNext w:val="0"/>
        <w:keepLines w:val="0"/>
        <w:widowControl/>
        <w:suppressLineNumbers w:val="0"/>
        <w:spacing w:before="75" w:beforeAutospacing="0" w:after="75" w:afterAutospacing="0"/>
        <w:ind w:left="0" w:right="0" w:firstLine="0"/>
        <w:rPr>
          <w:rFonts w:hint="eastAsia" w:ascii="宋体" w:hAnsi="宋体" w:eastAsia="宋体" w:cs="宋体"/>
          <w:sz w:val="24"/>
          <w:szCs w:val="24"/>
        </w:rPr>
      </w:pPr>
      <w:r>
        <w:rPr>
          <w:rFonts w:hint="eastAsia" w:ascii="宋体" w:hAnsi="宋体" w:eastAsia="宋体" w:cs="宋体"/>
          <w:spacing w:val="0"/>
          <w:sz w:val="24"/>
          <w:szCs w:val="24"/>
        </w:rPr>
        <w:t>15.2对不符合本章第15.1条规定的质疑，将按照下列规定进行处理：</w:t>
      </w:r>
    </w:p>
    <w:p>
      <w:pPr>
        <w:pStyle w:val="6"/>
        <w:keepNext w:val="0"/>
        <w:keepLines w:val="0"/>
        <w:widowControl/>
        <w:suppressLineNumbers w:val="0"/>
        <w:spacing w:before="75" w:beforeAutospacing="0" w:after="75" w:afterAutospacing="0"/>
        <w:ind w:left="0" w:right="0" w:firstLine="480"/>
        <w:rPr>
          <w:rFonts w:hint="eastAsia" w:ascii="宋体" w:hAnsi="宋体" w:eastAsia="宋体" w:cs="宋体"/>
          <w:sz w:val="24"/>
          <w:szCs w:val="24"/>
        </w:rPr>
      </w:pPr>
      <w:r>
        <w:rPr>
          <w:rFonts w:hint="eastAsia" w:ascii="宋体" w:hAnsi="宋体" w:eastAsia="宋体" w:cs="宋体"/>
          <w:spacing w:val="0"/>
          <w:sz w:val="24"/>
          <w:szCs w:val="24"/>
        </w:rPr>
        <w:t>（1）不符合其中第（1）、（2）条规定的，书面告知质疑人不予受理及其理由。</w:t>
      </w:r>
    </w:p>
    <w:p>
      <w:pPr>
        <w:pStyle w:val="6"/>
        <w:keepNext w:val="0"/>
        <w:keepLines w:val="0"/>
        <w:widowControl/>
        <w:suppressLineNumbers w:val="0"/>
        <w:spacing w:before="75" w:beforeAutospacing="0" w:after="75" w:afterAutospacing="0"/>
        <w:ind w:left="0" w:right="0" w:firstLine="480"/>
        <w:rPr>
          <w:rFonts w:hint="eastAsia" w:ascii="宋体" w:hAnsi="宋体" w:eastAsia="宋体" w:cs="宋体"/>
          <w:sz w:val="24"/>
          <w:szCs w:val="24"/>
        </w:rPr>
      </w:pPr>
      <w:r>
        <w:rPr>
          <w:rFonts w:hint="eastAsia" w:ascii="宋体" w:hAnsi="宋体" w:eastAsia="宋体" w:cs="宋体"/>
          <w:spacing w:val="0"/>
          <w:sz w:val="24"/>
          <w:szCs w:val="24"/>
        </w:rPr>
        <w:t>（2）不符合其中第（3）条规定的，书面告知质疑人修改、补充后在规定时限内重新提交质疑函。</w:t>
      </w:r>
    </w:p>
    <w:p>
      <w:pPr>
        <w:pStyle w:val="6"/>
        <w:keepNext w:val="0"/>
        <w:keepLines w:val="0"/>
        <w:widowControl/>
        <w:suppressLineNumbers w:val="0"/>
        <w:spacing w:before="75" w:beforeAutospacing="0" w:after="75" w:afterAutospacing="0"/>
        <w:ind w:left="0" w:right="0" w:firstLine="0"/>
        <w:rPr>
          <w:rFonts w:hint="eastAsia" w:ascii="宋体" w:hAnsi="宋体" w:eastAsia="宋体" w:cs="宋体"/>
          <w:sz w:val="24"/>
          <w:szCs w:val="24"/>
        </w:rPr>
      </w:pPr>
      <w:r>
        <w:rPr>
          <w:rFonts w:hint="eastAsia" w:ascii="宋体" w:hAnsi="宋体" w:eastAsia="宋体" w:cs="宋体"/>
          <w:spacing w:val="0"/>
          <w:sz w:val="24"/>
          <w:szCs w:val="24"/>
        </w:rPr>
        <w:t>15.3对符合本章第15.1条规定的质疑，将按照政府采购法及实施条例的有关规定进行答复。</w:t>
      </w:r>
    </w:p>
    <w:p>
      <w:pPr>
        <w:pStyle w:val="6"/>
        <w:keepNext w:val="0"/>
        <w:keepLines w:val="0"/>
        <w:widowControl/>
        <w:suppressLineNumbers w:val="0"/>
        <w:spacing w:before="75" w:beforeAutospacing="0" w:after="75" w:afterAutospacing="0"/>
        <w:ind w:left="0" w:right="0" w:firstLine="0"/>
        <w:rPr>
          <w:rFonts w:hint="eastAsia" w:ascii="宋体" w:hAnsi="宋体" w:eastAsia="宋体" w:cs="宋体"/>
          <w:sz w:val="24"/>
          <w:szCs w:val="24"/>
        </w:rPr>
      </w:pPr>
      <w:r>
        <w:rPr>
          <w:rFonts w:hint="eastAsia" w:ascii="宋体" w:hAnsi="宋体" w:eastAsia="宋体" w:cs="宋体"/>
          <w:spacing w:val="0"/>
          <w:sz w:val="24"/>
          <w:szCs w:val="24"/>
        </w:rPr>
        <w:t>15.4招标文件的质疑：详见招标文件第二章。</w:t>
      </w:r>
    </w:p>
    <w:p>
      <w:pPr>
        <w:pStyle w:val="6"/>
        <w:keepNext w:val="0"/>
        <w:keepLines w:val="0"/>
        <w:widowControl/>
        <w:suppressLineNumbers w:val="0"/>
        <w:spacing w:before="75" w:beforeAutospacing="0" w:after="75" w:afterAutospacing="0"/>
        <w:ind w:left="0" w:right="0" w:firstLine="0"/>
        <w:rPr>
          <w:rFonts w:hint="eastAsia" w:ascii="宋体" w:hAnsi="宋体" w:eastAsia="宋体" w:cs="宋体"/>
          <w:sz w:val="24"/>
          <w:szCs w:val="24"/>
        </w:rPr>
      </w:pPr>
      <w:r>
        <w:rPr>
          <w:rFonts w:hint="eastAsia" w:ascii="宋体" w:hAnsi="宋体" w:eastAsia="宋体" w:cs="宋体"/>
          <w:spacing w:val="0"/>
          <w:sz w:val="24"/>
          <w:szCs w:val="24"/>
        </w:rPr>
        <w:t>16、投诉</w:t>
      </w:r>
    </w:p>
    <w:p>
      <w:pPr>
        <w:pStyle w:val="6"/>
        <w:keepNext w:val="0"/>
        <w:keepLines w:val="0"/>
        <w:widowControl/>
        <w:suppressLineNumbers w:val="0"/>
        <w:spacing w:before="75" w:beforeAutospacing="0" w:after="75" w:afterAutospacing="0"/>
        <w:ind w:left="0" w:right="0" w:firstLine="0"/>
        <w:rPr>
          <w:rFonts w:hint="eastAsia" w:ascii="宋体" w:hAnsi="宋体" w:eastAsia="宋体" w:cs="宋体"/>
          <w:sz w:val="24"/>
          <w:szCs w:val="24"/>
        </w:rPr>
      </w:pPr>
      <w:r>
        <w:rPr>
          <w:rFonts w:hint="eastAsia" w:ascii="宋体" w:hAnsi="宋体" w:eastAsia="宋体" w:cs="宋体"/>
          <w:spacing w:val="0"/>
          <w:sz w:val="24"/>
          <w:szCs w:val="24"/>
        </w:rPr>
        <w:t>16.1若对质疑答复不满意或质疑答复未在答复期限内作出，质疑人可在答复期限届满之日起15个工作日内向招标文件第二章载明的本项目监督管理部门投诉。</w:t>
      </w:r>
    </w:p>
    <w:p>
      <w:pPr>
        <w:pStyle w:val="6"/>
        <w:keepNext w:val="0"/>
        <w:keepLines w:val="0"/>
        <w:widowControl/>
        <w:suppressLineNumbers w:val="0"/>
        <w:spacing w:before="75" w:beforeAutospacing="0" w:after="75" w:afterAutospacing="0"/>
        <w:ind w:left="0" w:right="0" w:firstLine="0"/>
        <w:rPr>
          <w:rFonts w:hint="eastAsia" w:ascii="宋体" w:hAnsi="宋体" w:eastAsia="宋体" w:cs="宋体"/>
          <w:sz w:val="24"/>
          <w:szCs w:val="24"/>
        </w:rPr>
      </w:pPr>
      <w:r>
        <w:rPr>
          <w:rFonts w:hint="eastAsia" w:ascii="宋体" w:hAnsi="宋体" w:eastAsia="宋体" w:cs="宋体"/>
          <w:spacing w:val="0"/>
          <w:sz w:val="24"/>
          <w:szCs w:val="24"/>
        </w:rPr>
        <w:t>16.2投诉应有明确的请求和必要的证明材料，投诉的事项不得超出已质疑事项的范围。</w:t>
      </w:r>
    </w:p>
    <w:p>
      <w:pPr>
        <w:pStyle w:val="6"/>
        <w:keepNext w:val="0"/>
        <w:keepLines w:val="0"/>
        <w:widowControl/>
        <w:suppressLineNumbers w:val="0"/>
        <w:spacing w:before="75" w:beforeAutospacing="0" w:after="75" w:afterAutospacing="0"/>
        <w:ind w:left="0" w:right="0" w:firstLine="0"/>
        <w:jc w:val="center"/>
        <w:rPr>
          <w:rFonts w:hint="eastAsia" w:ascii="宋体" w:hAnsi="宋体" w:eastAsia="宋体" w:cs="宋体"/>
          <w:sz w:val="24"/>
          <w:szCs w:val="24"/>
        </w:rPr>
      </w:pPr>
      <w:r>
        <w:rPr>
          <w:rStyle w:val="10"/>
          <w:rFonts w:hint="eastAsia" w:ascii="宋体" w:hAnsi="宋体" w:eastAsia="宋体" w:cs="宋体"/>
          <w:spacing w:val="0"/>
          <w:sz w:val="24"/>
          <w:szCs w:val="24"/>
        </w:rPr>
        <w:t>八、政府采购政策</w:t>
      </w:r>
    </w:p>
    <w:p>
      <w:pPr>
        <w:pStyle w:val="6"/>
        <w:keepNext w:val="0"/>
        <w:keepLines w:val="0"/>
        <w:widowControl/>
        <w:suppressLineNumbers w:val="0"/>
        <w:spacing w:before="75" w:beforeAutospacing="0" w:after="75" w:afterAutospacing="0"/>
        <w:ind w:left="0" w:right="0" w:firstLine="0"/>
        <w:rPr>
          <w:rFonts w:hint="eastAsia" w:ascii="宋体" w:hAnsi="宋体" w:eastAsia="宋体" w:cs="宋体"/>
          <w:sz w:val="24"/>
          <w:szCs w:val="24"/>
        </w:rPr>
      </w:pPr>
      <w:r>
        <w:rPr>
          <w:rFonts w:hint="eastAsia" w:ascii="宋体" w:hAnsi="宋体" w:eastAsia="宋体" w:cs="宋体"/>
          <w:spacing w:val="0"/>
          <w:sz w:val="24"/>
          <w:szCs w:val="24"/>
        </w:rPr>
        <w:t>17、政府采购政策由财政部根据国家的经济和社会发展政策并会同国家有关部委制定，包括但不限于下列具体政策要求：</w:t>
      </w:r>
    </w:p>
    <w:p>
      <w:pPr>
        <w:pStyle w:val="6"/>
        <w:keepNext w:val="0"/>
        <w:keepLines w:val="0"/>
        <w:widowControl/>
        <w:suppressLineNumbers w:val="0"/>
        <w:spacing w:before="75" w:beforeAutospacing="0" w:after="75" w:afterAutospacing="0"/>
        <w:ind w:left="0" w:right="0" w:firstLine="0"/>
        <w:rPr>
          <w:rFonts w:hint="eastAsia" w:ascii="宋体" w:hAnsi="宋体" w:eastAsia="宋体" w:cs="宋体"/>
          <w:sz w:val="24"/>
          <w:szCs w:val="24"/>
        </w:rPr>
      </w:pPr>
      <w:r>
        <w:rPr>
          <w:rFonts w:hint="eastAsia" w:ascii="宋体" w:hAnsi="宋体" w:eastAsia="宋体" w:cs="宋体"/>
          <w:spacing w:val="0"/>
          <w:sz w:val="24"/>
          <w:szCs w:val="24"/>
        </w:rPr>
        <w:t>17.1进口产品指通过中国海关报关验放进入中国境内且产自关境外的产品，其中：</w:t>
      </w:r>
    </w:p>
    <w:p>
      <w:pPr>
        <w:pStyle w:val="6"/>
        <w:keepNext w:val="0"/>
        <w:keepLines w:val="0"/>
        <w:widowControl/>
        <w:suppressLineNumbers w:val="0"/>
        <w:spacing w:before="75" w:beforeAutospacing="0" w:after="75" w:afterAutospacing="0"/>
        <w:ind w:left="0" w:right="0" w:firstLine="480"/>
        <w:rPr>
          <w:rFonts w:hint="eastAsia" w:ascii="宋体" w:hAnsi="宋体" w:eastAsia="宋体" w:cs="宋体"/>
          <w:sz w:val="24"/>
          <w:szCs w:val="24"/>
        </w:rPr>
      </w:pPr>
      <w:r>
        <w:rPr>
          <w:rFonts w:hint="eastAsia" w:ascii="宋体" w:hAnsi="宋体" w:eastAsia="宋体" w:cs="宋体"/>
          <w:spacing w:val="0"/>
          <w:sz w:val="24"/>
          <w:szCs w:val="24"/>
        </w:rPr>
        <w:t>（1）我国现行关境指适用海关法的中华人民共和国行政管辖区域，不包括香港、澳门和台湾金马等单独关境地区；保税区、出口加工区、保税港区、珠澳跨境工业区珠海园区、中哈霍尔果斯国际边境合作中心中方配套区、综合保税区等区域，为海关特殊监管区域，仍属于中华人民共和国关境内区域，由海关按照海关法实施监管。</w:t>
      </w:r>
    </w:p>
    <w:p>
      <w:pPr>
        <w:pStyle w:val="6"/>
        <w:keepNext w:val="0"/>
        <w:keepLines w:val="0"/>
        <w:widowControl/>
        <w:suppressLineNumbers w:val="0"/>
        <w:spacing w:before="75" w:beforeAutospacing="0" w:after="75" w:afterAutospacing="0"/>
        <w:ind w:left="0" w:right="0" w:firstLine="480"/>
        <w:rPr>
          <w:rFonts w:hint="eastAsia" w:ascii="宋体" w:hAnsi="宋体" w:eastAsia="宋体" w:cs="宋体"/>
          <w:sz w:val="24"/>
          <w:szCs w:val="24"/>
        </w:rPr>
      </w:pPr>
      <w:r>
        <w:rPr>
          <w:rFonts w:hint="eastAsia" w:ascii="宋体" w:hAnsi="宋体" w:eastAsia="宋体" w:cs="宋体"/>
          <w:spacing w:val="0"/>
          <w:sz w:val="24"/>
          <w:szCs w:val="24"/>
        </w:rPr>
        <w:t>（2）凡在海关特殊监管区域内企业生产或加工（包括从境外进口料件）销往境内其他地区的产品，不作为政府采购项下进口产品。</w:t>
      </w:r>
    </w:p>
    <w:p>
      <w:pPr>
        <w:pStyle w:val="6"/>
        <w:keepNext w:val="0"/>
        <w:keepLines w:val="0"/>
        <w:widowControl/>
        <w:suppressLineNumbers w:val="0"/>
        <w:spacing w:before="75" w:beforeAutospacing="0" w:after="75" w:afterAutospacing="0"/>
        <w:ind w:left="0" w:right="0" w:firstLine="480"/>
        <w:rPr>
          <w:rFonts w:hint="eastAsia" w:ascii="宋体" w:hAnsi="宋体" w:eastAsia="宋体" w:cs="宋体"/>
          <w:sz w:val="24"/>
          <w:szCs w:val="24"/>
        </w:rPr>
      </w:pPr>
      <w:r>
        <w:rPr>
          <w:rFonts w:hint="eastAsia" w:ascii="宋体" w:hAnsi="宋体" w:eastAsia="宋体" w:cs="宋体"/>
          <w:spacing w:val="0"/>
          <w:sz w:val="24"/>
          <w:szCs w:val="24"/>
        </w:rPr>
        <w:t>（3）对从境外进入海关特殊监管区域，再经办理报关手续后从海关特殊监管区进入境内其他地区的产品，认定为进口产品。</w:t>
      </w:r>
    </w:p>
    <w:p>
      <w:pPr>
        <w:pStyle w:val="6"/>
        <w:keepNext w:val="0"/>
        <w:keepLines w:val="0"/>
        <w:widowControl/>
        <w:suppressLineNumbers w:val="0"/>
        <w:spacing w:before="75" w:beforeAutospacing="0" w:after="75" w:afterAutospacing="0"/>
        <w:ind w:left="0" w:right="0" w:firstLine="480"/>
        <w:rPr>
          <w:rFonts w:hint="eastAsia" w:ascii="宋体" w:hAnsi="宋体" w:eastAsia="宋体" w:cs="宋体"/>
          <w:sz w:val="24"/>
          <w:szCs w:val="24"/>
        </w:rPr>
      </w:pPr>
      <w:r>
        <w:rPr>
          <w:rFonts w:hint="eastAsia" w:ascii="宋体" w:hAnsi="宋体" w:eastAsia="宋体" w:cs="宋体"/>
          <w:spacing w:val="0"/>
          <w:sz w:val="24"/>
          <w:szCs w:val="24"/>
        </w:rPr>
        <w:t>（4）招标文件列明不允许或未列明允许进口产品参加投标的，均视为拒绝进口产品参加投标。</w:t>
      </w:r>
    </w:p>
    <w:p>
      <w:pPr>
        <w:pStyle w:val="6"/>
        <w:keepNext w:val="0"/>
        <w:keepLines w:val="0"/>
        <w:widowControl/>
        <w:suppressLineNumbers w:val="0"/>
        <w:spacing w:before="75" w:beforeAutospacing="0" w:after="75" w:afterAutospacing="0"/>
        <w:ind w:left="0" w:right="0" w:firstLine="0"/>
        <w:rPr>
          <w:rFonts w:hint="eastAsia" w:ascii="宋体" w:hAnsi="宋体" w:eastAsia="宋体" w:cs="宋体"/>
          <w:sz w:val="24"/>
          <w:szCs w:val="24"/>
        </w:rPr>
      </w:pPr>
      <w:r>
        <w:rPr>
          <w:rFonts w:hint="eastAsia" w:ascii="宋体" w:hAnsi="宋体" w:eastAsia="宋体" w:cs="宋体"/>
          <w:spacing w:val="0"/>
          <w:sz w:val="24"/>
          <w:szCs w:val="24"/>
        </w:rPr>
        <w:t>17.2节能产品指列入财政部、国家发改委《节能产品政府采购清单》（以下简称：“节能清单”）的产品。环境标志产品指列入财政部、环保部《环境标志产品政府采购清单》（以下简称：“环保清单”）的产品。其中：</w:t>
      </w:r>
    </w:p>
    <w:p>
      <w:pPr>
        <w:pStyle w:val="6"/>
        <w:keepNext w:val="0"/>
        <w:keepLines w:val="0"/>
        <w:widowControl/>
        <w:suppressLineNumbers w:val="0"/>
        <w:spacing w:before="75" w:beforeAutospacing="0" w:after="75" w:afterAutospacing="0"/>
        <w:ind w:left="0" w:right="0" w:firstLine="480"/>
        <w:rPr>
          <w:rFonts w:hint="eastAsia" w:ascii="宋体" w:hAnsi="宋体" w:eastAsia="宋体" w:cs="宋体"/>
          <w:sz w:val="24"/>
          <w:szCs w:val="24"/>
        </w:rPr>
      </w:pPr>
      <w:r>
        <w:rPr>
          <w:rFonts w:hint="eastAsia" w:ascii="宋体" w:hAnsi="宋体" w:eastAsia="宋体" w:cs="宋体"/>
          <w:spacing w:val="0"/>
          <w:sz w:val="24"/>
          <w:szCs w:val="24"/>
        </w:rPr>
        <w:t>（1）节能清单所列产品包括政府强制采购和优先采购的节能产品。未列入节能清单的产品，不属于政府强制采购、优先采购的节能产品（以下分别简称：“强制类节能产品”、“优先类节能产品”）范围。节能清单中的产品，其制造商名称或地址在清单执行期内依法变更的，经有关认证机构核准并办理认证证书变更手续后，仍属于节能清单的范围。节能清单中的台式计算机产品的性能参数应与节能清单所列性能参数一致，否则不属于节能清单的范围。</w:t>
      </w:r>
    </w:p>
    <w:p>
      <w:pPr>
        <w:pStyle w:val="6"/>
        <w:keepNext w:val="0"/>
        <w:keepLines w:val="0"/>
        <w:widowControl/>
        <w:suppressLineNumbers w:val="0"/>
        <w:spacing w:before="75" w:beforeAutospacing="0" w:after="75" w:afterAutospacing="0"/>
        <w:ind w:left="0" w:right="0" w:firstLine="480"/>
        <w:rPr>
          <w:rFonts w:hint="eastAsia" w:ascii="宋体" w:hAnsi="宋体" w:eastAsia="宋体" w:cs="宋体"/>
          <w:sz w:val="24"/>
          <w:szCs w:val="24"/>
        </w:rPr>
      </w:pPr>
      <w:r>
        <w:rPr>
          <w:rFonts w:hint="eastAsia" w:ascii="宋体" w:hAnsi="宋体" w:eastAsia="宋体" w:cs="宋体"/>
          <w:spacing w:val="0"/>
          <w:sz w:val="24"/>
          <w:szCs w:val="24"/>
        </w:rPr>
        <w:t>（2）环保清单所列产品为政府优先采购产品。未列入环保清单的产品，不属于政府优先采购的环境标志产品范围。环保清单中的产品，其制造商名称或地址在清单执行期内依法变更的，经有关认证机构核准并办理认证证书变更手续后，仍属于环保清单的范围。环保清单中的台式计算机产品的性能参数应与环保清单所列性能参数一致，否则不属于环保清单的范围。</w:t>
      </w:r>
    </w:p>
    <w:p>
      <w:pPr>
        <w:pStyle w:val="6"/>
        <w:keepNext w:val="0"/>
        <w:keepLines w:val="0"/>
        <w:widowControl/>
        <w:suppressLineNumbers w:val="0"/>
        <w:spacing w:before="75" w:beforeAutospacing="0" w:after="75" w:afterAutospacing="0"/>
        <w:ind w:left="0" w:right="0" w:firstLine="480"/>
        <w:rPr>
          <w:rFonts w:hint="eastAsia" w:ascii="宋体" w:hAnsi="宋体" w:eastAsia="宋体" w:cs="宋体"/>
          <w:sz w:val="24"/>
          <w:szCs w:val="24"/>
        </w:rPr>
      </w:pPr>
      <w:r>
        <w:rPr>
          <w:rFonts w:hint="eastAsia" w:ascii="宋体" w:hAnsi="宋体" w:eastAsia="宋体" w:cs="宋体"/>
          <w:spacing w:val="0"/>
          <w:sz w:val="24"/>
          <w:szCs w:val="24"/>
        </w:rPr>
        <w:t>（3）对于同时列入节能清单和环保清单的产品，优先于只列入其中一个清单的产品。</w:t>
      </w:r>
    </w:p>
    <w:p>
      <w:pPr>
        <w:pStyle w:val="6"/>
        <w:keepNext w:val="0"/>
        <w:keepLines w:val="0"/>
        <w:widowControl/>
        <w:suppressLineNumbers w:val="0"/>
        <w:spacing w:before="75" w:beforeAutospacing="0" w:after="75" w:afterAutospacing="0"/>
        <w:ind w:left="0" w:right="0" w:firstLine="480"/>
        <w:rPr>
          <w:rFonts w:hint="eastAsia" w:ascii="宋体" w:hAnsi="宋体" w:eastAsia="宋体" w:cs="宋体"/>
          <w:sz w:val="24"/>
          <w:szCs w:val="24"/>
        </w:rPr>
      </w:pPr>
      <w:r>
        <w:rPr>
          <w:rFonts w:hint="eastAsia" w:ascii="宋体" w:hAnsi="宋体" w:eastAsia="宋体" w:cs="宋体"/>
          <w:spacing w:val="0"/>
          <w:sz w:val="24"/>
          <w:szCs w:val="24"/>
        </w:rPr>
        <w:t>（4）在财政部会同上述国家部委调整公布最新一期节能或环保清单通知发布之前已经开展但尚未进入评审环节的采购活动，按照招标文件约定的期数执行。在发布之后开展的采购活动，按照最新一期执行。</w:t>
      </w:r>
    </w:p>
    <w:p>
      <w:pPr>
        <w:pStyle w:val="6"/>
        <w:keepNext w:val="0"/>
        <w:keepLines w:val="0"/>
        <w:widowControl/>
        <w:suppressLineNumbers w:val="0"/>
        <w:spacing w:before="75" w:beforeAutospacing="0" w:after="75" w:afterAutospacing="0"/>
        <w:ind w:left="0" w:right="0" w:firstLine="0"/>
        <w:rPr>
          <w:rFonts w:hint="eastAsia" w:ascii="宋体" w:hAnsi="宋体" w:eastAsia="宋体" w:cs="宋体"/>
          <w:sz w:val="24"/>
          <w:szCs w:val="24"/>
        </w:rPr>
      </w:pPr>
      <w:r>
        <w:rPr>
          <w:rFonts w:hint="eastAsia" w:ascii="宋体" w:hAnsi="宋体" w:eastAsia="宋体" w:cs="宋体"/>
          <w:spacing w:val="0"/>
          <w:sz w:val="24"/>
          <w:szCs w:val="24"/>
        </w:rPr>
        <w:t>17.3列入国家质检总局、国家认监委《第一批信息安全产品强制性认证目录》（以下简称“信息安全产品目录”）内的信息安全产品，应获得强制性产品认证证书（即中国信息安全认证中心颁发的《中国国家信息安全产品认证证书》）和加施中国强制性认证标志。未列入信息安全产品目录的产品，不属于政府强制采购的信息安全产品范围。</w:t>
      </w:r>
    </w:p>
    <w:p>
      <w:pPr>
        <w:pStyle w:val="6"/>
        <w:keepNext w:val="0"/>
        <w:keepLines w:val="0"/>
        <w:widowControl/>
        <w:suppressLineNumbers w:val="0"/>
        <w:spacing w:before="75" w:beforeAutospacing="0" w:after="75" w:afterAutospacing="0"/>
        <w:ind w:left="0" w:right="0" w:firstLine="0"/>
        <w:rPr>
          <w:rFonts w:hint="eastAsia" w:ascii="宋体" w:hAnsi="宋体" w:eastAsia="宋体" w:cs="宋体"/>
          <w:sz w:val="24"/>
          <w:szCs w:val="24"/>
        </w:rPr>
      </w:pPr>
      <w:r>
        <w:rPr>
          <w:rFonts w:hint="eastAsia" w:ascii="宋体" w:hAnsi="宋体" w:eastAsia="宋体" w:cs="宋体"/>
          <w:spacing w:val="0"/>
          <w:sz w:val="24"/>
          <w:szCs w:val="24"/>
        </w:rPr>
        <w:t>17.4符合财政部、工信部文件（财库[2011]181号）规定的</w:t>
      </w:r>
      <w:r>
        <w:rPr>
          <w:rStyle w:val="10"/>
          <w:rFonts w:hint="eastAsia" w:ascii="宋体" w:hAnsi="宋体" w:eastAsia="宋体" w:cs="宋体"/>
          <w:spacing w:val="0"/>
          <w:sz w:val="24"/>
          <w:szCs w:val="24"/>
        </w:rPr>
        <w:t>小型、微型企业</w:t>
      </w:r>
      <w:r>
        <w:rPr>
          <w:rFonts w:hint="eastAsia" w:ascii="宋体" w:hAnsi="宋体" w:eastAsia="宋体" w:cs="宋体"/>
          <w:spacing w:val="0"/>
          <w:sz w:val="24"/>
          <w:szCs w:val="24"/>
        </w:rPr>
        <w:t>可享受扶持政策（如：预留份额、评审中价格扣除等）。符合财政部、司法部文件（财库[2014]68号）规定的监狱企业（以下简称：</w:t>
      </w:r>
      <w:r>
        <w:rPr>
          <w:rStyle w:val="10"/>
          <w:rFonts w:hint="eastAsia" w:ascii="宋体" w:hAnsi="宋体" w:eastAsia="宋体" w:cs="宋体"/>
          <w:spacing w:val="0"/>
          <w:sz w:val="24"/>
          <w:szCs w:val="24"/>
        </w:rPr>
        <w:t>“监狱企业”</w:t>
      </w:r>
      <w:r>
        <w:rPr>
          <w:rFonts w:hint="eastAsia" w:ascii="宋体" w:hAnsi="宋体" w:eastAsia="宋体" w:cs="宋体"/>
          <w:spacing w:val="0"/>
          <w:sz w:val="24"/>
          <w:szCs w:val="24"/>
        </w:rPr>
        <w:t>）亦可享受前述扶持政策。符合财政部、民政部、中国残联文件（财库[2017]141号）规定的残疾人福利性单位（以下简称：</w:t>
      </w:r>
      <w:r>
        <w:rPr>
          <w:rStyle w:val="10"/>
          <w:rFonts w:hint="eastAsia" w:ascii="宋体" w:hAnsi="宋体" w:eastAsia="宋体" w:cs="宋体"/>
          <w:spacing w:val="0"/>
          <w:sz w:val="24"/>
          <w:szCs w:val="24"/>
        </w:rPr>
        <w:t>“残疾人福利性单位”</w:t>
      </w:r>
      <w:r>
        <w:rPr>
          <w:rFonts w:hint="eastAsia" w:ascii="宋体" w:hAnsi="宋体" w:eastAsia="宋体" w:cs="宋体"/>
          <w:spacing w:val="0"/>
          <w:sz w:val="24"/>
          <w:szCs w:val="24"/>
        </w:rPr>
        <w:t>）亦可享受前述扶持政策。其中：</w:t>
      </w:r>
    </w:p>
    <w:p>
      <w:pPr>
        <w:pStyle w:val="6"/>
        <w:keepNext w:val="0"/>
        <w:keepLines w:val="0"/>
        <w:widowControl/>
        <w:suppressLineNumbers w:val="0"/>
        <w:spacing w:before="75" w:beforeAutospacing="0" w:after="75" w:afterAutospacing="0"/>
        <w:ind w:left="0" w:right="0" w:firstLine="480"/>
        <w:rPr>
          <w:rFonts w:hint="eastAsia" w:ascii="宋体" w:hAnsi="宋体" w:eastAsia="宋体" w:cs="宋体"/>
          <w:sz w:val="24"/>
          <w:szCs w:val="24"/>
        </w:rPr>
      </w:pPr>
      <w:r>
        <w:rPr>
          <w:rFonts w:hint="eastAsia" w:ascii="宋体" w:hAnsi="宋体" w:eastAsia="宋体" w:cs="宋体"/>
          <w:spacing w:val="0"/>
          <w:sz w:val="24"/>
          <w:szCs w:val="24"/>
        </w:rPr>
        <w:t>（1）中小企业指同时符合下列条件的中型、小型、微型企业：</w:t>
      </w:r>
    </w:p>
    <w:p>
      <w:pPr>
        <w:pStyle w:val="6"/>
        <w:keepNext w:val="0"/>
        <w:keepLines w:val="0"/>
        <w:widowControl/>
        <w:suppressLineNumbers w:val="0"/>
        <w:spacing w:before="75" w:beforeAutospacing="0" w:after="75" w:afterAutospacing="0"/>
        <w:ind w:left="0" w:right="0" w:firstLine="480"/>
        <w:rPr>
          <w:rFonts w:hint="eastAsia" w:ascii="宋体" w:hAnsi="宋体" w:eastAsia="宋体" w:cs="宋体"/>
          <w:sz w:val="24"/>
          <w:szCs w:val="24"/>
        </w:rPr>
      </w:pPr>
      <w:r>
        <w:rPr>
          <w:rFonts w:hint="eastAsia" w:ascii="宋体" w:hAnsi="宋体" w:eastAsia="宋体" w:cs="宋体"/>
          <w:spacing w:val="0"/>
          <w:sz w:val="24"/>
          <w:szCs w:val="24"/>
        </w:rPr>
        <w:t>①符合《工业和信息化部、国家统计局、国家发展和改革委员会、财政部关于印发中小企业划型标准规定的通知》（工信部联企业[2011]300号）规定的划分标准；</w:t>
      </w:r>
    </w:p>
    <w:p>
      <w:pPr>
        <w:pStyle w:val="6"/>
        <w:keepNext w:val="0"/>
        <w:keepLines w:val="0"/>
        <w:widowControl/>
        <w:suppressLineNumbers w:val="0"/>
        <w:spacing w:before="75" w:beforeAutospacing="0" w:after="75" w:afterAutospacing="0"/>
        <w:ind w:left="0" w:right="0" w:firstLine="480"/>
        <w:rPr>
          <w:rFonts w:hint="eastAsia" w:ascii="宋体" w:hAnsi="宋体" w:eastAsia="宋体" w:cs="宋体"/>
          <w:sz w:val="24"/>
          <w:szCs w:val="24"/>
        </w:rPr>
      </w:pPr>
      <w:r>
        <w:rPr>
          <w:rFonts w:hint="eastAsia" w:ascii="宋体" w:hAnsi="宋体" w:eastAsia="宋体" w:cs="宋体"/>
          <w:spacing w:val="0"/>
          <w:sz w:val="24"/>
          <w:szCs w:val="24"/>
        </w:rPr>
        <w:t>②提供本企业制造的货物、承担的工程或服务，或提供其他中小企业制造的货物。本项所称货物不包括使用大型企业注册商标的货物。小型、微型企业提供中型企业制造的货物，视同中型企业。</w:t>
      </w:r>
    </w:p>
    <w:p>
      <w:pPr>
        <w:pStyle w:val="6"/>
        <w:keepNext w:val="0"/>
        <w:keepLines w:val="0"/>
        <w:widowControl/>
        <w:suppressLineNumbers w:val="0"/>
        <w:spacing w:before="75" w:beforeAutospacing="0" w:after="75" w:afterAutospacing="0"/>
        <w:ind w:left="0" w:right="0" w:firstLine="480"/>
        <w:rPr>
          <w:rFonts w:hint="eastAsia" w:ascii="宋体" w:hAnsi="宋体" w:eastAsia="宋体" w:cs="宋体"/>
          <w:sz w:val="24"/>
          <w:szCs w:val="24"/>
        </w:rPr>
      </w:pPr>
      <w:r>
        <w:rPr>
          <w:rFonts w:hint="eastAsia" w:ascii="宋体" w:hAnsi="宋体" w:eastAsia="宋体" w:cs="宋体"/>
          <w:spacing w:val="0"/>
          <w:sz w:val="24"/>
          <w:szCs w:val="24"/>
        </w:rPr>
        <w:t>（2）监狱企业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其中：</w:t>
      </w:r>
    </w:p>
    <w:p>
      <w:pPr>
        <w:pStyle w:val="6"/>
        <w:keepNext w:val="0"/>
        <w:keepLines w:val="0"/>
        <w:widowControl/>
        <w:suppressLineNumbers w:val="0"/>
        <w:spacing w:before="75" w:beforeAutospacing="0" w:after="75" w:afterAutospacing="0"/>
        <w:ind w:left="0" w:right="0" w:firstLine="480"/>
        <w:rPr>
          <w:rFonts w:hint="eastAsia" w:ascii="宋体" w:hAnsi="宋体" w:eastAsia="宋体" w:cs="宋体"/>
          <w:sz w:val="24"/>
          <w:szCs w:val="24"/>
        </w:rPr>
      </w:pPr>
      <w:r>
        <w:rPr>
          <w:rFonts w:hint="eastAsia" w:ascii="宋体" w:hAnsi="宋体" w:eastAsia="宋体" w:cs="宋体"/>
          <w:spacing w:val="0"/>
          <w:sz w:val="24"/>
          <w:szCs w:val="24"/>
        </w:rPr>
        <w:t>①监狱企业参加采购活动时，应提供由省级以上监狱管理局、戒毒管理局（含新疆生产建设兵团）出具的属于监狱企业的证明文件。</w:t>
      </w:r>
    </w:p>
    <w:p>
      <w:pPr>
        <w:pStyle w:val="6"/>
        <w:keepNext w:val="0"/>
        <w:keepLines w:val="0"/>
        <w:widowControl/>
        <w:suppressLineNumbers w:val="0"/>
        <w:spacing w:before="75" w:beforeAutospacing="0" w:after="75" w:afterAutospacing="0"/>
        <w:ind w:left="0" w:right="0" w:firstLine="480"/>
        <w:rPr>
          <w:rFonts w:hint="eastAsia" w:ascii="宋体" w:hAnsi="宋体" w:eastAsia="宋体" w:cs="宋体"/>
          <w:sz w:val="24"/>
          <w:szCs w:val="24"/>
        </w:rPr>
      </w:pPr>
      <w:r>
        <w:rPr>
          <w:rFonts w:hint="eastAsia" w:ascii="宋体" w:hAnsi="宋体" w:eastAsia="宋体" w:cs="宋体"/>
          <w:spacing w:val="0"/>
          <w:sz w:val="24"/>
          <w:szCs w:val="24"/>
        </w:rPr>
        <w:t>②监狱企业视同小型、微型企业。</w:t>
      </w:r>
    </w:p>
    <w:p>
      <w:pPr>
        <w:pStyle w:val="6"/>
        <w:keepNext w:val="0"/>
        <w:keepLines w:val="0"/>
        <w:widowControl/>
        <w:suppressLineNumbers w:val="0"/>
        <w:spacing w:before="75" w:beforeAutospacing="0" w:after="75" w:afterAutospacing="0"/>
        <w:ind w:left="0" w:right="0" w:firstLine="480"/>
        <w:rPr>
          <w:rFonts w:hint="eastAsia" w:ascii="宋体" w:hAnsi="宋体" w:eastAsia="宋体" w:cs="宋体"/>
          <w:sz w:val="24"/>
          <w:szCs w:val="24"/>
        </w:rPr>
      </w:pPr>
      <w:r>
        <w:rPr>
          <w:rFonts w:hint="eastAsia" w:ascii="宋体" w:hAnsi="宋体" w:eastAsia="宋体" w:cs="宋体"/>
          <w:spacing w:val="0"/>
          <w:sz w:val="24"/>
          <w:szCs w:val="24"/>
        </w:rPr>
        <w:t>（3）残疾人福利性单位指同时符合下列条件的单位：</w:t>
      </w:r>
    </w:p>
    <w:p>
      <w:pPr>
        <w:pStyle w:val="6"/>
        <w:keepNext w:val="0"/>
        <w:keepLines w:val="0"/>
        <w:widowControl/>
        <w:suppressLineNumbers w:val="0"/>
        <w:spacing w:before="75" w:beforeAutospacing="0" w:after="75" w:afterAutospacing="0"/>
        <w:ind w:left="0" w:right="0" w:firstLine="480"/>
        <w:rPr>
          <w:rFonts w:hint="eastAsia" w:ascii="宋体" w:hAnsi="宋体" w:eastAsia="宋体" w:cs="宋体"/>
          <w:sz w:val="24"/>
          <w:szCs w:val="24"/>
        </w:rPr>
      </w:pPr>
      <w:r>
        <w:rPr>
          <w:rFonts w:hint="eastAsia" w:ascii="宋体" w:hAnsi="宋体" w:eastAsia="宋体" w:cs="宋体"/>
          <w:spacing w:val="0"/>
          <w:sz w:val="24"/>
          <w:szCs w:val="24"/>
        </w:rPr>
        <w:t>①安置的残疾人占本单位在职职工人数的比例不低于25%（含25%），并且安置的残疾人人数不少于10人（含10人）；</w:t>
      </w:r>
    </w:p>
    <w:p>
      <w:pPr>
        <w:pStyle w:val="6"/>
        <w:keepNext w:val="0"/>
        <w:keepLines w:val="0"/>
        <w:widowControl/>
        <w:suppressLineNumbers w:val="0"/>
        <w:spacing w:before="75" w:beforeAutospacing="0" w:after="75" w:afterAutospacing="0"/>
        <w:ind w:left="0" w:right="0" w:firstLine="480"/>
        <w:rPr>
          <w:rFonts w:hint="eastAsia" w:ascii="宋体" w:hAnsi="宋体" w:eastAsia="宋体" w:cs="宋体"/>
          <w:sz w:val="24"/>
          <w:szCs w:val="24"/>
        </w:rPr>
      </w:pPr>
      <w:r>
        <w:rPr>
          <w:rFonts w:hint="eastAsia" w:ascii="宋体" w:hAnsi="宋体" w:eastAsia="宋体" w:cs="宋体"/>
          <w:spacing w:val="0"/>
          <w:sz w:val="24"/>
          <w:szCs w:val="24"/>
        </w:rPr>
        <w:t>②依法与安置的每位残疾人签订了一年以上（含一年）的劳动合同或服务协议；</w:t>
      </w:r>
    </w:p>
    <w:p>
      <w:pPr>
        <w:pStyle w:val="6"/>
        <w:keepNext w:val="0"/>
        <w:keepLines w:val="0"/>
        <w:widowControl/>
        <w:suppressLineNumbers w:val="0"/>
        <w:spacing w:before="75" w:beforeAutospacing="0" w:after="75" w:afterAutospacing="0"/>
        <w:ind w:left="0" w:right="0" w:firstLine="480"/>
        <w:rPr>
          <w:rFonts w:hint="eastAsia" w:ascii="宋体" w:hAnsi="宋体" w:eastAsia="宋体" w:cs="宋体"/>
          <w:sz w:val="24"/>
          <w:szCs w:val="24"/>
        </w:rPr>
      </w:pPr>
      <w:r>
        <w:rPr>
          <w:rFonts w:hint="eastAsia" w:ascii="宋体" w:hAnsi="宋体" w:eastAsia="宋体" w:cs="宋体"/>
          <w:spacing w:val="0"/>
          <w:sz w:val="24"/>
          <w:szCs w:val="24"/>
        </w:rPr>
        <w:t>③为安置的每位残疾人按月足额缴纳了基本养老保险、基本医疗保险、失业保险、工伤保险和生育保险等社会保险费；</w:t>
      </w:r>
    </w:p>
    <w:p>
      <w:pPr>
        <w:pStyle w:val="6"/>
        <w:keepNext w:val="0"/>
        <w:keepLines w:val="0"/>
        <w:widowControl/>
        <w:suppressLineNumbers w:val="0"/>
        <w:spacing w:before="75" w:beforeAutospacing="0" w:after="75" w:afterAutospacing="0"/>
        <w:ind w:left="0" w:right="0" w:firstLine="480"/>
        <w:rPr>
          <w:rFonts w:hint="eastAsia" w:ascii="宋体" w:hAnsi="宋体" w:eastAsia="宋体" w:cs="宋体"/>
          <w:sz w:val="24"/>
          <w:szCs w:val="24"/>
        </w:rPr>
      </w:pPr>
      <w:r>
        <w:rPr>
          <w:rFonts w:hint="eastAsia" w:ascii="宋体" w:hAnsi="宋体" w:eastAsia="宋体" w:cs="宋体"/>
          <w:spacing w:val="0"/>
          <w:sz w:val="24"/>
          <w:szCs w:val="24"/>
        </w:rPr>
        <w:t>④通过银行等金融机构向安置的每位残疾人，按月支付了不低于单位所在区县适用的经省级人民政府批准的月最低工资标准的工资；</w:t>
      </w:r>
    </w:p>
    <w:p>
      <w:pPr>
        <w:pStyle w:val="6"/>
        <w:keepNext w:val="0"/>
        <w:keepLines w:val="0"/>
        <w:widowControl/>
        <w:suppressLineNumbers w:val="0"/>
        <w:spacing w:before="75" w:beforeAutospacing="0" w:after="75" w:afterAutospacing="0"/>
        <w:ind w:left="0" w:right="0" w:firstLine="480"/>
        <w:rPr>
          <w:rFonts w:hint="eastAsia" w:ascii="宋体" w:hAnsi="宋体" w:eastAsia="宋体" w:cs="宋体"/>
          <w:sz w:val="24"/>
          <w:szCs w:val="24"/>
        </w:rPr>
      </w:pPr>
      <w:r>
        <w:rPr>
          <w:rFonts w:hint="eastAsia" w:ascii="宋体" w:hAnsi="宋体" w:eastAsia="宋体" w:cs="宋体"/>
          <w:spacing w:val="0"/>
          <w:sz w:val="24"/>
          <w:szCs w:val="24"/>
        </w:rPr>
        <w:t>⑤提供本单位制造的货物、承担的工程或服务，或提供其他残疾人福利性单位制造的货物（不包括使用非残疾人福利性单位注册商标的货物）。</w:t>
      </w:r>
    </w:p>
    <w:p>
      <w:pPr>
        <w:pStyle w:val="6"/>
        <w:keepNext w:val="0"/>
        <w:keepLines w:val="0"/>
        <w:widowControl/>
        <w:suppressLineNumbers w:val="0"/>
        <w:spacing w:before="75" w:beforeAutospacing="0" w:after="75" w:afterAutospacing="0"/>
        <w:ind w:left="0" w:right="0" w:firstLine="480"/>
        <w:rPr>
          <w:rFonts w:hint="eastAsia" w:ascii="宋体" w:hAnsi="宋体" w:eastAsia="宋体" w:cs="宋体"/>
          <w:sz w:val="24"/>
          <w:szCs w:val="24"/>
        </w:rPr>
      </w:pPr>
      <w:r>
        <w:rPr>
          <w:rFonts w:hint="eastAsia" w:ascii="宋体" w:hAnsi="宋体" w:eastAsia="宋体" w:cs="宋体"/>
          <w:spacing w:val="0"/>
          <w:sz w:val="24"/>
          <w:szCs w:val="24"/>
        </w:rPr>
        <w:t>前款所称残疾人指法定劳动年龄内，持有《中华人民共和国残疾人证》或《中华人民共和国残疾军人证（1至8级）》的自然人，包括具有劳动条件和劳动意愿的精神残疾人。在职职工人数是指与残疾人福利性单位建立劳动关系并依法签订劳动合同或服务协议的雇员人数。</w:t>
      </w:r>
    </w:p>
    <w:p>
      <w:pPr>
        <w:pStyle w:val="6"/>
        <w:keepNext w:val="0"/>
        <w:keepLines w:val="0"/>
        <w:widowControl/>
        <w:suppressLineNumbers w:val="0"/>
        <w:spacing w:before="75" w:beforeAutospacing="0" w:after="75" w:afterAutospacing="0"/>
        <w:ind w:left="0" w:right="0" w:firstLine="480"/>
        <w:rPr>
          <w:rFonts w:hint="eastAsia" w:ascii="宋体" w:hAnsi="宋体" w:eastAsia="宋体" w:cs="宋体"/>
          <w:sz w:val="24"/>
          <w:szCs w:val="24"/>
        </w:rPr>
      </w:pPr>
      <w:r>
        <w:rPr>
          <w:rStyle w:val="10"/>
          <w:rFonts w:hint="eastAsia" w:ascii="宋体" w:hAnsi="宋体" w:eastAsia="宋体" w:cs="宋体"/>
          <w:spacing w:val="0"/>
          <w:sz w:val="24"/>
          <w:szCs w:val="24"/>
        </w:rPr>
        <w:t>※符合上述条件的残疾人福利性单位参加采购活动时，应提供《残疾人福利性单位声明函》，并对声明的真实性负责。残疾人福利性单位视同小型、微型企业。残疾人福利性单位属于小型、微型企业的，不重复享受政策。</w:t>
      </w:r>
    </w:p>
    <w:p>
      <w:pPr>
        <w:pStyle w:val="6"/>
        <w:keepNext w:val="0"/>
        <w:keepLines w:val="0"/>
        <w:widowControl/>
        <w:suppressLineNumbers w:val="0"/>
        <w:spacing w:before="75" w:beforeAutospacing="0" w:after="75" w:afterAutospacing="0"/>
        <w:ind w:left="0" w:right="0" w:firstLine="0"/>
        <w:rPr>
          <w:rFonts w:hint="eastAsia" w:ascii="宋体" w:hAnsi="宋体" w:eastAsia="宋体" w:cs="宋体"/>
          <w:sz w:val="24"/>
          <w:szCs w:val="24"/>
        </w:rPr>
      </w:pPr>
      <w:r>
        <w:rPr>
          <w:rFonts w:hint="eastAsia" w:ascii="宋体" w:hAnsi="宋体" w:eastAsia="宋体" w:cs="宋体"/>
          <w:spacing w:val="0"/>
          <w:sz w:val="24"/>
          <w:szCs w:val="24"/>
        </w:rPr>
        <w:t>17.5信用记录指由财政部确定的有关网站提供的相关主体信用信息。信用记录的查询及使用应符合财政部文件（财库[2016]125号）规定。</w:t>
      </w:r>
    </w:p>
    <w:p>
      <w:pPr>
        <w:pStyle w:val="6"/>
        <w:keepNext w:val="0"/>
        <w:keepLines w:val="0"/>
        <w:widowControl/>
        <w:suppressLineNumbers w:val="0"/>
        <w:spacing w:before="75" w:beforeAutospacing="0" w:after="75" w:afterAutospacing="0"/>
        <w:ind w:left="0" w:right="0" w:firstLine="0"/>
        <w:rPr>
          <w:rFonts w:hint="eastAsia" w:ascii="宋体" w:hAnsi="宋体" w:eastAsia="宋体" w:cs="宋体"/>
          <w:sz w:val="24"/>
          <w:szCs w:val="24"/>
        </w:rPr>
      </w:pPr>
      <w:r>
        <w:rPr>
          <w:rFonts w:hint="eastAsia" w:ascii="宋体" w:hAnsi="宋体" w:eastAsia="宋体" w:cs="宋体"/>
          <w:spacing w:val="0"/>
          <w:sz w:val="24"/>
          <w:szCs w:val="24"/>
        </w:rPr>
        <w:t>17.6为落实政府采购政策需满足的要求：详见招标文件第一章。</w:t>
      </w:r>
    </w:p>
    <w:p>
      <w:pPr>
        <w:pStyle w:val="6"/>
        <w:keepNext w:val="0"/>
        <w:keepLines w:val="0"/>
        <w:widowControl/>
        <w:suppressLineNumbers w:val="0"/>
        <w:spacing w:before="75" w:beforeAutospacing="0" w:after="75" w:afterAutospacing="0"/>
        <w:ind w:left="0" w:right="0" w:firstLine="0"/>
        <w:jc w:val="center"/>
        <w:rPr>
          <w:rFonts w:hint="eastAsia" w:ascii="宋体" w:hAnsi="宋体" w:eastAsia="宋体" w:cs="宋体"/>
          <w:sz w:val="24"/>
          <w:szCs w:val="24"/>
        </w:rPr>
      </w:pPr>
      <w:r>
        <w:rPr>
          <w:rStyle w:val="10"/>
          <w:rFonts w:hint="eastAsia" w:ascii="宋体" w:hAnsi="宋体" w:eastAsia="宋体" w:cs="宋体"/>
          <w:spacing w:val="0"/>
          <w:sz w:val="24"/>
          <w:szCs w:val="24"/>
        </w:rPr>
        <w:t>九、本项目的有关信息</w:t>
      </w:r>
    </w:p>
    <w:p>
      <w:pPr>
        <w:pStyle w:val="6"/>
        <w:keepNext w:val="0"/>
        <w:keepLines w:val="0"/>
        <w:widowControl/>
        <w:suppressLineNumbers w:val="0"/>
        <w:spacing w:before="75" w:beforeAutospacing="0" w:after="75" w:afterAutospacing="0"/>
        <w:ind w:left="0" w:right="0" w:firstLine="0"/>
        <w:rPr>
          <w:rFonts w:hint="eastAsia" w:ascii="宋体" w:hAnsi="宋体" w:eastAsia="宋体" w:cs="宋体"/>
          <w:sz w:val="24"/>
          <w:szCs w:val="24"/>
        </w:rPr>
      </w:pPr>
      <w:r>
        <w:rPr>
          <w:rFonts w:hint="eastAsia" w:ascii="宋体" w:hAnsi="宋体" w:eastAsia="宋体" w:cs="宋体"/>
          <w:spacing w:val="0"/>
          <w:sz w:val="24"/>
          <w:szCs w:val="24"/>
        </w:rPr>
        <w:t>18、本项目的有关信息，包括但不限于：招标公告、更正公告（若有）、招标文件、招标文件的澄清或修改（若有）、中标公告、终止公告（若有）、废标公告（若有）等都将在招标文件载明的指定媒体发布。</w:t>
      </w:r>
    </w:p>
    <w:p>
      <w:pPr>
        <w:pStyle w:val="6"/>
        <w:keepNext w:val="0"/>
        <w:keepLines w:val="0"/>
        <w:widowControl/>
        <w:suppressLineNumbers w:val="0"/>
        <w:spacing w:before="75" w:beforeAutospacing="0" w:after="75" w:afterAutospacing="0"/>
        <w:ind w:left="0" w:right="0" w:firstLine="0"/>
        <w:rPr>
          <w:rFonts w:hint="eastAsia" w:ascii="宋体" w:hAnsi="宋体" w:eastAsia="宋体" w:cs="宋体"/>
          <w:sz w:val="24"/>
          <w:szCs w:val="24"/>
        </w:rPr>
      </w:pPr>
      <w:r>
        <w:rPr>
          <w:rFonts w:hint="eastAsia" w:ascii="宋体" w:hAnsi="宋体" w:eastAsia="宋体" w:cs="宋体"/>
          <w:spacing w:val="0"/>
          <w:sz w:val="24"/>
          <w:szCs w:val="24"/>
        </w:rPr>
        <w:t>18.1指定媒体：详见招标文件第二章。</w:t>
      </w:r>
    </w:p>
    <w:p>
      <w:pPr>
        <w:pStyle w:val="6"/>
        <w:keepNext w:val="0"/>
        <w:keepLines w:val="0"/>
        <w:widowControl/>
        <w:suppressLineNumbers w:val="0"/>
        <w:spacing w:before="75" w:beforeAutospacing="0" w:after="75" w:afterAutospacing="0"/>
        <w:ind w:left="0" w:right="0" w:firstLine="0"/>
        <w:rPr>
          <w:rFonts w:hint="eastAsia" w:ascii="宋体" w:hAnsi="宋体" w:eastAsia="宋体" w:cs="宋体"/>
          <w:sz w:val="24"/>
          <w:szCs w:val="24"/>
        </w:rPr>
      </w:pPr>
      <w:r>
        <w:rPr>
          <w:rFonts w:hint="eastAsia" w:ascii="宋体" w:hAnsi="宋体" w:eastAsia="宋体" w:cs="宋体"/>
          <w:spacing w:val="0"/>
          <w:sz w:val="24"/>
          <w:szCs w:val="24"/>
        </w:rPr>
        <w:t>18.2本项目的潜在投标人或投标人应随时关注指定媒体，否则产生不利后果由其自行承担。</w:t>
      </w:r>
    </w:p>
    <w:p>
      <w:pPr>
        <w:pStyle w:val="6"/>
        <w:keepNext w:val="0"/>
        <w:keepLines w:val="0"/>
        <w:widowControl/>
        <w:suppressLineNumbers w:val="0"/>
        <w:spacing w:before="75" w:beforeAutospacing="0" w:after="75" w:afterAutospacing="0"/>
        <w:ind w:left="0" w:right="0" w:firstLine="0"/>
        <w:jc w:val="center"/>
        <w:rPr>
          <w:rFonts w:hint="eastAsia" w:ascii="宋体" w:hAnsi="宋体" w:eastAsia="宋体" w:cs="宋体"/>
          <w:sz w:val="24"/>
          <w:szCs w:val="24"/>
        </w:rPr>
      </w:pPr>
      <w:r>
        <w:rPr>
          <w:rStyle w:val="10"/>
          <w:rFonts w:hint="eastAsia" w:ascii="宋体" w:hAnsi="宋体" w:eastAsia="宋体" w:cs="宋体"/>
          <w:spacing w:val="0"/>
          <w:sz w:val="24"/>
          <w:szCs w:val="24"/>
        </w:rPr>
        <w:t>十、其他事项</w:t>
      </w:r>
    </w:p>
    <w:p>
      <w:pPr>
        <w:pStyle w:val="6"/>
        <w:keepNext w:val="0"/>
        <w:keepLines w:val="0"/>
        <w:widowControl/>
        <w:suppressLineNumbers w:val="0"/>
        <w:spacing w:before="75" w:beforeAutospacing="0" w:after="75" w:afterAutospacing="0"/>
        <w:ind w:left="0" w:right="0" w:firstLine="0"/>
        <w:rPr>
          <w:rFonts w:hint="eastAsia" w:ascii="宋体" w:hAnsi="宋体" w:eastAsia="宋体" w:cs="宋体"/>
          <w:sz w:val="24"/>
          <w:szCs w:val="24"/>
        </w:rPr>
      </w:pPr>
      <w:r>
        <w:rPr>
          <w:rFonts w:hint="eastAsia" w:ascii="宋体" w:hAnsi="宋体" w:eastAsia="宋体" w:cs="宋体"/>
          <w:spacing w:val="0"/>
          <w:sz w:val="24"/>
          <w:szCs w:val="24"/>
        </w:rPr>
        <w:t>19、其他事项：详见招标文件第二章。</w:t>
      </w:r>
    </w:p>
    <w:p>
      <w:pPr>
        <w:pStyle w:val="6"/>
        <w:keepNext w:val="0"/>
        <w:keepLines w:val="0"/>
        <w:widowControl/>
        <w:suppressLineNumbers w:val="0"/>
        <w:spacing w:before="75" w:beforeAutospacing="0" w:after="75" w:afterAutospacing="0"/>
        <w:ind w:left="0" w:right="0" w:firstLine="0"/>
        <w:jc w:val="center"/>
        <w:rPr>
          <w:rFonts w:hint="eastAsia" w:ascii="宋体" w:hAnsi="宋体" w:eastAsia="宋体" w:cs="宋体"/>
          <w:sz w:val="24"/>
          <w:szCs w:val="24"/>
        </w:rPr>
      </w:pPr>
      <w:r>
        <w:rPr>
          <w:rStyle w:val="10"/>
          <w:rFonts w:hint="eastAsia" w:ascii="宋体" w:hAnsi="宋体" w:eastAsia="宋体" w:cs="宋体"/>
          <w:spacing w:val="0"/>
          <w:sz w:val="24"/>
          <w:szCs w:val="24"/>
        </w:rPr>
        <w:t>第四章   资格审查与评标</w:t>
      </w:r>
    </w:p>
    <w:p>
      <w:pPr>
        <w:pStyle w:val="6"/>
        <w:keepNext w:val="0"/>
        <w:keepLines w:val="0"/>
        <w:widowControl/>
        <w:suppressLineNumbers w:val="0"/>
        <w:spacing w:before="75" w:beforeAutospacing="0" w:after="75" w:afterAutospacing="0"/>
        <w:ind w:left="0" w:right="0" w:firstLine="0"/>
        <w:jc w:val="center"/>
        <w:rPr>
          <w:rFonts w:hint="eastAsia" w:ascii="宋体" w:hAnsi="宋体" w:eastAsia="宋体" w:cs="宋体"/>
          <w:sz w:val="24"/>
          <w:szCs w:val="24"/>
        </w:rPr>
      </w:pPr>
      <w:r>
        <w:rPr>
          <w:rStyle w:val="10"/>
          <w:rFonts w:hint="eastAsia" w:ascii="宋体" w:hAnsi="宋体" w:eastAsia="宋体" w:cs="宋体"/>
          <w:spacing w:val="0"/>
          <w:sz w:val="24"/>
          <w:szCs w:val="24"/>
        </w:rPr>
        <w:t>一、资格审查</w:t>
      </w:r>
    </w:p>
    <w:p>
      <w:pPr>
        <w:pStyle w:val="6"/>
        <w:keepNext w:val="0"/>
        <w:keepLines w:val="0"/>
        <w:widowControl/>
        <w:suppressLineNumbers w:val="0"/>
        <w:spacing w:before="75" w:beforeAutospacing="0" w:after="75" w:afterAutospacing="0"/>
        <w:ind w:left="0" w:right="0" w:firstLine="0"/>
        <w:rPr>
          <w:rFonts w:hint="eastAsia" w:ascii="宋体" w:hAnsi="宋体" w:eastAsia="宋体" w:cs="宋体"/>
          <w:sz w:val="24"/>
          <w:szCs w:val="24"/>
        </w:rPr>
      </w:pPr>
      <w:r>
        <w:rPr>
          <w:rFonts w:hint="eastAsia" w:ascii="宋体" w:hAnsi="宋体" w:eastAsia="宋体" w:cs="宋体"/>
          <w:spacing w:val="0"/>
          <w:sz w:val="24"/>
          <w:szCs w:val="24"/>
        </w:rPr>
        <w:t>1、开标结束后，</w:t>
      </w:r>
      <w:r>
        <w:rPr>
          <w:rFonts w:hint="eastAsia" w:ascii="宋体" w:hAnsi="宋体" w:eastAsia="宋体" w:cs="宋体"/>
          <w:spacing w:val="0"/>
          <w:sz w:val="24"/>
          <w:szCs w:val="24"/>
          <w:u w:val="single"/>
          <w:lang w:val="en-US" w:eastAsia="zh-CN"/>
        </w:rPr>
        <w:t>三明天和工程管理有限公司</w:t>
      </w:r>
      <w:r>
        <w:rPr>
          <w:rFonts w:hint="eastAsia" w:ascii="宋体" w:hAnsi="宋体" w:eastAsia="宋体" w:cs="宋体"/>
          <w:spacing w:val="0"/>
          <w:sz w:val="24"/>
          <w:szCs w:val="24"/>
        </w:rPr>
        <w:t>负责资格审查小组的组建及资格审查工作的组织。</w:t>
      </w:r>
    </w:p>
    <w:p>
      <w:pPr>
        <w:pStyle w:val="6"/>
        <w:keepNext w:val="0"/>
        <w:keepLines w:val="0"/>
        <w:widowControl/>
        <w:suppressLineNumbers w:val="0"/>
        <w:spacing w:before="75" w:beforeAutospacing="0" w:after="75" w:afterAutospacing="0"/>
        <w:ind w:left="0" w:right="0" w:firstLine="0"/>
        <w:rPr>
          <w:rFonts w:hint="eastAsia" w:ascii="宋体" w:hAnsi="宋体" w:eastAsia="宋体" w:cs="宋体"/>
          <w:sz w:val="24"/>
          <w:szCs w:val="24"/>
        </w:rPr>
      </w:pPr>
      <w:r>
        <w:rPr>
          <w:rFonts w:hint="eastAsia" w:ascii="宋体" w:hAnsi="宋体" w:eastAsia="宋体" w:cs="宋体"/>
          <w:spacing w:val="0"/>
          <w:sz w:val="24"/>
          <w:szCs w:val="24"/>
        </w:rPr>
        <w:t>1.1资格审查小组由3人组成，并负责具体审查事务，其中：由采购人派出的采购人代表至少</w:t>
      </w:r>
      <w:r>
        <w:rPr>
          <w:rFonts w:hint="eastAsia" w:ascii="宋体" w:hAnsi="宋体" w:eastAsia="宋体" w:cs="宋体"/>
          <w:spacing w:val="0"/>
          <w:sz w:val="24"/>
          <w:szCs w:val="24"/>
          <w:u w:val="single"/>
        </w:rPr>
        <w:t>1</w:t>
      </w:r>
      <w:r>
        <w:rPr>
          <w:rFonts w:hint="eastAsia" w:ascii="宋体" w:hAnsi="宋体" w:eastAsia="宋体" w:cs="宋体"/>
          <w:spacing w:val="0"/>
          <w:sz w:val="24"/>
          <w:szCs w:val="24"/>
        </w:rPr>
        <w:t>人，由</w:t>
      </w:r>
      <w:r>
        <w:rPr>
          <w:rFonts w:hint="eastAsia" w:ascii="宋体" w:hAnsi="宋体" w:eastAsia="宋体" w:cs="宋体"/>
          <w:spacing w:val="0"/>
          <w:sz w:val="24"/>
          <w:szCs w:val="24"/>
          <w:u w:val="single"/>
          <w:lang w:val="en-US" w:eastAsia="zh-CN"/>
        </w:rPr>
        <w:t>三明天和工程管理有限公司</w:t>
      </w:r>
      <w:r>
        <w:rPr>
          <w:rFonts w:hint="eastAsia" w:ascii="宋体" w:hAnsi="宋体" w:eastAsia="宋体" w:cs="宋体"/>
          <w:spacing w:val="0"/>
          <w:sz w:val="24"/>
          <w:szCs w:val="24"/>
        </w:rPr>
        <w:t>派出的工作人员至少</w:t>
      </w:r>
      <w:r>
        <w:rPr>
          <w:rFonts w:hint="eastAsia" w:ascii="宋体" w:hAnsi="宋体" w:eastAsia="宋体" w:cs="宋体"/>
          <w:spacing w:val="0"/>
          <w:sz w:val="24"/>
          <w:szCs w:val="24"/>
          <w:u w:val="single"/>
        </w:rPr>
        <w:t>1</w:t>
      </w:r>
      <w:r>
        <w:rPr>
          <w:rFonts w:hint="eastAsia" w:ascii="宋体" w:hAnsi="宋体" w:eastAsia="宋体" w:cs="宋体"/>
          <w:spacing w:val="0"/>
          <w:sz w:val="24"/>
          <w:szCs w:val="24"/>
        </w:rPr>
        <w:t>人，其余</w:t>
      </w:r>
      <w:r>
        <w:rPr>
          <w:rFonts w:hint="eastAsia" w:ascii="宋体" w:hAnsi="宋体" w:eastAsia="宋体" w:cs="宋体"/>
          <w:spacing w:val="0"/>
          <w:sz w:val="24"/>
          <w:szCs w:val="24"/>
          <w:u w:val="single"/>
        </w:rPr>
        <w:t>1</w:t>
      </w:r>
      <w:r>
        <w:rPr>
          <w:rFonts w:hint="eastAsia" w:ascii="宋体" w:hAnsi="宋体" w:eastAsia="宋体" w:cs="宋体"/>
          <w:spacing w:val="0"/>
          <w:sz w:val="24"/>
          <w:szCs w:val="24"/>
        </w:rPr>
        <w:t>人可为采购人代表或</w:t>
      </w:r>
      <w:r>
        <w:rPr>
          <w:rFonts w:hint="eastAsia" w:ascii="宋体" w:hAnsi="宋体" w:eastAsia="宋体" w:cs="宋体"/>
          <w:spacing w:val="0"/>
          <w:sz w:val="24"/>
          <w:szCs w:val="24"/>
          <w:u w:val="single"/>
          <w:lang w:val="en-US" w:eastAsia="zh-CN"/>
        </w:rPr>
        <w:t>三明天和工程管理有限公司</w:t>
      </w:r>
      <w:r>
        <w:rPr>
          <w:rFonts w:hint="eastAsia" w:ascii="宋体" w:hAnsi="宋体" w:eastAsia="宋体" w:cs="宋体"/>
          <w:spacing w:val="0"/>
          <w:sz w:val="24"/>
          <w:szCs w:val="24"/>
        </w:rPr>
        <w:t>的工作人员。</w:t>
      </w:r>
    </w:p>
    <w:p>
      <w:pPr>
        <w:pStyle w:val="6"/>
        <w:keepNext w:val="0"/>
        <w:keepLines w:val="0"/>
        <w:widowControl/>
        <w:suppressLineNumbers w:val="0"/>
        <w:spacing w:before="75" w:beforeAutospacing="0" w:after="75" w:afterAutospacing="0"/>
        <w:ind w:left="0" w:right="0" w:firstLine="0"/>
        <w:rPr>
          <w:rFonts w:hint="eastAsia" w:ascii="宋体" w:hAnsi="宋体" w:eastAsia="宋体" w:cs="宋体"/>
          <w:sz w:val="24"/>
          <w:szCs w:val="24"/>
        </w:rPr>
      </w:pPr>
      <w:r>
        <w:rPr>
          <w:rFonts w:hint="eastAsia" w:ascii="宋体" w:hAnsi="宋体" w:eastAsia="宋体" w:cs="宋体"/>
          <w:spacing w:val="0"/>
          <w:sz w:val="24"/>
          <w:szCs w:val="24"/>
        </w:rPr>
        <w:t>1.2资格审查的依据是招标文件和投标文件。</w:t>
      </w:r>
    </w:p>
    <w:p>
      <w:pPr>
        <w:pStyle w:val="6"/>
        <w:keepNext w:val="0"/>
        <w:keepLines w:val="0"/>
        <w:widowControl/>
        <w:suppressLineNumbers w:val="0"/>
        <w:spacing w:before="75" w:beforeAutospacing="0" w:after="75" w:afterAutospacing="0"/>
        <w:ind w:left="0" w:right="0" w:firstLine="0"/>
        <w:rPr>
          <w:rFonts w:hint="eastAsia" w:ascii="宋体" w:hAnsi="宋体" w:eastAsia="宋体" w:cs="宋体"/>
          <w:sz w:val="24"/>
          <w:szCs w:val="24"/>
        </w:rPr>
      </w:pPr>
      <w:r>
        <w:rPr>
          <w:rFonts w:hint="eastAsia" w:ascii="宋体" w:hAnsi="宋体" w:eastAsia="宋体" w:cs="宋体"/>
          <w:spacing w:val="0"/>
          <w:sz w:val="24"/>
          <w:szCs w:val="24"/>
        </w:rPr>
        <w:t>1.3资格审查的范围及内容：投标文件（资格及资信证明部分），具体如下：</w:t>
      </w:r>
    </w:p>
    <w:p>
      <w:pPr>
        <w:pStyle w:val="6"/>
        <w:keepNext w:val="0"/>
        <w:keepLines w:val="0"/>
        <w:widowControl/>
        <w:suppressLineNumbers w:val="0"/>
        <w:spacing w:before="75" w:beforeAutospacing="0" w:after="75" w:afterAutospacing="0"/>
        <w:ind w:left="0" w:right="0" w:firstLine="480"/>
        <w:rPr>
          <w:rFonts w:hint="eastAsia" w:ascii="宋体" w:hAnsi="宋体" w:eastAsia="宋体" w:cs="宋体"/>
          <w:sz w:val="24"/>
          <w:szCs w:val="24"/>
        </w:rPr>
      </w:pPr>
      <w:r>
        <w:rPr>
          <w:rFonts w:hint="eastAsia" w:ascii="宋体" w:hAnsi="宋体" w:eastAsia="宋体" w:cs="宋体"/>
          <w:spacing w:val="0"/>
          <w:sz w:val="24"/>
          <w:szCs w:val="24"/>
        </w:rPr>
        <w:t>①“投标函”；</w:t>
      </w:r>
    </w:p>
    <w:p>
      <w:pPr>
        <w:pStyle w:val="6"/>
        <w:keepNext w:val="0"/>
        <w:keepLines w:val="0"/>
        <w:widowControl/>
        <w:suppressLineNumbers w:val="0"/>
        <w:spacing w:before="75" w:beforeAutospacing="0" w:after="75" w:afterAutospacing="0"/>
        <w:ind w:left="0" w:right="0" w:firstLine="480"/>
        <w:rPr>
          <w:rFonts w:hint="eastAsia" w:ascii="宋体" w:hAnsi="宋体" w:eastAsia="宋体" w:cs="宋体"/>
          <w:sz w:val="24"/>
          <w:szCs w:val="24"/>
        </w:rPr>
      </w:pPr>
      <w:r>
        <w:rPr>
          <w:rFonts w:hint="eastAsia" w:ascii="宋体" w:hAnsi="宋体" w:eastAsia="宋体" w:cs="宋体"/>
          <w:spacing w:val="0"/>
          <w:sz w:val="24"/>
          <w:szCs w:val="24"/>
        </w:rPr>
        <w:t>②“投标人的资格及资信证明文件”</w:t>
      </w:r>
    </w:p>
    <w:p>
      <w:pPr>
        <w:pStyle w:val="6"/>
        <w:keepNext w:val="0"/>
        <w:keepLines w:val="0"/>
        <w:widowControl/>
        <w:suppressLineNumbers w:val="0"/>
        <w:spacing w:before="75" w:beforeAutospacing="0" w:after="75" w:afterAutospacing="0"/>
        <w:ind w:left="0" w:right="0" w:firstLine="480"/>
        <w:rPr>
          <w:rFonts w:hint="eastAsia" w:ascii="宋体" w:hAnsi="宋体" w:eastAsia="宋体" w:cs="宋体"/>
          <w:sz w:val="24"/>
          <w:szCs w:val="24"/>
        </w:rPr>
      </w:pPr>
      <w:r>
        <w:rPr>
          <w:rFonts w:hint="eastAsia" w:ascii="宋体" w:hAnsi="宋体" w:eastAsia="宋体" w:cs="宋体"/>
          <w:spacing w:val="0"/>
          <w:sz w:val="24"/>
          <w:szCs w:val="24"/>
        </w:rPr>
        <w:t>a.一般资格证明文件：</w:t>
      </w:r>
    </w:p>
    <w:tbl>
      <w:tblPr>
        <w:tblStyle w:val="7"/>
        <w:tblW w:w="8326" w:type="dxa"/>
        <w:tblCellSpacing w:w="0"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747"/>
        <w:gridCol w:w="45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Header/>
          <w:tblCellSpacing w:w="0" w:type="dxa"/>
        </w:trPr>
        <w:tc>
          <w:tcPr>
            <w:tcW w:w="3747" w:type="dxa"/>
            <w:noWrap w:val="0"/>
            <w:vAlign w:val="center"/>
          </w:tcPr>
          <w:p>
            <w:pPr>
              <w:keepNext w:val="0"/>
              <w:keepLines w:val="0"/>
              <w:widowControl/>
              <w:suppressLineNumbers w:val="0"/>
              <w:jc w:val="center"/>
              <w:rPr>
                <w:rFonts w:hint="eastAsia" w:ascii="宋体" w:hAnsi="宋体" w:eastAsia="宋体" w:cs="宋体"/>
                <w:b/>
                <w:sz w:val="24"/>
                <w:szCs w:val="24"/>
              </w:rPr>
            </w:pPr>
            <w:r>
              <w:rPr>
                <w:rFonts w:hint="eastAsia" w:ascii="宋体" w:hAnsi="宋体" w:eastAsia="宋体" w:cs="宋体"/>
                <w:b/>
                <w:kern w:val="0"/>
                <w:sz w:val="24"/>
                <w:szCs w:val="24"/>
                <w:lang w:val="en-US" w:eastAsia="zh-CN" w:bidi="ar"/>
              </w:rPr>
              <w:t>明细</w:t>
            </w:r>
          </w:p>
        </w:tc>
        <w:tc>
          <w:tcPr>
            <w:tcW w:w="4579" w:type="dxa"/>
            <w:noWrap w:val="0"/>
            <w:vAlign w:val="center"/>
          </w:tcPr>
          <w:p>
            <w:pPr>
              <w:keepNext w:val="0"/>
              <w:keepLines w:val="0"/>
              <w:widowControl/>
              <w:suppressLineNumbers w:val="0"/>
              <w:jc w:val="center"/>
              <w:rPr>
                <w:rFonts w:hint="eastAsia" w:ascii="宋体" w:hAnsi="宋体" w:eastAsia="宋体" w:cs="宋体"/>
                <w:b/>
                <w:sz w:val="24"/>
                <w:szCs w:val="24"/>
              </w:rPr>
            </w:pPr>
            <w:r>
              <w:rPr>
                <w:rFonts w:hint="eastAsia" w:ascii="宋体" w:hAnsi="宋体" w:eastAsia="宋体" w:cs="宋体"/>
                <w:b/>
                <w:kern w:val="0"/>
                <w:sz w:val="24"/>
                <w:szCs w:val="24"/>
                <w:lang w:val="en-US" w:eastAsia="zh-CN" w:bidi="ar"/>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3747" w:type="dxa"/>
            <w:noWrap w:val="0"/>
            <w:vAlign w:val="center"/>
          </w:tcPr>
          <w:p>
            <w:pPr>
              <w:keepNext w:val="0"/>
              <w:keepLines w:val="0"/>
              <w:widowControl/>
              <w:suppressLineNumbers w:val="0"/>
              <w:jc w:val="lef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单位负责人授权书（若有）</w:t>
            </w:r>
          </w:p>
        </w:tc>
        <w:tc>
          <w:tcPr>
            <w:tcW w:w="4579" w:type="dxa"/>
            <w:noWrap w:val="0"/>
            <w:vAlign w:val="center"/>
          </w:tcPr>
          <w:p>
            <w:pPr>
              <w:keepNext w:val="0"/>
              <w:keepLines w:val="0"/>
              <w:widowControl/>
              <w:suppressLineNumbers w:val="0"/>
              <w:jc w:val="lef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1、企业（银行、保险、石油石化、电力、电信等行业除外）、事业单位和社会团体法人的“单位负责人”指法定代表人，即与实际提交的“营业执照等证明文件”载明的一致。2、银行、保险、石油石化、电力、电信等行业：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3、投标人（自然人除外）：若投标人代表为单位负责人授权的委托代理人，应提供本授权书；若投标人代表为单位负责人，应在此项下提交其身份证正反面复印件，可不提供本授权书。4、投标人为自然人的，可不填写本授权书。5、纸质投标文件正本中的本授权书（若有）应为原件。※投标人应按照招标文件第七章规定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3747" w:type="dxa"/>
            <w:noWrap w:val="0"/>
            <w:vAlign w:val="center"/>
          </w:tcPr>
          <w:p>
            <w:pPr>
              <w:keepNext w:val="0"/>
              <w:keepLines w:val="0"/>
              <w:widowControl/>
              <w:suppressLineNumbers w:val="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营业执照等证明文件</w:t>
            </w:r>
          </w:p>
        </w:tc>
        <w:tc>
          <w:tcPr>
            <w:tcW w:w="4579" w:type="dxa"/>
            <w:noWrap w:val="0"/>
            <w:vAlign w:val="center"/>
          </w:tcPr>
          <w:p>
            <w:pPr>
              <w:keepNext w:val="0"/>
              <w:keepLines w:val="0"/>
              <w:widowControl/>
              <w:suppressLineNumbers w:val="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1、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2、投标人提供的相应证明材料复印件均应符合：内容完整、清晰、整洁，并由投标人加盖其单位公章。※投标人应按照招标文件第七章规定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3747" w:type="dxa"/>
            <w:noWrap w:val="0"/>
            <w:vAlign w:val="center"/>
          </w:tcPr>
          <w:p>
            <w:pPr>
              <w:keepNext w:val="0"/>
              <w:keepLines w:val="0"/>
              <w:widowControl/>
              <w:suppressLineNumbers w:val="0"/>
              <w:jc w:val="lef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财务状况报告（财务报告、或资信证明、或投标担保函）</w:t>
            </w:r>
          </w:p>
        </w:tc>
        <w:tc>
          <w:tcPr>
            <w:tcW w:w="4579" w:type="dxa"/>
            <w:noWrap w:val="0"/>
            <w:vAlign w:val="center"/>
          </w:tcPr>
          <w:p>
            <w:pPr>
              <w:keepNext w:val="0"/>
              <w:keepLines w:val="0"/>
              <w:widowControl/>
              <w:suppressLineNumbers w:val="0"/>
              <w:jc w:val="lef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1、投标人提供的财务报告复印件（成立年限按照投标截止时间推算）应符合下列规定：1.1成立年限满1年及以上的投标人，提供经审计的上一年度的年度财务报告。1.2成立年限满半年但不足1年的投标人，提供该半年度中任一季度的季度财务报告或该半年度的半年度财务报告。※无法按照第1.1、1.2条规定提供财务报告复印件的投标人（包括但不限于：成立年限满1年及以上的投标人、成立年限满半年但不足1年的投标人、成立年限不足半年的投标人），应选择提供资信证明复印件或投标担保函复印件，其中：非自然人的投标人选择提供资信证明的，还应附上其开户（基本存款账户）许可证复印件。 2、“财政部门认可的政府采购专业担保机构”应符合《财政部关于开展政府采购信用担保试点工作方案》（财库[2012]124号）的规定。3、投标人提供的相应证明材料复印件均应符合：内容完整、清晰、整洁，并由投标人加盖其单位公章。※投标人应按照招标文件第七章规定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3747" w:type="dxa"/>
            <w:noWrap w:val="0"/>
            <w:vAlign w:val="center"/>
          </w:tcPr>
          <w:p>
            <w:pPr>
              <w:keepNext w:val="0"/>
              <w:keepLines w:val="0"/>
              <w:widowControl/>
              <w:suppressLineNumbers w:val="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依法缴纳税收证明材料</w:t>
            </w:r>
          </w:p>
        </w:tc>
        <w:tc>
          <w:tcPr>
            <w:tcW w:w="4579" w:type="dxa"/>
            <w:noWrap w:val="0"/>
            <w:vAlign w:val="center"/>
          </w:tcPr>
          <w:p>
            <w:pPr>
              <w:keepNext w:val="0"/>
              <w:keepLines w:val="0"/>
              <w:widowControl/>
              <w:suppressLineNumbers w:val="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1、投标人提供的税收凭据复印件应符合下列规定：1.1投标截止时间前（不含投标截止时间的当月）已依法缴纳税收的投标人，提供投标截止时间前六个月（不含投标截止时间的当月）中任一月份的税收凭据复印件。1.2投标截止时间的当月成立且已依法缴纳税收的投标人，提供投标截止时间当月的税收凭据复印件。1.3投标截止时间的当月成立但因税务机关原因导致其尚未依法缴纳税收的投标人，提供依法缴纳税收承诺书原件（格式自拟），该承诺书视同税收凭据。2、“依法缴纳税收证明材料”有欠缴记录的，视为未依法缴纳税收。3、投标人提供的相应证明材料复印件均应符合：内容完整、清晰、整洁，并由投标人加盖其单位公章。※投标人应按照招标文件第七章规定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3747" w:type="dxa"/>
            <w:noWrap w:val="0"/>
            <w:vAlign w:val="center"/>
          </w:tcPr>
          <w:p>
            <w:pPr>
              <w:keepNext w:val="0"/>
              <w:keepLines w:val="0"/>
              <w:widowControl/>
              <w:suppressLineNumbers w:val="0"/>
              <w:jc w:val="lef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依法缴纳社会保障资金证明材料</w:t>
            </w:r>
          </w:p>
        </w:tc>
        <w:tc>
          <w:tcPr>
            <w:tcW w:w="4579" w:type="dxa"/>
            <w:noWrap w:val="0"/>
            <w:vAlign w:val="center"/>
          </w:tcPr>
          <w:p>
            <w:pPr>
              <w:keepNext w:val="0"/>
              <w:keepLines w:val="0"/>
              <w:widowControl/>
              <w:suppressLineNumbers w:val="0"/>
              <w:jc w:val="lef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1、投标人提供的社会保险凭据复印件应符合下列规定：1.1投标截止时间前（不含投标截止时间的当月）已依法缴纳社会保障资金的投标人，提供投标截止时间前六个月（不含投标截止时间的当月）中任一月份的社会保险凭据复印件。1.2投标截止时间的当月成立且已依法缴纳社会保障资金的投标人，提供投标截止时间当月的社会保险凭据复印件。1.3投标截止时间的当月成立但因税务机关/社会保障资金管理机关原因导致其尚未依法缴纳社会保障资金的投标人，提供依法缴纳社会保障资金承诺书原件（格式自拟），该承诺书视同社会保险凭据。2、“依法缴纳社会保障资金证明材料”有欠缴记录的，视为未依法缴纳社会保障资金。3、投标人提供的相应证明材料复印件均应符合：内容完整、清晰、整洁，并由投标人加盖其单位公章。※投标人应按照招标文件第七章规定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3747" w:type="dxa"/>
            <w:noWrap w:val="0"/>
            <w:vAlign w:val="center"/>
          </w:tcPr>
          <w:p>
            <w:pPr>
              <w:keepNext w:val="0"/>
              <w:keepLines w:val="0"/>
              <w:widowControl/>
              <w:suppressLineNumbers w:val="0"/>
              <w:jc w:val="lef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具备履行合同所必需设备和专业技术能力的声明函（若有）</w:t>
            </w:r>
          </w:p>
        </w:tc>
        <w:tc>
          <w:tcPr>
            <w:tcW w:w="4579" w:type="dxa"/>
            <w:noWrap w:val="0"/>
            <w:vAlign w:val="center"/>
          </w:tcPr>
          <w:p>
            <w:pPr>
              <w:keepNext w:val="0"/>
              <w:keepLines w:val="0"/>
              <w:widowControl/>
              <w:suppressLineNumbers w:val="0"/>
              <w:jc w:val="lef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1、招标文件未要求投标人提供“具备履行合同所必需的设备和专业技术能力专项证明材料”的，投标人应提供本声明函。2、招标文件要求投标人提供“具备履行合同所必需的设备和专业技术能力专项证明材料”的，投标人可不提供本声明函。3、纸质投标文件正本中的本声明函（若有）应为原件。※投标人应按照招标文件第七章规定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3747" w:type="dxa"/>
            <w:noWrap w:val="0"/>
            <w:vAlign w:val="center"/>
          </w:tcPr>
          <w:p>
            <w:pPr>
              <w:keepNext w:val="0"/>
              <w:keepLines w:val="0"/>
              <w:widowControl/>
              <w:suppressLineNumbers w:val="0"/>
              <w:jc w:val="lef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参加采购活动前三年内在经营活动中没有重大违法记录书面声明</w:t>
            </w:r>
          </w:p>
        </w:tc>
        <w:tc>
          <w:tcPr>
            <w:tcW w:w="4579" w:type="dxa"/>
            <w:noWrap w:val="0"/>
            <w:vAlign w:val="center"/>
          </w:tcPr>
          <w:p>
            <w:pPr>
              <w:keepNext w:val="0"/>
              <w:keepLines w:val="0"/>
              <w:widowControl/>
              <w:suppressLineNumbers w:val="0"/>
              <w:jc w:val="lef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1、“重大违法记录”指投标人因违法经营受到刑事处罚或责令停产停业、吊销许可证或执照、较大数额罚款等行政处罚。2、无法提供有效期内检察机关行贿犯罪档案查询结果告知函的，也应对近三年无行贿犯罪记录进行声明。3、纸质投标文件正本中的本声明应为原件。※投标人应按照招标文件第七章规定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3747" w:type="dxa"/>
            <w:noWrap w:val="0"/>
            <w:vAlign w:val="center"/>
          </w:tcPr>
          <w:p>
            <w:pPr>
              <w:keepNext w:val="0"/>
              <w:keepLines w:val="0"/>
              <w:widowControl/>
              <w:suppressLineNumbers w:val="0"/>
              <w:jc w:val="lef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信用记录查询结果</w:t>
            </w:r>
          </w:p>
        </w:tc>
        <w:tc>
          <w:tcPr>
            <w:tcW w:w="4579" w:type="dxa"/>
            <w:noWrap w:val="0"/>
            <w:vAlign w:val="center"/>
          </w:tcPr>
          <w:p>
            <w:pPr>
              <w:keepNext w:val="0"/>
              <w:keepLines w:val="0"/>
              <w:widowControl/>
              <w:suppressLineNumbers w:val="0"/>
              <w:jc w:val="lef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投标人应在招标文件要求的截止时点前分别通过“信用中国”网站（www.creditchina.gov.cn）、中国政府采购网（www.ccgp.gov.cn）查询并打印相应的信用记录，投标人提供的查询结果应为其通过上述网站获取的信用信息查询结果原始页面的打印件（或截图）。※投标人应按照招标文件第七章规定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3747" w:type="dxa"/>
            <w:noWrap w:val="0"/>
            <w:vAlign w:val="center"/>
          </w:tcPr>
          <w:p>
            <w:pPr>
              <w:keepNext w:val="0"/>
              <w:keepLines w:val="0"/>
              <w:widowControl/>
              <w:suppressLineNumbers w:val="0"/>
              <w:jc w:val="lef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中小企业声明函（专门面向中小企业或小型、微型企业适用，若有）</w:t>
            </w:r>
          </w:p>
        </w:tc>
        <w:tc>
          <w:tcPr>
            <w:tcW w:w="4579" w:type="dxa"/>
            <w:noWrap w:val="0"/>
            <w:vAlign w:val="center"/>
          </w:tcPr>
          <w:p>
            <w:pPr>
              <w:keepNext w:val="0"/>
              <w:keepLines w:val="0"/>
              <w:widowControl/>
              <w:suppressLineNumbers w:val="0"/>
              <w:jc w:val="lef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1、投标人应认真对照《工业和信息化部、国家统计局、国家发展和改革委员会、财政部关于印发中小企业划型标准规定的通知》（工信部联企业[2011]300号）规定的划分标准，并按照《国家统计局关于印发统计上大中小微型企业划分办法的通知》（国统字[2011]75号）规定准确划分企业类型。2、投标人为监狱企业的，可不填写本声明函，根据其提供的由省级以上监狱管理局、戒毒管理局（含新疆生产建设兵团）出具的属于监狱企业的证明文件进行认定，监狱企业视同小型、微型企业。3、投标人为残疾人福利性单位的，可不填写本声明函，根据其提供的《残疾人福利性单位声明函》进行认定，残疾人福利性单位视同小型、微型企业。4、纸质投标文件正本中的本声明函（若有）应为原件。※投标人应按照招标文件第七章规定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3747" w:type="dxa"/>
            <w:noWrap w:val="0"/>
            <w:vAlign w:val="center"/>
          </w:tcPr>
          <w:p>
            <w:pPr>
              <w:keepNext w:val="0"/>
              <w:keepLines w:val="0"/>
              <w:widowControl/>
              <w:suppressLineNumbers w:val="0"/>
              <w:jc w:val="lef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联合体协议（若有）</w:t>
            </w:r>
          </w:p>
        </w:tc>
        <w:tc>
          <w:tcPr>
            <w:tcW w:w="4579" w:type="dxa"/>
            <w:noWrap w:val="0"/>
            <w:vAlign w:val="center"/>
          </w:tcPr>
          <w:p>
            <w:pPr>
              <w:keepNext w:val="0"/>
              <w:keepLines w:val="0"/>
              <w:widowControl/>
              <w:suppressLineNumbers w:val="0"/>
              <w:jc w:val="lef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1、招标文件接受联合体投标且投标人为联合体的，投标人应提供本协议；否则无须提供。2、本协议由委托代理人签字或盖章的，应按照招标文件第七章载明的格式提供“单位负责人授权书”。3、纸质投标文件正本中的本协议（若有）应为原件。※投标人应按照招标文件第七章规定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3747" w:type="dxa"/>
            <w:noWrap w:val="0"/>
            <w:vAlign w:val="center"/>
          </w:tcPr>
          <w:p>
            <w:pPr>
              <w:keepNext w:val="0"/>
              <w:keepLines w:val="0"/>
              <w:widowControl/>
              <w:suppressLineNumbers w:val="0"/>
              <w:jc w:val="lef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检察机关行贿犯罪档案查询结果告知函</w:t>
            </w:r>
          </w:p>
        </w:tc>
        <w:tc>
          <w:tcPr>
            <w:tcW w:w="4579" w:type="dxa"/>
            <w:noWrap w:val="0"/>
            <w:vAlign w:val="center"/>
          </w:tcPr>
          <w:p>
            <w:pPr>
              <w:keepNext w:val="0"/>
              <w:keepLines w:val="0"/>
              <w:widowControl/>
              <w:suppressLineNumbers w:val="0"/>
              <w:jc w:val="lef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1、未提供行贿犯罪档案查询结果或查询结果表明投标人有行贿犯罪记录的，投标无效。2、无法提供有效期内检察机关行贿犯罪档案查询结果告知函的，也应对近三年无行贿犯罪记录进行声明。3、告知函应在有效期内且内容完整、清晰、整洁，否则投标无效。4、有效期内的告知函复印件（含扫描件）及符合招标文件第七章规定的打印件（或截图），无论内容中是否注明“复印件无效”，均视同有效。5、无法获取有效期内检察机关行贿犯罪档案查询结果告知函的，应在a7《参加采购活动前三年内在经营活动中没有重大违法记录书面声明》中对近三年无行贿犯罪记录进行声明。※投标人应按照招标文件第七章规定提供。</w:t>
            </w:r>
          </w:p>
        </w:tc>
      </w:tr>
    </w:tbl>
    <w:p>
      <w:pPr>
        <w:keepNext w:val="0"/>
        <w:keepLines w:val="0"/>
        <w:widowControl/>
        <w:suppressLineNumbers w:val="0"/>
        <w:ind w:firstLine="480" w:firstLineChars="200"/>
        <w:jc w:val="left"/>
        <w:rPr>
          <w:rFonts w:hint="eastAsia" w:ascii="宋体" w:hAnsi="宋体" w:eastAsia="宋体" w:cs="宋体"/>
          <w:spacing w:val="0"/>
          <w:sz w:val="24"/>
          <w:szCs w:val="24"/>
        </w:rPr>
      </w:pPr>
      <w:r>
        <w:rPr>
          <w:rFonts w:hint="eastAsia" w:ascii="宋体" w:hAnsi="宋体" w:eastAsia="宋体" w:cs="宋体"/>
          <w:kern w:val="0"/>
          <w:sz w:val="24"/>
          <w:szCs w:val="24"/>
          <w:lang w:val="en-US" w:eastAsia="zh-CN" w:bidi="ar"/>
        </w:rPr>
        <w:t>b.其他资格证明文件：</w:t>
      </w:r>
      <w:r>
        <w:rPr>
          <w:rFonts w:hint="eastAsia" w:ascii="宋体" w:hAnsi="宋体" w:eastAsia="宋体" w:cs="宋体"/>
          <w:spacing w:val="0"/>
          <w:sz w:val="24"/>
          <w:szCs w:val="24"/>
        </w:rPr>
        <w:br w:type="textWrapping"/>
      </w:r>
      <w:r>
        <w:rPr>
          <w:rStyle w:val="10"/>
          <w:rFonts w:hint="eastAsia" w:ascii="宋体" w:hAnsi="宋体" w:eastAsia="宋体" w:cs="宋体"/>
          <w:spacing w:val="0"/>
          <w:sz w:val="24"/>
          <w:szCs w:val="24"/>
        </w:rPr>
        <w:t>包：1</w:t>
      </w:r>
      <w:r>
        <w:rPr>
          <w:rFonts w:hint="eastAsia" w:ascii="宋体" w:hAnsi="宋体" w:eastAsia="宋体" w:cs="宋体"/>
          <w:spacing w:val="0"/>
          <w:sz w:val="24"/>
          <w:szCs w:val="24"/>
        </w:rPr>
        <w:t xml:space="preserve"> </w:t>
      </w:r>
    </w:p>
    <w:p>
      <w:pPr>
        <w:keepNext w:val="0"/>
        <w:keepLines w:val="0"/>
        <w:widowControl/>
        <w:suppressLineNumbers w:val="0"/>
        <w:ind w:firstLine="480" w:firstLineChars="200"/>
        <w:jc w:val="left"/>
        <w:rPr>
          <w:rFonts w:hint="eastAsia" w:ascii="宋体" w:hAnsi="宋体" w:eastAsia="宋体" w:cs="宋体"/>
          <w:spacing w:val="0"/>
          <w:sz w:val="24"/>
          <w:szCs w:val="24"/>
        </w:rPr>
      </w:pPr>
    </w:p>
    <w:tbl>
      <w:tblPr>
        <w:tblStyle w:val="7"/>
        <w:tblW w:w="8326" w:type="dxa"/>
        <w:tblCellSpacing w:w="0"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747"/>
        <w:gridCol w:w="45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Header/>
          <w:tblCellSpacing w:w="0" w:type="dxa"/>
        </w:trPr>
        <w:tc>
          <w:tcPr>
            <w:tcW w:w="3747" w:type="dxa"/>
            <w:noWrap w:val="0"/>
            <w:vAlign w:val="center"/>
          </w:tcPr>
          <w:p>
            <w:pPr>
              <w:keepNext w:val="0"/>
              <w:keepLines w:val="0"/>
              <w:widowControl/>
              <w:suppressLineNumbers w:val="0"/>
              <w:jc w:val="center"/>
              <w:rPr>
                <w:rFonts w:hint="eastAsia" w:ascii="宋体" w:hAnsi="宋体" w:eastAsia="宋体" w:cs="宋体"/>
                <w:b/>
                <w:sz w:val="24"/>
                <w:szCs w:val="24"/>
              </w:rPr>
            </w:pPr>
            <w:r>
              <w:rPr>
                <w:rFonts w:hint="eastAsia" w:ascii="宋体" w:hAnsi="宋体" w:eastAsia="宋体" w:cs="宋体"/>
                <w:b/>
                <w:kern w:val="0"/>
                <w:sz w:val="24"/>
                <w:szCs w:val="24"/>
                <w:lang w:val="en-US" w:eastAsia="zh-CN" w:bidi="ar"/>
              </w:rPr>
              <w:t>明细</w:t>
            </w:r>
          </w:p>
        </w:tc>
        <w:tc>
          <w:tcPr>
            <w:tcW w:w="4579" w:type="dxa"/>
            <w:noWrap w:val="0"/>
            <w:vAlign w:val="center"/>
          </w:tcPr>
          <w:p>
            <w:pPr>
              <w:keepNext w:val="0"/>
              <w:keepLines w:val="0"/>
              <w:widowControl/>
              <w:suppressLineNumbers w:val="0"/>
              <w:jc w:val="center"/>
              <w:rPr>
                <w:rFonts w:hint="eastAsia" w:ascii="宋体" w:hAnsi="宋体" w:eastAsia="宋体" w:cs="宋体"/>
                <w:b/>
                <w:sz w:val="24"/>
                <w:szCs w:val="24"/>
              </w:rPr>
            </w:pPr>
            <w:r>
              <w:rPr>
                <w:rFonts w:hint="eastAsia" w:ascii="宋体" w:hAnsi="宋体" w:eastAsia="宋体" w:cs="宋体"/>
                <w:b/>
                <w:kern w:val="0"/>
                <w:sz w:val="24"/>
                <w:szCs w:val="24"/>
                <w:lang w:val="en-US" w:eastAsia="zh-CN" w:bidi="ar"/>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3747" w:type="dxa"/>
            <w:noWrap w:val="0"/>
            <w:vAlign w:val="center"/>
          </w:tcPr>
          <w:p>
            <w:pPr>
              <w:keepNext w:val="0"/>
              <w:keepLines w:val="0"/>
              <w:widowControl/>
              <w:suppressLineNumbers w:val="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具备履行合同所必需设备和专业技术能力专项证明材料</w:t>
            </w:r>
          </w:p>
        </w:tc>
        <w:tc>
          <w:tcPr>
            <w:tcW w:w="4579" w:type="dxa"/>
            <w:noWrap w:val="0"/>
            <w:vAlign w:val="center"/>
          </w:tcPr>
          <w:p>
            <w:pPr>
              <w:keepNext w:val="0"/>
              <w:keepLines w:val="0"/>
              <w:widowControl/>
              <w:suppressLineNumbers w:val="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投标人需提供企业经营活动场所证明材料及参与本项目人员列表名单（含联系人、联系电话及所列表</w:t>
            </w:r>
            <w:r>
              <w:rPr>
                <w:rFonts w:hint="eastAsia" w:ascii="宋体" w:hAnsi="宋体" w:eastAsia="宋体" w:cs="宋体"/>
                <w:i w:val="0"/>
                <w:color w:val="000000"/>
                <w:kern w:val="0"/>
                <w:sz w:val="24"/>
                <w:szCs w:val="24"/>
                <w:u w:val="none"/>
                <w:lang w:val="en-US" w:eastAsia="zh-CN" w:bidi="ar"/>
              </w:rPr>
              <w:t>相关人员名单及其本项目开标截止之日前连续近六个月投标单位为其缴交社保的证明材料，社保证明材料应从社保窗口或从社保系统中打印为准。</w:t>
            </w:r>
            <w:r>
              <w:rPr>
                <w:rFonts w:hint="eastAsia" w:ascii="宋体" w:hAnsi="宋体" w:cs="宋体"/>
                <w:i w:val="0"/>
                <w:color w:val="000000"/>
                <w:kern w:val="0"/>
                <w:sz w:val="24"/>
                <w:szCs w:val="24"/>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3747" w:type="dxa"/>
            <w:noWrap w:val="0"/>
            <w:vAlign w:val="center"/>
          </w:tcPr>
          <w:p>
            <w:pPr>
              <w:keepNext w:val="0"/>
              <w:keepLines w:val="0"/>
              <w:widowControl/>
              <w:suppressLineNumbers w:val="0"/>
              <w:jc w:val="left"/>
              <w:rPr>
                <w:rFonts w:hint="eastAsia" w:ascii="宋体" w:hAnsi="宋体" w:eastAsia="宋体" w:cs="宋体"/>
                <w:sz w:val="24"/>
                <w:szCs w:val="24"/>
                <w:lang w:val="en-US" w:eastAsia="zh-CN"/>
              </w:rPr>
            </w:pPr>
            <w:r>
              <w:rPr>
                <w:rFonts w:hint="eastAsia" w:ascii="宋体" w:hAnsi="宋体" w:eastAsia="宋体" w:cs="宋体"/>
                <w:kern w:val="0"/>
                <w:sz w:val="24"/>
                <w:szCs w:val="24"/>
                <w:lang w:val="en-US" w:eastAsia="zh-CN" w:bidi="ar"/>
              </w:rPr>
              <w:t>特定资格条件1</w:t>
            </w:r>
          </w:p>
          <w:p>
            <w:pPr>
              <w:pStyle w:val="2"/>
              <w:rPr>
                <w:rFonts w:hint="eastAsia" w:ascii="宋体" w:hAnsi="宋体" w:eastAsia="宋体" w:cs="宋体"/>
                <w:sz w:val="24"/>
                <w:szCs w:val="24"/>
                <w:lang w:val="en-US" w:eastAsia="zh-CN"/>
              </w:rPr>
            </w:pPr>
          </w:p>
        </w:tc>
        <w:tc>
          <w:tcPr>
            <w:tcW w:w="4579" w:type="dxa"/>
            <w:noWrap w:val="0"/>
            <w:vAlign w:val="center"/>
          </w:tcPr>
          <w:p>
            <w:pPr>
              <w:keepNext w:val="0"/>
              <w:keepLines w:val="0"/>
              <w:widowControl/>
              <w:suppressLineNumbers w:val="0"/>
              <w:jc w:val="lef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highlight w:val="none"/>
                <w:lang w:val="en-US" w:eastAsia="zh-CN" w:bidi="ar"/>
              </w:rPr>
              <w:t>投标人应具有福建省环境卫生行业主管部门或经行业主管部门授权的环境卫生行业协会评定的甲级资信</w:t>
            </w:r>
            <w:r>
              <w:rPr>
                <w:rFonts w:hint="eastAsia" w:ascii="宋体" w:hAnsi="宋体" w:cs="宋体"/>
                <w:kern w:val="0"/>
                <w:sz w:val="24"/>
                <w:szCs w:val="24"/>
                <w:highlight w:val="none"/>
                <w:lang w:val="en-US" w:eastAsia="zh-CN" w:bidi="ar"/>
              </w:rPr>
              <w:t>等级证书</w:t>
            </w:r>
            <w:r>
              <w:rPr>
                <w:rFonts w:hint="eastAsia" w:ascii="宋体" w:hAnsi="宋体" w:eastAsia="宋体" w:cs="宋体"/>
                <w:kern w:val="0"/>
                <w:sz w:val="24"/>
                <w:szCs w:val="24"/>
                <w:highlight w:val="none"/>
                <w:lang w:val="en-US" w:eastAsia="zh-CN" w:bidi="ar"/>
              </w:rPr>
              <w:t>，省外企业</w:t>
            </w:r>
            <w:r>
              <w:rPr>
                <w:rFonts w:hint="eastAsia" w:ascii="宋体" w:hAnsi="宋体" w:cs="宋体"/>
                <w:kern w:val="0"/>
                <w:sz w:val="24"/>
                <w:szCs w:val="24"/>
                <w:highlight w:val="none"/>
                <w:lang w:val="en-US" w:eastAsia="zh-CN" w:bidi="ar"/>
              </w:rPr>
              <w:t>应具有与本项目规模相应的一级/A级资信等级证书</w:t>
            </w:r>
            <w:r>
              <w:rPr>
                <w:rFonts w:hint="eastAsia" w:ascii="宋体" w:hAnsi="宋体" w:eastAsia="宋体" w:cs="宋体"/>
                <w:kern w:val="0"/>
                <w:sz w:val="24"/>
                <w:szCs w:val="24"/>
                <w:highlight w:val="none"/>
                <w:lang w:val="en-US" w:eastAsia="zh-CN" w:bidi="ar"/>
              </w:rPr>
              <w:t>。须提供有效的资信证明复印件加盖投标人公章。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blCellSpacing w:w="0" w:type="dxa"/>
        </w:trPr>
        <w:tc>
          <w:tcPr>
            <w:tcW w:w="3747" w:type="dxa"/>
            <w:noWrap w:val="0"/>
            <w:vAlign w:val="center"/>
          </w:tcPr>
          <w:p>
            <w:pPr>
              <w:keepNext w:val="0"/>
              <w:keepLines w:val="0"/>
              <w:widowControl/>
              <w:suppressLineNumbers w:val="0"/>
              <w:jc w:val="lef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bidi="ar"/>
              </w:rPr>
              <w:t>单位负责人授权书</w:t>
            </w:r>
          </w:p>
        </w:tc>
        <w:tc>
          <w:tcPr>
            <w:tcW w:w="4579" w:type="dxa"/>
            <w:noWrap w:val="0"/>
            <w:vAlign w:val="center"/>
          </w:tcPr>
          <w:p>
            <w:pPr>
              <w:keepNext w:val="0"/>
              <w:keepLines w:val="0"/>
              <w:widowControl/>
              <w:suppressLineNumbers w:val="0"/>
              <w:jc w:val="lef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bidi="ar"/>
              </w:rPr>
              <w:t>所有参加投标的投标方代表均需随身携带本人身份证原件</w:t>
            </w:r>
            <w:r>
              <w:rPr>
                <w:rFonts w:hint="eastAsia" w:ascii="宋体" w:hAnsi="宋体" w:eastAsia="宋体" w:cs="宋体"/>
                <w:kern w:val="0"/>
                <w:sz w:val="24"/>
                <w:szCs w:val="24"/>
                <w:lang w:val="en-US" w:eastAsia="zh-CN" w:bidi="ar"/>
              </w:rPr>
              <w:t>及CA认证卡（数字证书）用于现场解密电子版投标文件。如果投标方代表不是法定代表人，投标方代表还需随身携带《单位负责人授权书》。</w:t>
            </w:r>
          </w:p>
        </w:tc>
      </w:tr>
    </w:tbl>
    <w:p>
      <w:pPr>
        <w:pStyle w:val="6"/>
        <w:keepNext w:val="0"/>
        <w:keepLines w:val="0"/>
        <w:widowControl/>
        <w:suppressLineNumbers w:val="0"/>
        <w:spacing w:before="75" w:beforeAutospacing="0" w:after="75" w:afterAutospacing="0"/>
        <w:ind w:left="0" w:right="0" w:firstLine="480"/>
        <w:rPr>
          <w:rFonts w:hint="eastAsia" w:ascii="宋体" w:hAnsi="宋体" w:eastAsia="宋体" w:cs="宋体"/>
          <w:sz w:val="24"/>
          <w:szCs w:val="24"/>
        </w:rPr>
      </w:pPr>
      <w:r>
        <w:rPr>
          <w:rFonts w:hint="eastAsia" w:ascii="宋体" w:hAnsi="宋体" w:eastAsia="宋体" w:cs="宋体"/>
          <w:spacing w:val="0"/>
          <w:sz w:val="24"/>
          <w:szCs w:val="24"/>
        </w:rPr>
        <w:t>③投标保证金。</w:t>
      </w:r>
    </w:p>
    <w:p>
      <w:pPr>
        <w:pStyle w:val="6"/>
        <w:keepNext w:val="0"/>
        <w:keepLines w:val="0"/>
        <w:widowControl/>
        <w:suppressLineNumbers w:val="0"/>
        <w:spacing w:before="75" w:beforeAutospacing="0" w:after="75" w:afterAutospacing="0"/>
        <w:ind w:left="0" w:right="0" w:firstLine="0"/>
        <w:rPr>
          <w:rFonts w:hint="eastAsia" w:ascii="宋体" w:hAnsi="宋体" w:eastAsia="宋体" w:cs="宋体"/>
          <w:sz w:val="24"/>
          <w:szCs w:val="24"/>
        </w:rPr>
      </w:pPr>
      <w:r>
        <w:rPr>
          <w:rFonts w:hint="eastAsia" w:ascii="宋体" w:hAnsi="宋体" w:eastAsia="宋体" w:cs="宋体"/>
          <w:spacing w:val="0"/>
          <w:sz w:val="24"/>
          <w:szCs w:val="24"/>
        </w:rPr>
        <w:t>1.4有下列情形之一的，</w:t>
      </w:r>
      <w:r>
        <w:rPr>
          <w:rStyle w:val="10"/>
          <w:rFonts w:hint="eastAsia" w:ascii="宋体" w:hAnsi="宋体" w:eastAsia="宋体" w:cs="宋体"/>
          <w:spacing w:val="0"/>
          <w:sz w:val="24"/>
          <w:szCs w:val="24"/>
        </w:rPr>
        <w:t>资格审查不合格：</w:t>
      </w:r>
    </w:p>
    <w:p>
      <w:pPr>
        <w:pStyle w:val="6"/>
        <w:keepNext w:val="0"/>
        <w:keepLines w:val="0"/>
        <w:widowControl/>
        <w:suppressLineNumbers w:val="0"/>
        <w:ind w:left="0" w:firstLine="480"/>
        <w:rPr>
          <w:rFonts w:hint="eastAsia" w:ascii="宋体" w:hAnsi="宋体" w:eastAsia="宋体" w:cs="宋体"/>
          <w:sz w:val="24"/>
          <w:szCs w:val="24"/>
        </w:rPr>
      </w:pPr>
      <w:r>
        <w:rPr>
          <w:rFonts w:hint="eastAsia" w:ascii="宋体" w:hAnsi="宋体" w:eastAsia="宋体" w:cs="宋体"/>
          <w:sz w:val="24"/>
          <w:szCs w:val="24"/>
        </w:rPr>
        <w:t>①一般情形：</w:t>
      </w:r>
    </w:p>
    <w:tbl>
      <w:tblPr>
        <w:tblStyle w:val="7"/>
        <w:tblW w:w="8326" w:type="dxa"/>
        <w:tblCellSpacing w:w="0"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3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Header/>
          <w:tblCellSpacing w:w="0" w:type="dxa"/>
        </w:trPr>
        <w:tc>
          <w:tcPr>
            <w:tcW w:w="8326" w:type="dxa"/>
            <w:noWrap w:val="0"/>
            <w:vAlign w:val="center"/>
          </w:tcPr>
          <w:p>
            <w:pPr>
              <w:keepNext w:val="0"/>
              <w:keepLines w:val="0"/>
              <w:widowControl/>
              <w:suppressLineNumbers w:val="0"/>
              <w:jc w:val="center"/>
              <w:rPr>
                <w:rFonts w:hint="eastAsia" w:ascii="宋体" w:hAnsi="宋体" w:eastAsia="宋体" w:cs="宋体"/>
                <w:b/>
                <w:sz w:val="24"/>
                <w:szCs w:val="24"/>
              </w:rPr>
            </w:pPr>
            <w:r>
              <w:rPr>
                <w:rFonts w:hint="eastAsia" w:ascii="宋体" w:hAnsi="宋体" w:eastAsia="宋体" w:cs="宋体"/>
                <w:b/>
                <w:kern w:val="0"/>
                <w:sz w:val="24"/>
                <w:szCs w:val="24"/>
                <w:lang w:val="en-US" w:eastAsia="zh-CN" w:bidi="ar"/>
              </w:rPr>
              <w:t>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blCellSpacing w:w="0" w:type="dxa"/>
        </w:trPr>
        <w:tc>
          <w:tcPr>
            <w:tcW w:w="8326" w:type="dxa"/>
            <w:noWrap w:val="0"/>
            <w:vAlign w:val="center"/>
          </w:tcPr>
          <w:p>
            <w:pPr>
              <w:keepNext w:val="0"/>
              <w:keepLines w:val="0"/>
              <w:widowControl/>
              <w:suppressLineNumbers w:val="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未按照招标文件规定提交投标函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8326" w:type="dxa"/>
            <w:noWrap w:val="0"/>
            <w:vAlign w:val="center"/>
          </w:tcPr>
          <w:p>
            <w:pPr>
              <w:keepNext w:val="0"/>
              <w:keepLines w:val="0"/>
              <w:widowControl/>
              <w:suppressLineNumbers w:val="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未按照招标文件规定提交投标人的资格及资信文件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8326" w:type="dxa"/>
            <w:noWrap w:val="0"/>
            <w:vAlign w:val="center"/>
          </w:tcPr>
          <w:p>
            <w:pPr>
              <w:keepNext w:val="0"/>
              <w:keepLines w:val="0"/>
              <w:widowControl/>
              <w:suppressLineNumbers w:val="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未按照招标文件规定提交投标保证金</w:t>
            </w:r>
          </w:p>
        </w:tc>
      </w:tr>
    </w:tbl>
    <w:p>
      <w:pPr>
        <w:pStyle w:val="6"/>
        <w:keepNext w:val="0"/>
        <w:keepLines w:val="0"/>
        <w:widowControl/>
        <w:suppressLineNumbers w:val="0"/>
        <w:ind w:left="0" w:firstLine="480"/>
        <w:rPr>
          <w:rFonts w:hint="eastAsia" w:ascii="宋体" w:hAnsi="宋体" w:eastAsia="宋体" w:cs="宋体"/>
          <w:sz w:val="24"/>
          <w:szCs w:val="24"/>
        </w:rPr>
      </w:pPr>
      <w:r>
        <w:rPr>
          <w:rFonts w:hint="eastAsia" w:ascii="宋体" w:hAnsi="宋体" w:eastAsia="宋体" w:cs="宋体"/>
          <w:sz w:val="24"/>
          <w:szCs w:val="24"/>
        </w:rPr>
        <w:t>②本项目规定的其他情形：</w:t>
      </w:r>
    </w:p>
    <w:p>
      <w:pPr>
        <w:pStyle w:val="6"/>
        <w:keepNext w:val="0"/>
        <w:keepLines w:val="0"/>
        <w:widowControl/>
        <w:suppressLineNumbers w:val="0"/>
        <w:ind w:left="0" w:firstLine="480"/>
      </w:pPr>
      <w:r>
        <w:rPr>
          <w:rStyle w:val="10"/>
        </w:rPr>
        <w:t>包：1</w:t>
      </w:r>
    </w:p>
    <w:tbl>
      <w:tblPr>
        <w:tblStyle w:val="7"/>
        <w:tblW w:w="8336" w:type="dxa"/>
        <w:tblCellSpacing w:w="0"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3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blHeader/>
          <w:tblCellSpacing w:w="0" w:type="dxa"/>
        </w:trPr>
        <w:tc>
          <w:tcPr>
            <w:tcW w:w="8336" w:type="dxa"/>
            <w:noWrap w:val="0"/>
            <w:vAlign w:val="center"/>
          </w:tcPr>
          <w:p>
            <w:pPr>
              <w:keepNext w:val="0"/>
              <w:keepLines w:val="0"/>
              <w:widowControl/>
              <w:suppressLineNumbers w:val="0"/>
              <w:jc w:val="center"/>
              <w:rPr>
                <w:b/>
              </w:rPr>
            </w:pPr>
            <w:r>
              <w:rPr>
                <w:rFonts w:ascii="宋体" w:hAnsi="宋体" w:eastAsia="宋体" w:cs="宋体"/>
                <w:b/>
                <w:kern w:val="0"/>
                <w:sz w:val="24"/>
                <w:szCs w:val="24"/>
                <w:lang w:val="en-US" w:eastAsia="zh-CN" w:bidi="ar"/>
              </w:rPr>
              <w:t>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8336" w:type="dxa"/>
            <w:noWrap w:val="0"/>
            <w:vAlign w:val="center"/>
          </w:tcPr>
          <w:p>
            <w:pPr>
              <w:keepNext w:val="0"/>
              <w:keepLines w:val="0"/>
              <w:widowControl/>
              <w:suppressLineNumbers w:val="0"/>
              <w:jc w:val="left"/>
            </w:pPr>
            <w:r>
              <w:rPr>
                <w:rFonts w:ascii="宋体" w:hAnsi="宋体" w:eastAsia="宋体" w:cs="宋体"/>
                <w:kern w:val="0"/>
                <w:sz w:val="24"/>
                <w:szCs w:val="24"/>
                <w:lang w:val="en-US" w:eastAsia="zh-CN" w:bidi="ar"/>
              </w:rPr>
              <w:t>资格及资信证明部分中出现报价部分的全部或部分的投标报价信息（或组成资料）。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8336" w:type="dxa"/>
            <w:noWrap w:val="0"/>
            <w:vAlign w:val="center"/>
          </w:tcPr>
          <w:p>
            <w:pPr>
              <w:keepNext w:val="0"/>
              <w:keepLines w:val="0"/>
              <w:widowControl/>
              <w:suppressLineNumbers w:val="0"/>
              <w:jc w:val="left"/>
            </w:pPr>
            <w:r>
              <w:rPr>
                <w:rFonts w:ascii="宋体" w:hAnsi="宋体" w:eastAsia="宋体" w:cs="宋体"/>
                <w:kern w:val="0"/>
                <w:sz w:val="24"/>
                <w:szCs w:val="24"/>
                <w:lang w:val="en-US" w:eastAsia="zh-CN" w:bidi="ar"/>
              </w:rPr>
              <w:t>违反招标文件中载明“投标无效”或“无效投标”条款的规定。</w:t>
            </w:r>
          </w:p>
        </w:tc>
      </w:tr>
    </w:tbl>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1.5若本项目接受联合体投标且投标人为联合体，联合体中有同类资质的供应商按照联合体分工承担相同工作的，应先按照资质等级较低的供应商确定资质等级，再按照本章第</w:t>
      </w:r>
      <w:r>
        <w:rPr>
          <w:rFonts w:hint="default" w:ascii="Calibri" w:hAnsi="Calibri" w:cs="Calibri"/>
          <w:spacing w:val="0"/>
          <w:sz w:val="24"/>
          <w:szCs w:val="24"/>
        </w:rPr>
        <w:t>1.2</w:t>
      </w:r>
      <w:r>
        <w:rPr>
          <w:rFonts w:hint="eastAsia" w:ascii="宋体" w:hAnsi="宋体" w:eastAsia="宋体" w:cs="宋体"/>
          <w:spacing w:val="0"/>
          <w:sz w:val="24"/>
          <w:szCs w:val="24"/>
        </w:rPr>
        <w:t>、</w:t>
      </w:r>
      <w:r>
        <w:rPr>
          <w:rFonts w:hint="default" w:ascii="Calibri" w:hAnsi="Calibri" w:cs="Calibri"/>
          <w:spacing w:val="0"/>
          <w:sz w:val="24"/>
          <w:szCs w:val="24"/>
        </w:rPr>
        <w:t>1.3</w:t>
      </w:r>
      <w:r>
        <w:rPr>
          <w:rFonts w:hint="eastAsia" w:ascii="宋体" w:hAnsi="宋体" w:eastAsia="宋体" w:cs="宋体"/>
          <w:spacing w:val="0"/>
          <w:sz w:val="24"/>
          <w:szCs w:val="24"/>
        </w:rPr>
        <w:t>、</w:t>
      </w:r>
      <w:r>
        <w:rPr>
          <w:rFonts w:hint="default" w:ascii="Calibri" w:hAnsi="Calibri" w:cs="Calibri"/>
          <w:spacing w:val="0"/>
          <w:sz w:val="24"/>
          <w:szCs w:val="24"/>
        </w:rPr>
        <w:t>1.4</w:t>
      </w:r>
      <w:r>
        <w:rPr>
          <w:rFonts w:hint="eastAsia" w:ascii="宋体" w:hAnsi="宋体" w:eastAsia="宋体" w:cs="宋体"/>
          <w:spacing w:val="0"/>
          <w:sz w:val="24"/>
          <w:szCs w:val="24"/>
        </w:rPr>
        <w:t>条规定进行资格审查。</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2、资格审查情况不得私自外泄，有关信息由</w:t>
      </w:r>
      <w:r>
        <w:rPr>
          <w:rFonts w:hint="eastAsia" w:ascii="宋体" w:hAnsi="宋体" w:cs="宋体"/>
          <w:spacing w:val="0"/>
          <w:sz w:val="24"/>
          <w:szCs w:val="24"/>
          <w:u w:val="single"/>
          <w:lang w:eastAsia="zh-CN"/>
        </w:rPr>
        <w:t>三明天和工程管理有限公司</w:t>
      </w:r>
      <w:r>
        <w:rPr>
          <w:rFonts w:hint="eastAsia" w:ascii="宋体" w:hAnsi="宋体" w:eastAsia="宋体" w:cs="宋体"/>
          <w:spacing w:val="0"/>
          <w:sz w:val="24"/>
          <w:szCs w:val="24"/>
        </w:rPr>
        <w:t>统一对外发布。</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3、资格审查合格的投标人不足三家的，不进行评标。同时，本次采购活动结束，</w:t>
      </w:r>
      <w:r>
        <w:rPr>
          <w:rFonts w:hint="eastAsia" w:ascii="宋体" w:hAnsi="宋体" w:cs="宋体"/>
          <w:spacing w:val="0"/>
          <w:sz w:val="24"/>
          <w:szCs w:val="24"/>
          <w:u w:val="single"/>
          <w:lang w:eastAsia="zh-CN"/>
        </w:rPr>
        <w:t>三明天和工程管理有限公司</w:t>
      </w:r>
      <w:r>
        <w:rPr>
          <w:rFonts w:hint="eastAsia" w:ascii="宋体" w:hAnsi="宋体" w:eastAsia="宋体" w:cs="宋体"/>
          <w:spacing w:val="0"/>
          <w:sz w:val="24"/>
          <w:szCs w:val="24"/>
        </w:rPr>
        <w:t>将依法组织后续采购活动（包括但不限于：重新招标、采用其他方式采购等）。</w:t>
      </w:r>
    </w:p>
    <w:p>
      <w:pPr>
        <w:pStyle w:val="6"/>
        <w:keepNext w:val="0"/>
        <w:keepLines w:val="0"/>
        <w:widowControl/>
        <w:suppressLineNumbers w:val="0"/>
        <w:spacing w:before="75" w:beforeAutospacing="0" w:after="75" w:afterAutospacing="0"/>
        <w:ind w:left="0" w:right="0" w:firstLine="0"/>
      </w:pPr>
      <w:r>
        <w:rPr>
          <w:spacing w:val="0"/>
          <w:sz w:val="24"/>
          <w:szCs w:val="24"/>
        </w:rPr>
        <w:t> </w:t>
      </w:r>
    </w:p>
    <w:p>
      <w:pPr>
        <w:pStyle w:val="6"/>
        <w:keepNext w:val="0"/>
        <w:keepLines w:val="0"/>
        <w:widowControl/>
        <w:suppressLineNumbers w:val="0"/>
        <w:spacing w:before="75" w:beforeAutospacing="0" w:after="75" w:afterAutospacing="0"/>
        <w:ind w:left="0" w:right="0" w:firstLine="0"/>
        <w:jc w:val="center"/>
      </w:pPr>
      <w:r>
        <w:rPr>
          <w:rStyle w:val="10"/>
          <w:rFonts w:hint="eastAsia" w:ascii="宋体" w:hAnsi="宋体" w:eastAsia="宋体" w:cs="宋体"/>
          <w:spacing w:val="0"/>
          <w:sz w:val="24"/>
          <w:szCs w:val="24"/>
        </w:rPr>
        <w:t>二、评标</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4、</w:t>
      </w:r>
      <w:r>
        <w:rPr>
          <w:rFonts w:hint="eastAsia" w:ascii="宋体" w:hAnsi="宋体" w:eastAsia="宋体" w:cs="宋体"/>
        </w:rPr>
        <w:t>资格审查结束后，由</w:t>
      </w:r>
      <w:r>
        <w:rPr>
          <w:rFonts w:hint="eastAsia" w:ascii="宋体" w:hAnsi="宋体" w:cs="宋体"/>
          <w:spacing w:val="0"/>
          <w:lang w:eastAsia="zh-CN"/>
        </w:rPr>
        <w:t>三明天和工程管理有限公司</w:t>
      </w:r>
      <w:r>
        <w:rPr>
          <w:rFonts w:hint="eastAsia" w:ascii="宋体" w:hAnsi="宋体" w:eastAsia="宋体" w:cs="宋体"/>
          <w:spacing w:val="0"/>
        </w:rPr>
        <w:t>负责评标委员会的组建及评标工作的组织。</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5、评标委员会</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5.1评标委员会由采购人代表和评标专家两部分共</w:t>
      </w:r>
      <w:r>
        <w:rPr>
          <w:rFonts w:hint="eastAsia" w:ascii="宋体" w:hAnsi="宋体" w:eastAsia="宋体" w:cs="宋体"/>
          <w:spacing w:val="0"/>
          <w:sz w:val="24"/>
          <w:szCs w:val="24"/>
          <w:u w:val="single"/>
        </w:rPr>
        <w:t>7</w:t>
      </w:r>
      <w:r>
        <w:rPr>
          <w:rFonts w:hint="eastAsia" w:ascii="宋体" w:hAnsi="宋体" w:eastAsia="宋体" w:cs="宋体"/>
          <w:spacing w:val="0"/>
          <w:sz w:val="24"/>
          <w:szCs w:val="24"/>
        </w:rPr>
        <w:t>人（以下简称“评委”）组成，其中：由采购人派出的采购人代表</w:t>
      </w:r>
      <w:r>
        <w:rPr>
          <w:rFonts w:hint="eastAsia" w:ascii="宋体" w:hAnsi="宋体" w:cs="宋体"/>
          <w:spacing w:val="0"/>
          <w:sz w:val="24"/>
          <w:szCs w:val="24"/>
          <w:u w:val="single"/>
          <w:lang w:val="en-US" w:eastAsia="zh-CN"/>
        </w:rPr>
        <w:t>2</w:t>
      </w:r>
      <w:r>
        <w:rPr>
          <w:rFonts w:hint="eastAsia" w:ascii="宋体" w:hAnsi="宋体" w:eastAsia="宋体" w:cs="宋体"/>
          <w:spacing w:val="0"/>
          <w:sz w:val="24"/>
          <w:szCs w:val="24"/>
        </w:rPr>
        <w:t>人，由福建省政府采购评审专家库产生的评标专家</w:t>
      </w:r>
      <w:r>
        <w:rPr>
          <w:rFonts w:hint="eastAsia" w:ascii="宋体" w:hAnsi="宋体" w:cs="宋体"/>
          <w:spacing w:val="0"/>
          <w:sz w:val="24"/>
          <w:szCs w:val="24"/>
          <w:u w:val="single"/>
          <w:lang w:val="en-US" w:eastAsia="zh-CN"/>
        </w:rPr>
        <w:t>5</w:t>
      </w:r>
      <w:r>
        <w:rPr>
          <w:rFonts w:hint="eastAsia" w:ascii="宋体" w:hAnsi="宋体" w:eastAsia="宋体" w:cs="宋体"/>
          <w:spacing w:val="0"/>
          <w:sz w:val="24"/>
          <w:szCs w:val="24"/>
        </w:rPr>
        <w:t>人。</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5.2评标委员会负责具体评标事务，并按照下列原则依法独立履行有关职责：</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（1）评标应保护国家利益、社会公共利益和各方当事人合法权益，提高采购效益，保证项目质量。</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（2）评标应遵循公平、公正、科学、严谨和择优原则。</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（3）评标的依据是招标文件和投标文件。</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（4）应按照招标文件规定推荐中标候选人或确定中标人。</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（5）评标应遵守下列评标纪律：</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①评标情况不得私自外泄，有关信息由</w:t>
      </w:r>
      <w:r>
        <w:rPr>
          <w:rFonts w:hint="eastAsia" w:ascii="宋体" w:hAnsi="宋体" w:cs="宋体"/>
          <w:spacing w:val="0"/>
          <w:sz w:val="24"/>
          <w:szCs w:val="24"/>
          <w:u w:val="single"/>
          <w:lang w:eastAsia="zh-CN"/>
        </w:rPr>
        <w:t>三明天和工程管理有限公司</w:t>
      </w:r>
      <w:r>
        <w:rPr>
          <w:rFonts w:hint="eastAsia" w:ascii="宋体" w:hAnsi="宋体" w:eastAsia="宋体" w:cs="宋体"/>
          <w:spacing w:val="0"/>
          <w:sz w:val="24"/>
          <w:szCs w:val="24"/>
        </w:rPr>
        <w:t>统一对外发布。</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②对</w:t>
      </w:r>
      <w:r>
        <w:rPr>
          <w:rFonts w:hint="eastAsia" w:ascii="宋体" w:hAnsi="宋体" w:cs="宋体"/>
          <w:spacing w:val="0"/>
          <w:sz w:val="24"/>
          <w:szCs w:val="24"/>
          <w:u w:val="single"/>
          <w:lang w:eastAsia="zh-CN"/>
        </w:rPr>
        <w:t>三明天和工程管理有限公司</w:t>
      </w:r>
      <w:r>
        <w:rPr>
          <w:rFonts w:hint="eastAsia" w:ascii="宋体" w:hAnsi="宋体" w:eastAsia="宋体" w:cs="宋体"/>
          <w:spacing w:val="0"/>
          <w:sz w:val="24"/>
          <w:szCs w:val="24"/>
        </w:rPr>
        <w:t>或投标人提供的要求保密的资料，不得摘记翻印和外传。</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③不得收受投标人或有关人员的任何礼物，不得串联鼓动其他人袒护某投标人。若与投标人存在利害关系，则应主动声明并回避。</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④全体评委应按照招标文件规定进行评标，一切认定事项应查有实据且不得弄虚作假。</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⑤评标中应充分发扬民主，推荐中标候选人或确定中标人后要服从评标报告。</w:t>
      </w:r>
    </w:p>
    <w:p>
      <w:pPr>
        <w:pStyle w:val="6"/>
        <w:keepNext w:val="0"/>
        <w:keepLines w:val="0"/>
        <w:widowControl/>
        <w:suppressLineNumbers w:val="0"/>
        <w:spacing w:before="75" w:beforeAutospacing="0" w:after="75" w:afterAutospacing="0"/>
        <w:ind w:left="0" w:right="0" w:firstLine="480"/>
      </w:pPr>
      <w:r>
        <w:rPr>
          <w:rStyle w:val="10"/>
          <w:rFonts w:hint="eastAsia" w:ascii="宋体" w:hAnsi="宋体" w:eastAsia="宋体" w:cs="宋体"/>
          <w:spacing w:val="0"/>
          <w:sz w:val="24"/>
          <w:szCs w:val="24"/>
        </w:rPr>
        <w:t>※对违反评标纪律的评委，将取消其评委资格，对评标工作造成严重损失者将予以通报批评乃至追究法律责任。</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6、评标程序</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6.1评标前的准备工作</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（1）全体评委应认真审阅招标文件，了解评委应履行或遵守的职责、义务和评标纪律。</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（2）参加评标委员会的采购人代表可对本项目的背景和采购需求进行介绍，介绍材料应以书面形式提交（随采购文件一并存档），介绍内容不得含有歧视性、倾向性意见，不得超出招标文件所述范围。</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6.2符合性审查</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（1）评标委员会依据招标文件的实质性要求，对通过资格审查的投标文件进行符合性审查，以确定其是否满足招标文件的实质性要求。</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（2）满足招标文件的实质性要求指投标文件对招标文件实质性要求的响应不存在重大偏差或保留。</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重大偏差或保留指影响到招标文件规定的合同范围、合同履行及影响关键质量和性能，或限制了采购人的权利，或反对、减少投标人的义务，而纠正这些重大偏差或保留将影响到其他提交实质性响应投标的投标人的公平竞争地位。</w:t>
      </w:r>
    </w:p>
    <w:p>
      <w:pPr>
        <w:pStyle w:val="6"/>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rPr>
        <w:t>（4）评标委员会审查判断投标文件是否满足招标文件的实质性要求仅基于投标文件本身而不寻求其他的外部证据。未满足招标文件实质性要求的投标文件将被评标委员会否决（即符合性审查不合格），被否决的投标文件不能通过补充、修改（澄</w:t>
      </w:r>
      <w:r>
        <w:rPr>
          <w:rFonts w:hint="eastAsia" w:ascii="宋体" w:hAnsi="宋体" w:eastAsia="宋体" w:cs="宋体"/>
          <w:spacing w:val="0"/>
          <w:sz w:val="24"/>
          <w:szCs w:val="24"/>
          <w:highlight w:val="none"/>
        </w:rPr>
        <w:t>清、说明或补正）等方式重新成为满足招标文件实质性要求的投标文件。</w:t>
      </w:r>
    </w:p>
    <w:p>
      <w:pPr>
        <w:pStyle w:val="6"/>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（5）评标委员会对所有投标人都执行相同的程序和标准。</w:t>
      </w:r>
    </w:p>
    <w:p>
      <w:pPr>
        <w:pStyle w:val="6"/>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（6）有下列情形之一的，</w:t>
      </w:r>
      <w:r>
        <w:rPr>
          <w:rStyle w:val="10"/>
          <w:rFonts w:hint="eastAsia" w:ascii="宋体" w:hAnsi="宋体" w:eastAsia="宋体" w:cs="宋体"/>
          <w:spacing w:val="0"/>
          <w:sz w:val="24"/>
          <w:szCs w:val="24"/>
          <w:highlight w:val="none"/>
        </w:rPr>
        <w:t>符合性审查不合格：</w:t>
      </w:r>
    </w:p>
    <w:p>
      <w:pPr>
        <w:pStyle w:val="6"/>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①项目一般情形：</w:t>
      </w:r>
    </w:p>
    <w:tbl>
      <w:tblPr>
        <w:tblStyle w:val="7"/>
        <w:tblW w:w="8336" w:type="dxa"/>
        <w:tblCellSpacing w:w="0"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3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Header/>
          <w:tblCellSpacing w:w="0" w:type="dxa"/>
        </w:trPr>
        <w:tc>
          <w:tcPr>
            <w:tcW w:w="8336" w:type="dxa"/>
            <w:noWrap w:val="0"/>
            <w:vAlign w:val="center"/>
          </w:tcPr>
          <w:p>
            <w:pPr>
              <w:keepNext w:val="0"/>
              <w:keepLines w:val="0"/>
              <w:widowControl/>
              <w:suppressLineNumbers w:val="0"/>
              <w:jc w:val="center"/>
              <w:rPr>
                <w:b/>
                <w:highlight w:val="none"/>
              </w:rPr>
            </w:pPr>
            <w:r>
              <w:rPr>
                <w:rFonts w:ascii="宋体" w:hAnsi="宋体" w:eastAsia="宋体" w:cs="宋体"/>
                <w:b/>
                <w:kern w:val="0"/>
                <w:sz w:val="24"/>
                <w:szCs w:val="24"/>
                <w:highlight w:val="none"/>
                <w:lang w:val="en-US" w:eastAsia="zh-CN" w:bidi="ar"/>
              </w:rPr>
              <w:t>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8336" w:type="dxa"/>
            <w:noWrap w:val="0"/>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违反招标文件中载明“投标无效”条款的规定；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8336" w:type="dxa"/>
            <w:noWrap w:val="0"/>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属于招标文件第三章第10.12条规定的投标无效情形；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8336" w:type="dxa"/>
            <w:noWrap w:val="0"/>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投标文件对招标文件实质性要求的响应存在重大偏离或保留。</w:t>
            </w:r>
          </w:p>
        </w:tc>
      </w:tr>
    </w:tbl>
    <w:p>
      <w:pPr>
        <w:pStyle w:val="6"/>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②本项目规定的其他情形：</w:t>
      </w:r>
      <w:r>
        <w:rPr>
          <w:rFonts w:hint="eastAsia" w:ascii="宋体" w:hAnsi="宋体" w:eastAsia="宋体" w:cs="宋体"/>
          <w:spacing w:val="0"/>
          <w:sz w:val="24"/>
          <w:szCs w:val="24"/>
          <w:highlight w:val="none"/>
        </w:rPr>
        <w:br w:type="textWrapping"/>
      </w:r>
      <w:r>
        <w:rPr>
          <w:rFonts w:hint="eastAsia" w:ascii="宋体" w:hAnsi="宋体" w:eastAsia="宋体" w:cs="宋体"/>
          <w:spacing w:val="0"/>
          <w:sz w:val="24"/>
          <w:szCs w:val="24"/>
          <w:highlight w:val="none"/>
        </w:rPr>
        <w:t>包：1</w:t>
      </w:r>
      <w:r>
        <w:rPr>
          <w:rFonts w:hint="eastAsia" w:ascii="宋体" w:hAnsi="宋体" w:eastAsia="宋体" w:cs="宋体"/>
          <w:spacing w:val="0"/>
          <w:sz w:val="24"/>
          <w:szCs w:val="24"/>
          <w:highlight w:val="none"/>
        </w:rPr>
        <w:br w:type="textWrapping"/>
      </w:r>
      <w:r>
        <w:rPr>
          <w:rFonts w:hint="eastAsia" w:ascii="宋体" w:hAnsi="宋体" w:eastAsia="宋体" w:cs="宋体"/>
          <w:spacing w:val="0"/>
          <w:sz w:val="24"/>
          <w:szCs w:val="24"/>
          <w:highlight w:val="none"/>
        </w:rPr>
        <w:t>包一般情形</w:t>
      </w:r>
    </w:p>
    <w:tbl>
      <w:tblPr>
        <w:tblStyle w:val="7"/>
        <w:tblW w:w="8336" w:type="dxa"/>
        <w:tblCellSpacing w:w="0"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3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Header/>
          <w:tblCellSpacing w:w="0" w:type="dxa"/>
        </w:trPr>
        <w:tc>
          <w:tcPr>
            <w:tcW w:w="8336" w:type="dxa"/>
            <w:noWrap w:val="0"/>
            <w:vAlign w:val="center"/>
          </w:tcPr>
          <w:p>
            <w:pPr>
              <w:keepNext w:val="0"/>
              <w:keepLines w:val="0"/>
              <w:widowControl/>
              <w:suppressLineNumbers w:val="0"/>
              <w:jc w:val="center"/>
              <w:rPr>
                <w:b/>
                <w:highlight w:val="none"/>
              </w:rPr>
            </w:pPr>
            <w:r>
              <w:rPr>
                <w:rFonts w:ascii="宋体" w:hAnsi="宋体" w:eastAsia="宋体" w:cs="宋体"/>
                <w:b/>
                <w:kern w:val="0"/>
                <w:sz w:val="24"/>
                <w:szCs w:val="24"/>
                <w:highlight w:val="none"/>
                <w:lang w:val="en-US" w:eastAsia="zh-CN" w:bidi="ar"/>
              </w:rPr>
              <w:t>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8336" w:type="dxa"/>
            <w:noWrap w:val="0"/>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违反招标文件中载明“投标无效”或“无效投标”条款的规定。</w:t>
            </w:r>
          </w:p>
        </w:tc>
      </w:tr>
    </w:tbl>
    <w:p>
      <w:pPr>
        <w:pStyle w:val="6"/>
        <w:keepNext w:val="0"/>
        <w:keepLines w:val="0"/>
        <w:widowControl/>
        <w:suppressLineNumbers w:val="0"/>
        <w:rPr>
          <w:rFonts w:hint="eastAsia" w:ascii="宋体" w:hAnsi="宋体" w:eastAsia="宋体" w:cs="宋体"/>
          <w:spacing w:val="0"/>
          <w:sz w:val="24"/>
          <w:szCs w:val="24"/>
          <w:highlight w:val="none"/>
          <w:lang w:val="en-US" w:eastAsia="zh-CN"/>
        </w:rPr>
      </w:pPr>
      <w:r>
        <w:rPr>
          <w:rFonts w:hint="eastAsia" w:ascii="宋体" w:hAnsi="宋体" w:eastAsia="宋体" w:cs="宋体"/>
          <w:spacing w:val="0"/>
          <w:sz w:val="24"/>
          <w:szCs w:val="24"/>
          <w:highlight w:val="none"/>
          <w:lang w:val="en-US" w:eastAsia="zh-CN"/>
        </w:rPr>
        <w:t>技术符合性</w:t>
      </w:r>
    </w:p>
    <w:tbl>
      <w:tblPr>
        <w:tblStyle w:val="7"/>
        <w:tblW w:w="8336" w:type="dxa"/>
        <w:tblCellSpacing w:w="0" w:type="dxa"/>
        <w:tblInd w:w="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3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tblCellSpacing w:w="0" w:type="dxa"/>
        </w:trPr>
        <w:tc>
          <w:tcPr>
            <w:tcW w:w="8336" w:type="dxa"/>
            <w:noWrap w:val="0"/>
            <w:vAlign w:val="center"/>
          </w:tcPr>
          <w:p>
            <w:pPr>
              <w:keepNext w:val="0"/>
              <w:keepLines w:val="0"/>
              <w:widowControl/>
              <w:suppressLineNumbers w:val="0"/>
              <w:jc w:val="center"/>
              <w:rPr>
                <w:rFonts w:hint="eastAsia" w:ascii="宋体" w:hAnsi="宋体" w:eastAsia="宋体" w:cs="宋体"/>
                <w:b/>
                <w:sz w:val="24"/>
                <w:szCs w:val="24"/>
                <w:highlight w:val="none"/>
              </w:rPr>
            </w:pPr>
            <w:r>
              <w:rPr>
                <w:rFonts w:hint="eastAsia" w:ascii="宋体" w:hAnsi="宋体" w:eastAsia="宋体" w:cs="宋体"/>
                <w:b/>
                <w:kern w:val="0"/>
                <w:sz w:val="24"/>
                <w:szCs w:val="24"/>
                <w:highlight w:val="none"/>
                <w:lang w:val="en-US" w:eastAsia="zh-CN" w:bidi="ar"/>
              </w:rPr>
              <w:t>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0" w:hRule="atLeast"/>
          <w:tblHeader/>
          <w:tblCellSpacing w:w="0" w:type="dxa"/>
        </w:trPr>
        <w:tc>
          <w:tcPr>
            <w:tcW w:w="8336" w:type="dxa"/>
            <w:noWrap w:val="0"/>
            <w:vAlign w:val="center"/>
          </w:tcPr>
          <w:p>
            <w:pPr>
              <w:keepNext w:val="0"/>
              <w:keepLines w:val="0"/>
              <w:widowControl/>
              <w:suppressLineNumbers w:val="0"/>
              <w:jc w:val="left"/>
              <w:rPr>
                <w:rFonts w:hint="eastAsia" w:ascii="宋体" w:hAnsi="宋体" w:eastAsia="宋体" w:cs="宋体"/>
                <w:b/>
                <w:kern w:val="0"/>
                <w:sz w:val="24"/>
                <w:szCs w:val="24"/>
                <w:highlight w:val="none"/>
                <w:lang w:val="en-US" w:eastAsia="zh-CN" w:bidi="ar"/>
              </w:rPr>
            </w:pPr>
            <w:r>
              <w:rPr>
                <w:rFonts w:hint="eastAsia" w:ascii="宋体" w:hAnsi="宋体" w:eastAsia="宋体" w:cs="宋体"/>
                <w:spacing w:val="0"/>
                <w:sz w:val="24"/>
                <w:szCs w:val="24"/>
                <w:highlight w:val="none"/>
                <w:lang w:val="en-US" w:eastAsia="zh-CN"/>
              </w:rPr>
              <w:t>投标人技术部分总得分少于技术部分总分值50%的，即视为技术上未实质性响应招标文件要求，按无效标处理。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8336" w:type="dxa"/>
            <w:noWrap w:val="0"/>
            <w:vAlign w:val="center"/>
          </w:tcPr>
          <w:p>
            <w:pPr>
              <w:keepNext w:val="0"/>
              <w:keepLines w:val="0"/>
              <w:widowControl/>
              <w:suppressLineNumbers w:val="0"/>
              <w:jc w:val="left"/>
              <w:rPr>
                <w:rFonts w:hint="eastAsia" w:ascii="宋体" w:hAnsi="宋体" w:eastAsia="宋体" w:cs="宋体"/>
                <w:sz w:val="24"/>
                <w:szCs w:val="24"/>
                <w:highlight w:val="none"/>
              </w:rPr>
            </w:pPr>
            <w:r>
              <w:rPr>
                <w:rFonts w:hint="eastAsia" w:ascii="宋体" w:hAnsi="宋体" w:eastAsia="宋体" w:cs="宋体"/>
                <w:spacing w:val="0"/>
                <w:sz w:val="24"/>
                <w:szCs w:val="24"/>
                <w:highlight w:val="none"/>
                <w:lang w:val="en-US" w:eastAsia="zh-CN"/>
              </w:rPr>
              <w:t>技术部分中出现报价部分的全部或部分的投标报价信息（或组成资料），视为技术符合性审查不合格,按无效投标处理。。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8336" w:type="dxa"/>
            <w:noWrap w:val="0"/>
            <w:vAlign w:val="center"/>
          </w:tcPr>
          <w:p>
            <w:pPr>
              <w:keepNext w:val="0"/>
              <w:keepLines w:val="0"/>
              <w:widowControl/>
              <w:suppressLineNumbers w:val="0"/>
              <w:jc w:val="left"/>
              <w:rPr>
                <w:rFonts w:hint="eastAsia" w:ascii="宋体" w:hAnsi="宋体" w:eastAsia="宋体" w:cs="宋体"/>
                <w:sz w:val="24"/>
                <w:szCs w:val="24"/>
                <w:highlight w:val="none"/>
              </w:rPr>
            </w:pPr>
            <w:r>
              <w:rPr>
                <w:rFonts w:hint="eastAsia" w:ascii="宋体" w:hAnsi="宋体" w:eastAsia="宋体" w:cs="宋体"/>
                <w:kern w:val="0"/>
                <w:sz w:val="24"/>
                <w:szCs w:val="24"/>
                <w:highlight w:val="none"/>
                <w:lang w:val="en-US" w:eastAsia="zh-CN" w:bidi="ar"/>
              </w:rPr>
              <w:t>违反招标文件中载明“投标无效”或“无效投标”条款的规定。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8336" w:type="dxa"/>
            <w:noWrap w:val="0"/>
            <w:vAlign w:val="center"/>
          </w:tcPr>
          <w:p>
            <w:pPr>
              <w:keepNext w:val="0"/>
              <w:keepLines w:val="0"/>
              <w:widowControl/>
              <w:suppressLineNumbers w:val="0"/>
              <w:jc w:val="left"/>
              <w:rPr>
                <w:rFonts w:hint="eastAsia" w:ascii="宋体" w:hAnsi="宋体" w:eastAsia="宋体" w:cs="宋体"/>
                <w:sz w:val="24"/>
                <w:szCs w:val="24"/>
                <w:highlight w:val="none"/>
              </w:rPr>
            </w:pPr>
            <w:r>
              <w:rPr>
                <w:rFonts w:hint="eastAsia" w:ascii="宋体" w:hAnsi="宋体" w:eastAsia="宋体" w:cs="宋体"/>
                <w:spacing w:val="0"/>
                <w:sz w:val="24"/>
                <w:szCs w:val="24"/>
                <w:highlight w:val="none"/>
                <w:lang w:val="en-US" w:eastAsia="zh-CN"/>
              </w:rPr>
              <w:t>投标人提供的投标文件不满足以“★”标示的内容要求的，按无效投标处理。</w:t>
            </w:r>
          </w:p>
        </w:tc>
      </w:tr>
    </w:tbl>
    <w:p>
      <w:pPr>
        <w:pStyle w:val="6"/>
        <w:keepNext w:val="0"/>
        <w:keepLines w:val="0"/>
        <w:widowControl/>
        <w:suppressLineNumbers w:val="0"/>
        <w:spacing w:before="75" w:beforeAutospacing="0" w:after="75" w:afterAutospacing="0"/>
        <w:ind w:left="0" w:right="0" w:firstLine="0"/>
        <w:rPr>
          <w:rFonts w:hint="eastAsia" w:ascii="宋体" w:hAnsi="宋体" w:eastAsia="宋体" w:cs="宋体"/>
          <w:spacing w:val="0"/>
          <w:sz w:val="24"/>
          <w:szCs w:val="24"/>
          <w:lang w:val="en-US" w:eastAsia="zh-CN"/>
        </w:rPr>
      </w:pPr>
    </w:p>
    <w:p>
      <w:pPr>
        <w:pStyle w:val="6"/>
        <w:keepNext w:val="0"/>
        <w:keepLines w:val="0"/>
        <w:widowControl/>
        <w:suppressLineNumbers w:val="0"/>
        <w:spacing w:before="75" w:beforeAutospacing="0" w:after="75" w:afterAutospacing="0"/>
        <w:ind w:left="0" w:right="0" w:firstLine="0"/>
        <w:rPr>
          <w:rFonts w:hint="eastAsia" w:ascii="宋体" w:hAnsi="宋体" w:eastAsia="宋体" w:cs="宋体"/>
          <w:spacing w:val="0"/>
          <w:sz w:val="24"/>
          <w:szCs w:val="24"/>
        </w:rPr>
      </w:pPr>
      <w:r>
        <w:rPr>
          <w:rFonts w:hint="eastAsia" w:ascii="宋体" w:hAnsi="宋体" w:eastAsia="宋体" w:cs="宋体"/>
          <w:spacing w:val="0"/>
          <w:sz w:val="24"/>
          <w:szCs w:val="24"/>
          <w:lang w:val="en-US" w:eastAsia="zh-CN"/>
        </w:rPr>
        <w:t>商务符合性</w:t>
      </w:r>
    </w:p>
    <w:tbl>
      <w:tblPr>
        <w:tblStyle w:val="7"/>
        <w:tblW w:w="8336" w:type="dxa"/>
        <w:tblCellSpacing w:w="0"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3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Header/>
          <w:tblCellSpacing w:w="0" w:type="dxa"/>
        </w:trPr>
        <w:tc>
          <w:tcPr>
            <w:tcW w:w="8336" w:type="dxa"/>
            <w:noWrap w:val="0"/>
            <w:vAlign w:val="center"/>
          </w:tcPr>
          <w:p>
            <w:pPr>
              <w:pStyle w:val="6"/>
              <w:keepNext w:val="0"/>
              <w:keepLines w:val="0"/>
              <w:widowControl/>
              <w:suppressLineNumbers w:val="0"/>
              <w:spacing w:before="75" w:beforeAutospacing="0" w:after="75" w:afterAutospacing="0"/>
              <w:ind w:left="0" w:right="0" w:firstLine="0"/>
              <w:jc w:val="center"/>
              <w:rPr>
                <w:rFonts w:hint="eastAsia" w:ascii="宋体" w:hAnsi="宋体" w:eastAsia="宋体" w:cs="宋体"/>
                <w:spacing w:val="0"/>
                <w:sz w:val="24"/>
                <w:szCs w:val="24"/>
              </w:rPr>
            </w:pPr>
            <w:r>
              <w:rPr>
                <w:rFonts w:hint="eastAsia" w:ascii="宋体" w:hAnsi="宋体" w:eastAsia="宋体" w:cs="宋体"/>
                <w:spacing w:val="0"/>
                <w:sz w:val="24"/>
                <w:szCs w:val="24"/>
                <w:lang w:val="en-US" w:eastAsia="zh-CN"/>
              </w:rPr>
              <w:t>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8336" w:type="dxa"/>
            <w:noWrap w:val="0"/>
            <w:vAlign w:val="center"/>
          </w:tcPr>
          <w:p>
            <w:pPr>
              <w:pStyle w:val="6"/>
              <w:keepNext w:val="0"/>
              <w:keepLines w:val="0"/>
              <w:widowControl/>
              <w:suppressLineNumbers w:val="0"/>
              <w:spacing w:before="75" w:beforeAutospacing="0" w:after="75" w:afterAutospacing="0"/>
              <w:ind w:left="0" w:right="0" w:firstLine="0"/>
              <w:rPr>
                <w:rFonts w:hint="eastAsia" w:ascii="宋体" w:hAnsi="宋体" w:eastAsia="宋体" w:cs="宋体"/>
                <w:spacing w:val="0"/>
                <w:sz w:val="24"/>
                <w:szCs w:val="24"/>
              </w:rPr>
            </w:pPr>
            <w:r>
              <w:rPr>
                <w:rFonts w:hint="eastAsia" w:ascii="宋体" w:hAnsi="宋体" w:eastAsia="宋体" w:cs="宋体"/>
                <w:spacing w:val="0"/>
                <w:sz w:val="24"/>
                <w:szCs w:val="24"/>
                <w:lang w:val="en-US" w:eastAsia="zh-CN"/>
              </w:rPr>
              <w:t>投标人的投标文件满足招标文件“第五章 三、商务条件”中的任何一项要求的商务符合性审查合格，否则商务符合性审查不合格，作为无效标处理。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8336" w:type="dxa"/>
            <w:noWrap w:val="0"/>
            <w:vAlign w:val="center"/>
          </w:tcPr>
          <w:p>
            <w:pPr>
              <w:pStyle w:val="6"/>
              <w:keepNext w:val="0"/>
              <w:keepLines w:val="0"/>
              <w:widowControl/>
              <w:suppressLineNumbers w:val="0"/>
              <w:spacing w:before="75" w:beforeAutospacing="0" w:after="75" w:afterAutospacing="0"/>
              <w:ind w:left="0" w:right="0" w:firstLine="0"/>
              <w:rPr>
                <w:rFonts w:hint="eastAsia" w:ascii="宋体" w:hAnsi="宋体" w:eastAsia="宋体" w:cs="宋体"/>
                <w:spacing w:val="0"/>
                <w:sz w:val="24"/>
                <w:szCs w:val="24"/>
                <w:lang w:val="en-US" w:eastAsia="zh-CN"/>
              </w:rPr>
            </w:pPr>
            <w:r>
              <w:rPr>
                <w:rFonts w:hint="eastAsia" w:ascii="宋体" w:hAnsi="宋体" w:eastAsia="宋体" w:cs="宋体"/>
                <w:spacing w:val="0"/>
                <w:sz w:val="24"/>
                <w:szCs w:val="24"/>
                <w:lang w:val="en-US" w:eastAsia="zh-CN"/>
              </w:rPr>
              <w:t>商务部分中出现报价部分的全部或部分的投标报价信息（或组成资料），视为商务符合性审查不合格,按无效投标处理。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8336" w:type="dxa"/>
            <w:noWrap w:val="0"/>
            <w:vAlign w:val="center"/>
          </w:tcPr>
          <w:p>
            <w:pPr>
              <w:pStyle w:val="6"/>
              <w:keepNext w:val="0"/>
              <w:keepLines w:val="0"/>
              <w:widowControl/>
              <w:suppressLineNumbers w:val="0"/>
              <w:spacing w:before="75" w:beforeAutospacing="0" w:after="75" w:afterAutospacing="0"/>
              <w:ind w:left="0" w:right="0" w:firstLine="0"/>
              <w:rPr>
                <w:rFonts w:hint="eastAsia" w:ascii="宋体" w:hAnsi="宋体" w:eastAsia="宋体" w:cs="宋体"/>
                <w:spacing w:val="0"/>
                <w:sz w:val="24"/>
                <w:szCs w:val="24"/>
                <w:lang w:val="en-US" w:eastAsia="zh-CN"/>
              </w:rPr>
            </w:pPr>
            <w:r>
              <w:rPr>
                <w:rFonts w:hint="eastAsia" w:ascii="宋体" w:hAnsi="宋体" w:eastAsia="宋体" w:cs="宋体"/>
                <w:kern w:val="0"/>
                <w:sz w:val="24"/>
                <w:szCs w:val="24"/>
                <w:highlight w:val="none"/>
                <w:lang w:val="en-US" w:eastAsia="zh-CN" w:bidi="ar"/>
              </w:rPr>
              <w:t>违反招标文件中载明“投标无效”或“无效投标”条款的规定。</w:t>
            </w:r>
          </w:p>
        </w:tc>
      </w:tr>
    </w:tbl>
    <w:p>
      <w:pPr>
        <w:pStyle w:val="6"/>
        <w:keepNext w:val="0"/>
        <w:keepLines w:val="0"/>
        <w:widowControl/>
        <w:suppressLineNumbers w:val="0"/>
        <w:spacing w:before="75" w:beforeAutospacing="0" w:after="75" w:afterAutospacing="0"/>
        <w:ind w:left="0" w:right="0" w:firstLine="0"/>
        <w:rPr>
          <w:rFonts w:hint="eastAsia" w:ascii="宋体" w:hAnsi="宋体" w:eastAsia="宋体" w:cs="宋体"/>
          <w:spacing w:val="0"/>
          <w:sz w:val="24"/>
          <w:szCs w:val="24"/>
        </w:rPr>
      </w:pPr>
      <w:r>
        <w:rPr>
          <w:rFonts w:hint="eastAsia" w:ascii="宋体" w:hAnsi="宋体" w:eastAsia="宋体" w:cs="宋体"/>
          <w:spacing w:val="0"/>
          <w:sz w:val="24"/>
          <w:szCs w:val="24"/>
          <w:lang w:val="en-US" w:eastAsia="zh-CN"/>
        </w:rPr>
        <w:t>附加符合性</w:t>
      </w:r>
    </w:p>
    <w:tbl>
      <w:tblPr>
        <w:tblStyle w:val="7"/>
        <w:tblW w:w="8336" w:type="dxa"/>
        <w:tblCellSpacing w:w="0"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3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Header/>
          <w:tblCellSpacing w:w="0" w:type="dxa"/>
        </w:trPr>
        <w:tc>
          <w:tcPr>
            <w:tcW w:w="8336" w:type="dxa"/>
            <w:noWrap w:val="0"/>
            <w:vAlign w:val="center"/>
          </w:tcPr>
          <w:p>
            <w:pPr>
              <w:pStyle w:val="6"/>
              <w:keepNext w:val="0"/>
              <w:keepLines w:val="0"/>
              <w:widowControl/>
              <w:suppressLineNumbers w:val="0"/>
              <w:spacing w:before="75" w:beforeAutospacing="0" w:after="75" w:afterAutospacing="0"/>
              <w:ind w:left="0" w:right="0" w:firstLine="0"/>
              <w:jc w:val="center"/>
              <w:rPr>
                <w:rFonts w:hint="eastAsia" w:ascii="宋体" w:hAnsi="宋体" w:eastAsia="宋体" w:cs="宋体"/>
                <w:spacing w:val="0"/>
                <w:sz w:val="24"/>
                <w:szCs w:val="24"/>
              </w:rPr>
            </w:pPr>
            <w:r>
              <w:rPr>
                <w:rFonts w:hint="eastAsia" w:ascii="宋体" w:hAnsi="宋体" w:eastAsia="宋体" w:cs="宋体"/>
                <w:spacing w:val="0"/>
                <w:sz w:val="24"/>
                <w:szCs w:val="24"/>
                <w:lang w:val="en-US" w:eastAsia="zh-CN"/>
              </w:rPr>
              <w:t>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8336" w:type="dxa"/>
            <w:noWrap w:val="0"/>
            <w:vAlign w:val="center"/>
          </w:tcPr>
          <w:p>
            <w:pPr>
              <w:pStyle w:val="6"/>
              <w:keepNext w:val="0"/>
              <w:keepLines w:val="0"/>
              <w:widowControl/>
              <w:suppressLineNumbers w:val="0"/>
              <w:spacing w:before="75" w:beforeAutospacing="0" w:after="75" w:afterAutospacing="0"/>
              <w:ind w:left="0" w:right="0" w:firstLine="0"/>
              <w:rPr>
                <w:rFonts w:hint="eastAsia" w:ascii="宋体" w:hAnsi="宋体" w:eastAsia="宋体" w:cs="宋体"/>
                <w:spacing w:val="0"/>
                <w:sz w:val="24"/>
                <w:szCs w:val="24"/>
              </w:rPr>
            </w:pPr>
            <w:r>
              <w:rPr>
                <w:rFonts w:hint="eastAsia" w:ascii="宋体" w:hAnsi="宋体" w:eastAsia="宋体" w:cs="宋体"/>
                <w:spacing w:val="0"/>
                <w:sz w:val="24"/>
                <w:szCs w:val="24"/>
                <w:lang w:val="en-US" w:eastAsia="zh-CN"/>
              </w:rPr>
              <w:t>无</w:t>
            </w:r>
          </w:p>
        </w:tc>
      </w:tr>
    </w:tbl>
    <w:p>
      <w:pPr>
        <w:pStyle w:val="6"/>
        <w:keepNext w:val="0"/>
        <w:keepLines w:val="0"/>
        <w:widowControl/>
        <w:suppressLineNumbers w:val="0"/>
        <w:spacing w:before="75" w:beforeAutospacing="0" w:after="75" w:afterAutospacing="0"/>
        <w:ind w:right="0"/>
        <w:rPr>
          <w:rFonts w:hint="eastAsia" w:ascii="宋体" w:hAnsi="宋体" w:eastAsia="宋体" w:cs="宋体"/>
          <w:spacing w:val="0"/>
          <w:sz w:val="24"/>
          <w:szCs w:val="24"/>
          <w:lang w:val="en-US" w:eastAsia="zh-CN"/>
        </w:rPr>
      </w:pPr>
      <w:r>
        <w:rPr>
          <w:rFonts w:hint="eastAsia" w:ascii="宋体" w:hAnsi="宋体" w:eastAsia="宋体" w:cs="宋体"/>
          <w:spacing w:val="0"/>
          <w:sz w:val="24"/>
          <w:szCs w:val="24"/>
          <w:lang w:val="en-US" w:eastAsia="zh-CN"/>
        </w:rPr>
        <w:t>价格符合性</w:t>
      </w:r>
    </w:p>
    <w:tbl>
      <w:tblPr>
        <w:tblStyle w:val="7"/>
        <w:tblW w:w="8336" w:type="dxa"/>
        <w:tblCellSpacing w:w="0"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3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Header/>
          <w:tblCellSpacing w:w="0" w:type="dxa"/>
        </w:trPr>
        <w:tc>
          <w:tcPr>
            <w:tcW w:w="8336" w:type="dxa"/>
            <w:noWrap w:val="0"/>
            <w:vAlign w:val="center"/>
          </w:tcPr>
          <w:p>
            <w:pPr>
              <w:pStyle w:val="6"/>
              <w:keepNext w:val="0"/>
              <w:keepLines w:val="0"/>
              <w:widowControl/>
              <w:suppressLineNumbers w:val="0"/>
              <w:spacing w:before="75" w:beforeAutospacing="0" w:after="75" w:afterAutospacing="0"/>
              <w:ind w:left="0" w:right="0" w:firstLine="0"/>
              <w:jc w:val="center"/>
              <w:rPr>
                <w:rFonts w:hint="eastAsia" w:ascii="宋体" w:hAnsi="宋体" w:eastAsia="宋体" w:cs="宋体"/>
                <w:spacing w:val="0"/>
                <w:sz w:val="24"/>
                <w:szCs w:val="24"/>
              </w:rPr>
            </w:pPr>
            <w:r>
              <w:rPr>
                <w:rFonts w:hint="eastAsia" w:ascii="宋体" w:hAnsi="宋体" w:eastAsia="宋体" w:cs="宋体"/>
                <w:spacing w:val="0"/>
                <w:sz w:val="24"/>
                <w:szCs w:val="24"/>
                <w:lang w:val="en-US" w:eastAsia="zh-CN"/>
              </w:rPr>
              <w:t>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8336" w:type="dxa"/>
            <w:noWrap w:val="0"/>
            <w:vAlign w:val="center"/>
          </w:tcPr>
          <w:p>
            <w:pPr>
              <w:pStyle w:val="6"/>
              <w:keepNext w:val="0"/>
              <w:keepLines w:val="0"/>
              <w:widowControl/>
              <w:suppressLineNumbers w:val="0"/>
              <w:spacing w:before="75" w:beforeAutospacing="0" w:after="75" w:afterAutospacing="0"/>
              <w:ind w:right="0"/>
              <w:rPr>
                <w:rFonts w:hint="eastAsia" w:ascii="宋体" w:hAnsi="宋体" w:eastAsia="宋体" w:cs="宋体"/>
                <w:spacing w:val="0"/>
                <w:sz w:val="24"/>
                <w:szCs w:val="24"/>
              </w:rPr>
            </w:pPr>
            <w:r>
              <w:rPr>
                <w:rFonts w:hint="eastAsia" w:ascii="宋体" w:hAnsi="宋体" w:eastAsia="宋体" w:cs="宋体"/>
                <w:spacing w:val="0"/>
                <w:sz w:val="24"/>
                <w:szCs w:val="24"/>
                <w:lang w:val="en-US" w:eastAsia="zh-CN"/>
              </w:rPr>
              <w:t>投标文件不能出现任何选择性的投标报价，即每一个合同包和品目号的采购标的都只能有一个投标报价。任何选择性的投标报价视为价格符合性审查不合格,按无效投标处理。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8336" w:type="dxa"/>
            <w:noWrap w:val="0"/>
            <w:vAlign w:val="center"/>
          </w:tcPr>
          <w:p>
            <w:pPr>
              <w:pStyle w:val="6"/>
              <w:keepNext w:val="0"/>
              <w:keepLines w:val="0"/>
              <w:widowControl/>
              <w:suppressLineNumbers w:val="0"/>
              <w:spacing w:before="75" w:beforeAutospacing="0" w:after="75" w:afterAutospacing="0"/>
              <w:ind w:right="0"/>
              <w:rPr>
                <w:rFonts w:hint="eastAsia" w:ascii="宋体" w:hAnsi="宋体" w:eastAsia="宋体" w:cs="宋体"/>
                <w:spacing w:val="0"/>
                <w:sz w:val="24"/>
                <w:szCs w:val="24"/>
                <w:lang w:val="en-US" w:eastAsia="zh-CN"/>
              </w:rPr>
            </w:pPr>
            <w:r>
              <w:rPr>
                <w:rFonts w:hint="eastAsia" w:ascii="宋体" w:hAnsi="宋体" w:eastAsia="宋体" w:cs="宋体"/>
                <w:spacing w:val="0"/>
                <w:sz w:val="24"/>
                <w:szCs w:val="24"/>
                <w:lang w:val="en-US" w:eastAsia="zh-CN"/>
              </w:rPr>
              <w:t>投标人报价超过招标文件最高限价的，视为价格符合性审查不合格,按无效投标处理。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8336" w:type="dxa"/>
            <w:noWrap w:val="0"/>
            <w:vAlign w:val="center"/>
          </w:tcPr>
          <w:p>
            <w:pPr>
              <w:pStyle w:val="6"/>
              <w:keepNext w:val="0"/>
              <w:keepLines w:val="0"/>
              <w:widowControl/>
              <w:suppressLineNumbers w:val="0"/>
              <w:spacing w:before="75" w:beforeAutospacing="0" w:after="75" w:afterAutospacing="0"/>
              <w:ind w:right="0"/>
              <w:rPr>
                <w:rFonts w:hint="eastAsia" w:ascii="宋体" w:hAnsi="宋体" w:eastAsia="宋体" w:cs="宋体"/>
                <w:spacing w:val="0"/>
                <w:sz w:val="24"/>
                <w:szCs w:val="24"/>
                <w:lang w:val="en-US" w:eastAsia="zh-CN"/>
              </w:rPr>
            </w:pPr>
            <w:r>
              <w:rPr>
                <w:rFonts w:hint="eastAsia" w:ascii="宋体" w:hAnsi="宋体" w:eastAsia="宋体" w:cs="宋体"/>
                <w:spacing w:val="0"/>
                <w:sz w:val="24"/>
                <w:szCs w:val="24"/>
                <w:lang w:val="en-US" w:eastAsia="zh-CN"/>
              </w:rPr>
              <w:t>评标委员会认为投标人的报价明显低于其他通过符合性审查投标人的报价（触发系统预警），有可能影响产品质量或不能诚信履约的，应要求其在评标现场合理的时间内提供书面说明，必要时还应要求其一并提交有关证明材料；投标人不能证明其报价合理性的，视为价格符合性审查不合格,按无效投标处理。</w:t>
            </w:r>
          </w:p>
        </w:tc>
      </w:tr>
    </w:tbl>
    <w:p>
      <w:pPr>
        <w:pStyle w:val="6"/>
        <w:keepNext w:val="0"/>
        <w:keepLines w:val="0"/>
        <w:widowControl/>
        <w:suppressLineNumbers w:val="0"/>
        <w:spacing w:before="75" w:beforeAutospacing="0" w:after="75" w:afterAutospacing="0"/>
        <w:ind w:left="0" w:right="0" w:firstLine="48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6.3澄清有关问题</w:t>
      </w:r>
    </w:p>
    <w:p>
      <w:pPr>
        <w:pStyle w:val="6"/>
        <w:keepNext w:val="0"/>
        <w:keepLines w:val="0"/>
        <w:widowControl/>
        <w:suppressLineNumbers w:val="0"/>
        <w:spacing w:before="75" w:beforeAutospacing="0" w:after="75" w:afterAutospacing="0"/>
        <w:ind w:left="0" w:righ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（1）对通过符合性审查的投标文件中含义不明确、同类问题表述不一致或有明显文字和计算错误的内容，评标委员会将以书面形式要求投标人作出必要的澄清、说明或补正。</w:t>
      </w:r>
    </w:p>
    <w:p>
      <w:pPr>
        <w:pStyle w:val="6"/>
        <w:keepNext w:val="0"/>
        <w:keepLines w:val="0"/>
        <w:widowControl/>
        <w:suppressLineNumbers w:val="0"/>
        <w:spacing w:before="75" w:beforeAutospacing="0" w:after="75" w:afterAutospacing="0"/>
        <w:ind w:left="0" w:righ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2）投标人的澄清、说明或补正应由投标人代表在评标委员会规定的时间内（一般在半个小时左右，具体要求将根据实际情况在澄清通知中约定）以书面形式向评标委员会提交，前述澄清、说明或补正不得超出投标文件的范围或改变投标文件的实质性内容。若投标人未按照前述规定向评标委员会提交书面澄清、说明或补正，则评标委员会将按照不利于投标人的内容进行认定。</w:t>
      </w:r>
    </w:p>
    <w:p>
      <w:pPr>
        <w:pStyle w:val="6"/>
        <w:keepNext w:val="0"/>
        <w:keepLines w:val="0"/>
        <w:widowControl/>
        <w:suppressLineNumbers w:val="0"/>
        <w:spacing w:before="75" w:beforeAutospacing="0" w:after="75" w:afterAutospacing="0"/>
        <w:ind w:left="0" w:right="0" w:firstLine="48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（3）投标文件报价出现前后不一致的，除招标文件另有规定外，按照下列规定修正：</w:t>
      </w:r>
    </w:p>
    <w:p>
      <w:pPr>
        <w:pStyle w:val="6"/>
        <w:keepNext w:val="0"/>
        <w:keepLines w:val="0"/>
        <w:widowControl/>
        <w:suppressLineNumbers w:val="0"/>
        <w:spacing w:before="75" w:beforeAutospacing="0" w:after="75" w:afterAutospacing="0"/>
        <w:ind w:left="0" w:right="0" w:firstLine="48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①开标一览表内容与投标文件中相应内容不一致的，以开标一览表为准；</w:t>
      </w:r>
    </w:p>
    <w:p>
      <w:pPr>
        <w:pStyle w:val="6"/>
        <w:keepNext w:val="0"/>
        <w:keepLines w:val="0"/>
        <w:widowControl/>
        <w:suppressLineNumbers w:val="0"/>
        <w:spacing w:before="75" w:beforeAutospacing="0" w:after="75" w:afterAutospacing="0"/>
        <w:ind w:left="0" w:right="0" w:firstLine="48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②大写金额和小写金额不一致的，以大写金额为准；</w:t>
      </w:r>
    </w:p>
    <w:p>
      <w:pPr>
        <w:pStyle w:val="6"/>
        <w:keepNext w:val="0"/>
        <w:keepLines w:val="0"/>
        <w:widowControl/>
        <w:suppressLineNumbers w:val="0"/>
        <w:spacing w:before="75" w:beforeAutospacing="0" w:after="75" w:afterAutospacing="0"/>
        <w:ind w:left="0" w:right="0" w:firstLine="48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③单价金额小数点或百分比有明显错位的，以开标一览表的总价为准，并修改单价；</w:t>
      </w:r>
    </w:p>
    <w:p>
      <w:pPr>
        <w:pStyle w:val="6"/>
        <w:keepNext w:val="0"/>
        <w:keepLines w:val="0"/>
        <w:widowControl/>
        <w:suppressLineNumbers w:val="0"/>
        <w:spacing w:before="75" w:beforeAutospacing="0" w:after="75" w:afterAutospacing="0"/>
        <w:ind w:left="0" w:right="0" w:firstLine="48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④总价金额与按照单价汇总金额不一致的，以单价金额计算结果为准。</w:t>
      </w:r>
    </w:p>
    <w:p>
      <w:pPr>
        <w:pStyle w:val="6"/>
        <w:keepNext w:val="0"/>
        <w:keepLines w:val="0"/>
        <w:widowControl/>
        <w:suppressLineNumbers w:val="0"/>
        <w:spacing w:before="75" w:beforeAutospacing="0" w:after="75" w:afterAutospacing="0"/>
        <w:ind w:left="0" w:right="0" w:firstLine="480"/>
        <w:rPr>
          <w:rFonts w:hint="eastAsia" w:ascii="宋体" w:hAnsi="宋体" w:eastAsia="宋体" w:cs="宋体"/>
          <w:b w:val="0"/>
          <w:i w:val="0"/>
          <w:caps w:val="0"/>
          <w:color w:val="000000"/>
          <w:spacing w:val="0"/>
          <w:sz w:val="24"/>
          <w:szCs w:val="24"/>
        </w:rPr>
      </w:pPr>
      <w:r>
        <w:rPr>
          <w:rStyle w:val="10"/>
          <w:rFonts w:hint="eastAsia" w:ascii="宋体" w:hAnsi="宋体" w:eastAsia="宋体" w:cs="宋体"/>
          <w:i w:val="0"/>
          <w:caps w:val="0"/>
          <w:color w:val="000000"/>
          <w:spacing w:val="0"/>
          <w:sz w:val="24"/>
          <w:szCs w:val="24"/>
        </w:rPr>
        <w:t>※同时出现两种以上不一致的，按照前款规定的顺序修正。修正后的报价应按照本章第6.3条第（1）、（2）款规定经投标人确认后产生约束力，投标人不确认的，其投标无效。</w:t>
      </w:r>
    </w:p>
    <w:p>
      <w:pPr>
        <w:pStyle w:val="6"/>
        <w:keepNext w:val="0"/>
        <w:keepLines w:val="0"/>
        <w:widowControl/>
        <w:suppressLineNumbers w:val="0"/>
        <w:spacing w:before="75" w:beforeAutospacing="0" w:after="75" w:afterAutospacing="0"/>
        <w:ind w:left="0" w:right="0" w:firstLine="48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（4）关于细微偏差</w:t>
      </w:r>
    </w:p>
    <w:p>
      <w:pPr>
        <w:pStyle w:val="6"/>
        <w:keepNext w:val="0"/>
        <w:keepLines w:val="0"/>
        <w:widowControl/>
        <w:suppressLineNumbers w:val="0"/>
        <w:spacing w:before="75" w:beforeAutospacing="0" w:after="75" w:afterAutospacing="0"/>
        <w:ind w:left="0" w:right="0" w:firstLine="48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①细微偏差指投标文件实质性响应招标文件要求，但在个别地方存在漏项或提供了不完整的技术信息和数据等情况，并且补正这些遗漏或不完整不会对其他投标人造成不公平的结果。细微偏差不影响投标文件的有效性。</w:t>
      </w:r>
    </w:p>
    <w:p>
      <w:pPr>
        <w:pStyle w:val="6"/>
        <w:keepNext w:val="0"/>
        <w:keepLines w:val="0"/>
        <w:widowControl/>
        <w:suppressLineNumbers w:val="0"/>
        <w:spacing w:before="75" w:beforeAutospacing="0" w:after="75" w:afterAutospacing="0"/>
        <w:ind w:left="0" w:right="0" w:firstLine="48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②评标委员会将以书面形式要求存在细微偏差的投标人在评标委员会规定的时间内予以补正。若无法补正，则评标委员会将按照不利于投标人的内容进行认定。</w:t>
      </w:r>
    </w:p>
    <w:p>
      <w:pPr>
        <w:pStyle w:val="6"/>
        <w:keepNext w:val="0"/>
        <w:keepLines w:val="0"/>
        <w:widowControl/>
        <w:suppressLineNumbers w:val="0"/>
        <w:spacing w:before="75" w:beforeAutospacing="0" w:after="75" w:afterAutospacing="0"/>
        <w:ind w:left="0" w:right="0" w:firstLine="48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（5）关于投标描述（即投标文件中描述的内容）</w:t>
      </w:r>
    </w:p>
    <w:p>
      <w:pPr>
        <w:pStyle w:val="6"/>
        <w:keepNext w:val="0"/>
        <w:keepLines w:val="0"/>
        <w:widowControl/>
        <w:suppressLineNumbers w:val="0"/>
        <w:spacing w:before="75" w:beforeAutospacing="0" w:after="75" w:afterAutospacing="0"/>
        <w:ind w:left="0" w:right="0" w:firstLine="48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①投标描述前后不一致且不涉及证明材料的：按照本章第6.3条第（1）、（2）款规定执行。</w:t>
      </w:r>
    </w:p>
    <w:p>
      <w:pPr>
        <w:pStyle w:val="6"/>
        <w:keepNext w:val="0"/>
        <w:keepLines w:val="0"/>
        <w:widowControl/>
        <w:suppressLineNumbers w:val="0"/>
        <w:spacing w:before="75" w:beforeAutospacing="0" w:after="75" w:afterAutospacing="0"/>
        <w:ind w:left="0" w:right="0" w:firstLine="48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②投标描述与证明材料不一致或多份证明材料之间不一致的：</w:t>
      </w:r>
    </w:p>
    <w:p>
      <w:pPr>
        <w:pStyle w:val="6"/>
        <w:keepNext w:val="0"/>
        <w:keepLines w:val="0"/>
        <w:widowControl/>
        <w:suppressLineNumbers w:val="0"/>
        <w:spacing w:before="75" w:beforeAutospacing="0" w:after="75" w:afterAutospacing="0"/>
        <w:ind w:left="0" w:right="0" w:firstLine="48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a.评标委员会将要求投标人进行书面澄清，并按照不利于投标人的内容进行评标。</w:t>
      </w:r>
    </w:p>
    <w:p>
      <w:pPr>
        <w:pStyle w:val="6"/>
        <w:keepNext w:val="0"/>
        <w:keepLines w:val="0"/>
        <w:widowControl/>
        <w:suppressLineNumbers w:val="0"/>
        <w:spacing w:before="75" w:beforeAutospacing="0" w:after="75" w:afterAutospacing="0"/>
        <w:ind w:left="0" w:right="0" w:firstLine="48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b.投标人按照要求进行澄清的，采购人以澄清内容为准进行验收；投标人未按照要求进行澄清的，采购人以投标描述或证明材料中有利于采购人的内容进行验收。投标人应对证明材料的真实性、有效性承担责任。</w:t>
      </w:r>
    </w:p>
    <w:p>
      <w:pPr>
        <w:pStyle w:val="6"/>
        <w:keepNext w:val="0"/>
        <w:keepLines w:val="0"/>
        <w:widowControl/>
        <w:suppressLineNumbers w:val="0"/>
        <w:spacing w:before="75" w:beforeAutospacing="0" w:after="75" w:afterAutospacing="0"/>
        <w:ind w:left="0" w:right="0" w:firstLine="48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③若中标人的投标描述存在前后不一致、与证明材料不一致或多份证明材料之间不一致情形之一但在评标中未能发现，则采购人将以投标描述或证明材料中有利于采购人的内容进行验收，中标人应自行承担由此产生的风险及费用。</w:t>
      </w:r>
    </w:p>
    <w:p>
      <w:pPr>
        <w:pStyle w:val="6"/>
        <w:keepNext w:val="0"/>
        <w:keepLines w:val="0"/>
        <w:widowControl/>
        <w:suppressLineNumbers w:val="0"/>
        <w:spacing w:before="75" w:beforeAutospacing="0" w:after="75" w:afterAutospacing="0"/>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6.4比较与评价</w:t>
      </w:r>
    </w:p>
    <w:p>
      <w:pPr>
        <w:pStyle w:val="6"/>
        <w:keepNext w:val="0"/>
        <w:keepLines w:val="0"/>
        <w:widowControl/>
        <w:suppressLineNumbers w:val="0"/>
        <w:spacing w:before="75" w:beforeAutospacing="0" w:after="75" w:afterAutospacing="0"/>
        <w:ind w:left="0" w:right="0" w:firstLine="48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（1）按照本章第7条载明的评标方法和标准，对符合性审查合格的投标文件进行比较与评价。</w:t>
      </w:r>
    </w:p>
    <w:p>
      <w:pPr>
        <w:pStyle w:val="6"/>
        <w:keepNext w:val="0"/>
        <w:keepLines w:val="0"/>
        <w:widowControl/>
        <w:suppressLineNumbers w:val="0"/>
        <w:spacing w:before="75" w:beforeAutospacing="0" w:after="75" w:afterAutospacing="0"/>
        <w:ind w:left="0" w:right="0" w:firstLine="48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（2）关于相同品牌产品</w:t>
      </w:r>
      <w:r>
        <w:rPr>
          <w:rStyle w:val="10"/>
          <w:rFonts w:hint="eastAsia" w:ascii="宋体" w:hAnsi="宋体" w:eastAsia="宋体" w:cs="宋体"/>
          <w:i w:val="0"/>
          <w:caps w:val="0"/>
          <w:color w:val="000000"/>
          <w:spacing w:val="0"/>
          <w:sz w:val="24"/>
          <w:szCs w:val="24"/>
        </w:rPr>
        <w:t>（政府采购服务类项目不适用本条款规定）</w:t>
      </w:r>
    </w:p>
    <w:p>
      <w:pPr>
        <w:pStyle w:val="6"/>
        <w:keepNext w:val="0"/>
        <w:keepLines w:val="0"/>
        <w:widowControl/>
        <w:suppressLineNumbers w:val="0"/>
        <w:spacing w:before="75" w:beforeAutospacing="0" w:after="75" w:afterAutospacing="0"/>
        <w:ind w:left="0" w:right="0" w:firstLine="48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①采用最低评标价法的，提供相同品牌产品的不同投标人参加同一合同项下投标的，以其中通过资格审查、符合性审查且报价最低的参加评标；报价相同的，由评标委员会按照下列方式确定一个参加评标的投标人：</w:t>
      </w:r>
    </w:p>
    <w:p>
      <w:pPr>
        <w:pStyle w:val="6"/>
        <w:keepNext w:val="0"/>
        <w:keepLines w:val="0"/>
        <w:widowControl/>
        <w:suppressLineNumbers w:val="0"/>
        <w:spacing w:before="75" w:beforeAutospacing="0" w:after="75" w:afterAutospacing="0"/>
        <w:ind w:left="0" w:right="0" w:firstLine="48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a.招标文件规定的方式：</w:t>
      </w:r>
      <w:r>
        <w:rPr>
          <w:rFonts w:hint="eastAsia" w:ascii="宋体" w:hAnsi="宋体" w:eastAsia="宋体" w:cs="宋体"/>
          <w:b w:val="0"/>
          <w:i w:val="0"/>
          <w:caps w:val="0"/>
          <w:color w:val="000000"/>
          <w:spacing w:val="0"/>
          <w:sz w:val="24"/>
          <w:szCs w:val="24"/>
          <w:u w:val="single"/>
        </w:rPr>
        <w:t>无。</w:t>
      </w:r>
      <w:r>
        <w:rPr>
          <w:rFonts w:hint="eastAsia" w:ascii="宋体" w:hAnsi="宋体" w:eastAsia="宋体" w:cs="宋体"/>
          <w:b w:val="0"/>
          <w:i w:val="0"/>
          <w:caps w:val="0"/>
          <w:color w:val="000000"/>
          <w:spacing w:val="0"/>
          <w:sz w:val="24"/>
          <w:szCs w:val="24"/>
        </w:rPr>
        <w:t>。</w:t>
      </w:r>
    </w:p>
    <w:p>
      <w:pPr>
        <w:pStyle w:val="6"/>
        <w:keepNext w:val="0"/>
        <w:keepLines w:val="0"/>
        <w:widowControl/>
        <w:suppressLineNumbers w:val="0"/>
        <w:spacing w:before="75" w:beforeAutospacing="0" w:after="75" w:afterAutospacing="0"/>
        <w:ind w:left="0" w:right="0" w:firstLine="48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b.招标文件未规定的，采取随机抽取方式确定，其他</w:t>
      </w:r>
      <w:r>
        <w:rPr>
          <w:rStyle w:val="10"/>
          <w:rFonts w:hint="eastAsia" w:ascii="宋体" w:hAnsi="宋体" w:eastAsia="宋体" w:cs="宋体"/>
          <w:i w:val="0"/>
          <w:caps w:val="0"/>
          <w:color w:val="000000"/>
          <w:spacing w:val="0"/>
          <w:sz w:val="24"/>
          <w:szCs w:val="24"/>
        </w:rPr>
        <w:t>投标无效。</w:t>
      </w:r>
    </w:p>
    <w:p>
      <w:pPr>
        <w:pStyle w:val="6"/>
        <w:keepNext w:val="0"/>
        <w:keepLines w:val="0"/>
        <w:widowControl/>
        <w:suppressLineNumbers w:val="0"/>
        <w:spacing w:before="75" w:beforeAutospacing="0" w:after="75" w:afterAutospacing="0"/>
        <w:ind w:left="0" w:right="0" w:firstLine="48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②采用综合评分法的，提供相同品牌产品且通过资格审查、符合性审查的不同投标人参加同一合同项下投标的，按一家投标人计算，评审后得分最高的同品牌投标人作为中标候选人推荐；评审得分相同的，由评标委员会按照下列方式确定一个投标人作为中标候选人推荐：</w:t>
      </w:r>
    </w:p>
    <w:p>
      <w:pPr>
        <w:pStyle w:val="6"/>
        <w:keepNext w:val="0"/>
        <w:keepLines w:val="0"/>
        <w:widowControl/>
        <w:suppressLineNumbers w:val="0"/>
        <w:spacing w:before="75" w:beforeAutospacing="0" w:after="75" w:afterAutospacing="0"/>
        <w:ind w:left="0" w:right="0" w:firstLine="48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a.招标文件规定的方式：</w:t>
      </w:r>
      <w:r>
        <w:rPr>
          <w:rFonts w:hint="eastAsia" w:ascii="宋体" w:hAnsi="宋体" w:eastAsia="宋体" w:cs="宋体"/>
          <w:b w:val="0"/>
          <w:i w:val="0"/>
          <w:caps w:val="0"/>
          <w:color w:val="000000"/>
          <w:spacing w:val="0"/>
          <w:sz w:val="24"/>
          <w:szCs w:val="24"/>
          <w:u w:val="single"/>
        </w:rPr>
        <w:t>无。</w:t>
      </w:r>
      <w:r>
        <w:rPr>
          <w:rFonts w:hint="eastAsia" w:ascii="宋体" w:hAnsi="宋体" w:eastAsia="宋体" w:cs="宋体"/>
          <w:b w:val="0"/>
          <w:i w:val="0"/>
          <w:caps w:val="0"/>
          <w:color w:val="000000"/>
          <w:spacing w:val="0"/>
          <w:sz w:val="24"/>
          <w:szCs w:val="24"/>
        </w:rPr>
        <w:t>。</w:t>
      </w:r>
    </w:p>
    <w:p>
      <w:pPr>
        <w:pStyle w:val="6"/>
        <w:keepNext w:val="0"/>
        <w:keepLines w:val="0"/>
        <w:widowControl/>
        <w:suppressLineNumbers w:val="0"/>
        <w:spacing w:before="75" w:beforeAutospacing="0" w:after="75" w:afterAutospacing="0"/>
        <w:ind w:left="0" w:right="0" w:firstLine="48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b.招标文件未规定的，采取随机抽取方式确定，其他同品牌投标人不作为中标候选人。</w:t>
      </w:r>
    </w:p>
    <w:p>
      <w:pPr>
        <w:pStyle w:val="6"/>
        <w:keepNext w:val="0"/>
        <w:keepLines w:val="0"/>
        <w:widowControl/>
        <w:suppressLineNumbers w:val="0"/>
        <w:spacing w:before="75" w:beforeAutospacing="0" w:after="75" w:afterAutospacing="0"/>
        <w:ind w:left="0" w:right="0" w:firstLine="48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③非单一产品采购项目，多家投标人提供的核心产品品牌相同的，按照本章第6.4条第（2）款第①、②规定处理。</w:t>
      </w:r>
    </w:p>
    <w:p>
      <w:pPr>
        <w:pStyle w:val="6"/>
        <w:keepNext w:val="0"/>
        <w:keepLines w:val="0"/>
        <w:widowControl/>
        <w:suppressLineNumbers w:val="0"/>
        <w:spacing w:before="75" w:beforeAutospacing="0" w:after="75" w:afterAutospacing="0"/>
        <w:ind w:left="0" w:right="0" w:firstLine="48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（3）漏（缺）项</w:t>
      </w:r>
    </w:p>
    <w:p>
      <w:pPr>
        <w:pStyle w:val="6"/>
        <w:keepNext w:val="0"/>
        <w:keepLines w:val="0"/>
        <w:widowControl/>
        <w:suppressLineNumbers w:val="0"/>
        <w:spacing w:before="75" w:beforeAutospacing="0" w:after="75" w:afterAutospacing="0"/>
        <w:ind w:left="0" w:right="0" w:firstLine="48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①招标文件中要求列入报价的费用（含配置、功能），漏（缺）项的报价视为已经包括在投标总价中。</w:t>
      </w:r>
    </w:p>
    <w:p>
      <w:pPr>
        <w:pStyle w:val="6"/>
        <w:keepNext w:val="0"/>
        <w:keepLines w:val="0"/>
        <w:widowControl/>
        <w:suppressLineNumbers w:val="0"/>
        <w:spacing w:before="75" w:beforeAutospacing="0" w:after="75" w:afterAutospacing="0"/>
        <w:ind w:left="0" w:right="0" w:firstLine="48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②对多报项及赠送项的价格评标时不予核减，全部进入评标价评议。</w:t>
      </w:r>
    </w:p>
    <w:p>
      <w:pPr>
        <w:pStyle w:val="6"/>
        <w:keepNext w:val="0"/>
        <w:keepLines w:val="0"/>
        <w:widowControl/>
        <w:suppressLineNumbers w:val="0"/>
        <w:spacing w:before="75" w:beforeAutospacing="0" w:after="75" w:afterAutospacing="0"/>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6.5推荐中标候选人：详见本章第7.2条规定。</w:t>
      </w:r>
    </w:p>
    <w:p>
      <w:pPr>
        <w:pStyle w:val="6"/>
        <w:keepNext w:val="0"/>
        <w:keepLines w:val="0"/>
        <w:widowControl/>
        <w:suppressLineNumbers w:val="0"/>
        <w:spacing w:before="75" w:beforeAutospacing="0" w:after="75" w:afterAutospacing="0"/>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6.6编写评标报告</w:t>
      </w:r>
    </w:p>
    <w:p>
      <w:pPr>
        <w:pStyle w:val="6"/>
        <w:keepNext w:val="0"/>
        <w:keepLines w:val="0"/>
        <w:widowControl/>
        <w:suppressLineNumbers w:val="0"/>
        <w:spacing w:before="75" w:beforeAutospacing="0" w:after="75" w:afterAutospacing="0"/>
        <w:ind w:left="0" w:right="0" w:firstLine="48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（1）评标报告由评标委员会负责编写。</w:t>
      </w:r>
    </w:p>
    <w:p>
      <w:pPr>
        <w:pStyle w:val="6"/>
        <w:keepNext w:val="0"/>
        <w:keepLines w:val="0"/>
        <w:widowControl/>
        <w:suppressLineNumbers w:val="0"/>
        <w:spacing w:before="75" w:beforeAutospacing="0" w:after="75" w:afterAutospacing="0"/>
        <w:ind w:left="0" w:right="0" w:firstLine="48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（2）评标报告应包括下列内容：</w:t>
      </w:r>
    </w:p>
    <w:p>
      <w:pPr>
        <w:pStyle w:val="6"/>
        <w:keepNext w:val="0"/>
        <w:keepLines w:val="0"/>
        <w:widowControl/>
        <w:suppressLineNumbers w:val="0"/>
        <w:spacing w:before="75" w:beforeAutospacing="0" w:after="75" w:afterAutospacing="0"/>
        <w:ind w:left="0" w:right="0" w:firstLine="48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①招标公告刊登的媒体名称、开标日期和地点；</w:t>
      </w:r>
    </w:p>
    <w:p>
      <w:pPr>
        <w:pStyle w:val="6"/>
        <w:keepNext w:val="0"/>
        <w:keepLines w:val="0"/>
        <w:widowControl/>
        <w:suppressLineNumbers w:val="0"/>
        <w:spacing w:before="75" w:beforeAutospacing="0" w:after="75" w:afterAutospacing="0"/>
        <w:ind w:left="0" w:right="0" w:firstLine="48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②投标人名单和评标委员会成员名单；</w:t>
      </w:r>
    </w:p>
    <w:p>
      <w:pPr>
        <w:pStyle w:val="6"/>
        <w:keepNext w:val="0"/>
        <w:keepLines w:val="0"/>
        <w:widowControl/>
        <w:suppressLineNumbers w:val="0"/>
        <w:spacing w:before="75" w:beforeAutospacing="0" w:after="75" w:afterAutospacing="0"/>
        <w:ind w:left="0" w:right="0" w:firstLine="48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③评标方法和标准；</w:t>
      </w:r>
    </w:p>
    <w:p>
      <w:pPr>
        <w:pStyle w:val="6"/>
        <w:keepNext w:val="0"/>
        <w:keepLines w:val="0"/>
        <w:widowControl/>
        <w:suppressLineNumbers w:val="0"/>
        <w:spacing w:before="75" w:beforeAutospacing="0" w:after="75" w:afterAutospacing="0"/>
        <w:ind w:left="0" w:right="0" w:firstLine="48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④开标记录和评标情况及说明，包括无效投标人名单及原因；</w:t>
      </w:r>
    </w:p>
    <w:p>
      <w:pPr>
        <w:pStyle w:val="6"/>
        <w:keepNext w:val="0"/>
        <w:keepLines w:val="0"/>
        <w:widowControl/>
        <w:suppressLineNumbers w:val="0"/>
        <w:spacing w:before="75" w:beforeAutospacing="0" w:after="75" w:afterAutospacing="0"/>
        <w:ind w:left="0" w:right="0" w:firstLine="48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⑤评标结果，包括中标候选人名单或确定的中标人；</w:t>
      </w:r>
    </w:p>
    <w:p>
      <w:pPr>
        <w:pStyle w:val="6"/>
        <w:keepNext w:val="0"/>
        <w:keepLines w:val="0"/>
        <w:widowControl/>
        <w:suppressLineNumbers w:val="0"/>
        <w:spacing w:before="75" w:beforeAutospacing="0" w:after="75" w:afterAutospacing="0"/>
        <w:ind w:left="0" w:right="0" w:firstLine="48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⑥其他需要说明的情况，包括但不限于：评标过程中投标人的澄清、说明或补正，评委更换等。</w:t>
      </w:r>
    </w:p>
    <w:p>
      <w:pPr>
        <w:pStyle w:val="6"/>
        <w:keepNext w:val="0"/>
        <w:keepLines w:val="0"/>
        <w:widowControl/>
        <w:suppressLineNumbers w:val="0"/>
        <w:spacing w:before="75" w:beforeAutospacing="0" w:after="75" w:afterAutospacing="0"/>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6.7评标委员会认为投标人的报价明显低于其他通过符合性审查投标人的报价，有可能影响产品质量或不能诚信履约的，应要求其在评标现场合理的时间内提供书面说明，必要时还应要求其一并提交有关证明材料；投标人不能证明其报价合理性的，评标委员会应将其作为</w:t>
      </w:r>
      <w:r>
        <w:rPr>
          <w:rStyle w:val="10"/>
          <w:rFonts w:hint="eastAsia" w:ascii="宋体" w:hAnsi="宋体" w:eastAsia="宋体" w:cs="宋体"/>
          <w:i w:val="0"/>
          <w:caps w:val="0"/>
          <w:color w:val="000000"/>
          <w:spacing w:val="0"/>
          <w:sz w:val="24"/>
          <w:szCs w:val="24"/>
        </w:rPr>
        <w:t>投标无效</w:t>
      </w:r>
      <w:r>
        <w:rPr>
          <w:rFonts w:hint="eastAsia" w:ascii="宋体" w:hAnsi="宋体" w:eastAsia="宋体" w:cs="宋体"/>
          <w:b w:val="0"/>
          <w:i w:val="0"/>
          <w:caps w:val="0"/>
          <w:color w:val="000000"/>
          <w:spacing w:val="0"/>
          <w:sz w:val="24"/>
          <w:szCs w:val="24"/>
        </w:rPr>
        <w:t>处理。</w:t>
      </w:r>
    </w:p>
    <w:p>
      <w:pPr>
        <w:pStyle w:val="6"/>
        <w:keepNext w:val="0"/>
        <w:keepLines w:val="0"/>
        <w:widowControl/>
        <w:suppressLineNumbers w:val="0"/>
        <w:spacing w:before="75" w:beforeAutospacing="0" w:after="75" w:afterAutospacing="0"/>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6.8评委对需要共同认定的事项存在争议的，应按照少数服从多数的原则进行认定。</w:t>
      </w:r>
      <w:r>
        <w:rPr>
          <w:rStyle w:val="10"/>
          <w:rFonts w:hint="eastAsia" w:ascii="宋体" w:hAnsi="宋体" w:eastAsia="宋体" w:cs="宋体"/>
          <w:i w:val="0"/>
          <w:caps w:val="0"/>
          <w:color w:val="000000"/>
          <w:spacing w:val="0"/>
          <w:sz w:val="24"/>
          <w:szCs w:val="24"/>
        </w:rPr>
        <w:t>持不同意见的评委应在评标报告上签署不同意见及理由，否则视为同意评标报告。</w:t>
      </w:r>
    </w:p>
    <w:p>
      <w:pPr>
        <w:pStyle w:val="6"/>
        <w:keepNext w:val="0"/>
        <w:keepLines w:val="0"/>
        <w:widowControl/>
        <w:suppressLineNumbers w:val="0"/>
        <w:spacing w:before="75" w:beforeAutospacing="0" w:after="75" w:afterAutospacing="0"/>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6.9在评标过程中发现投标人有下列情形之一的，评标委员会应认定其</w:t>
      </w:r>
      <w:r>
        <w:rPr>
          <w:rStyle w:val="10"/>
          <w:rFonts w:hint="eastAsia" w:ascii="宋体" w:hAnsi="宋体" w:eastAsia="宋体" w:cs="宋体"/>
          <w:i w:val="0"/>
          <w:caps w:val="0"/>
          <w:color w:val="000000"/>
          <w:spacing w:val="0"/>
          <w:sz w:val="24"/>
          <w:szCs w:val="24"/>
        </w:rPr>
        <w:t>投标无效</w:t>
      </w:r>
      <w:r>
        <w:rPr>
          <w:rFonts w:hint="eastAsia" w:ascii="宋体" w:hAnsi="宋体" w:eastAsia="宋体" w:cs="宋体"/>
          <w:b w:val="0"/>
          <w:i w:val="0"/>
          <w:caps w:val="0"/>
          <w:color w:val="000000"/>
          <w:spacing w:val="0"/>
          <w:sz w:val="24"/>
          <w:szCs w:val="24"/>
        </w:rPr>
        <w:t>，并书面报告本项目监督管理部门：</w:t>
      </w:r>
    </w:p>
    <w:p>
      <w:pPr>
        <w:pStyle w:val="6"/>
        <w:keepNext w:val="0"/>
        <w:keepLines w:val="0"/>
        <w:widowControl/>
        <w:suppressLineNumbers w:val="0"/>
        <w:spacing w:before="75" w:beforeAutospacing="0" w:after="75" w:afterAutospacing="0"/>
        <w:ind w:left="0" w:right="0" w:firstLine="48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（1）恶意串通（包括但不限于招标文件第三章第9.7条规定情形）；</w:t>
      </w:r>
    </w:p>
    <w:p>
      <w:pPr>
        <w:pStyle w:val="6"/>
        <w:keepNext w:val="0"/>
        <w:keepLines w:val="0"/>
        <w:widowControl/>
        <w:suppressLineNumbers w:val="0"/>
        <w:spacing w:before="75" w:beforeAutospacing="0" w:after="75" w:afterAutospacing="0"/>
        <w:ind w:left="0" w:right="0" w:firstLine="48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（2）妨碍其他投标人的竞争行为；</w:t>
      </w:r>
    </w:p>
    <w:p>
      <w:pPr>
        <w:pStyle w:val="6"/>
        <w:keepNext w:val="0"/>
        <w:keepLines w:val="0"/>
        <w:widowControl/>
        <w:suppressLineNumbers w:val="0"/>
        <w:spacing w:before="75" w:beforeAutospacing="0" w:after="75" w:afterAutospacing="0"/>
        <w:ind w:left="0" w:right="0" w:firstLine="48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（3）损害采购人或其他投标人的合法权益。</w:t>
      </w:r>
    </w:p>
    <w:p>
      <w:pPr>
        <w:pStyle w:val="6"/>
        <w:keepNext w:val="0"/>
        <w:keepLines w:val="0"/>
        <w:widowControl/>
        <w:suppressLineNumbers w:val="0"/>
        <w:spacing w:before="75" w:beforeAutospacing="0" w:after="75" w:afterAutospacing="0"/>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6.10评标过程中，有下列情形之一的，应予废标：</w:t>
      </w:r>
    </w:p>
    <w:p>
      <w:pPr>
        <w:pStyle w:val="6"/>
        <w:keepNext w:val="0"/>
        <w:keepLines w:val="0"/>
        <w:widowControl/>
        <w:suppressLineNumbers w:val="0"/>
        <w:spacing w:before="75" w:beforeAutospacing="0" w:after="75" w:afterAutospacing="0"/>
        <w:ind w:left="0" w:right="0" w:firstLine="48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（1）符合性审查合格的投标人不足三家的；</w:t>
      </w:r>
    </w:p>
    <w:p>
      <w:pPr>
        <w:pStyle w:val="6"/>
        <w:keepNext w:val="0"/>
        <w:keepLines w:val="0"/>
        <w:widowControl/>
        <w:suppressLineNumbers w:val="0"/>
        <w:spacing w:before="75" w:beforeAutospacing="0" w:after="75" w:afterAutospacing="0"/>
        <w:ind w:left="0" w:right="0" w:firstLine="48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（2）有关法律、法规和规章规定废标的情形。</w:t>
      </w:r>
    </w:p>
    <w:p>
      <w:pPr>
        <w:pStyle w:val="6"/>
        <w:keepNext w:val="0"/>
        <w:keepLines w:val="0"/>
        <w:widowControl/>
        <w:suppressLineNumbers w:val="0"/>
        <w:spacing w:before="75" w:beforeAutospacing="0" w:after="75" w:afterAutospacing="0"/>
        <w:ind w:left="0" w:right="0" w:firstLine="480"/>
        <w:rPr>
          <w:rFonts w:hint="eastAsia" w:ascii="宋体" w:hAnsi="宋体" w:eastAsia="宋体" w:cs="宋体"/>
          <w:b w:val="0"/>
          <w:i w:val="0"/>
          <w:caps w:val="0"/>
          <w:color w:val="000000"/>
          <w:spacing w:val="0"/>
          <w:sz w:val="24"/>
          <w:szCs w:val="24"/>
        </w:rPr>
      </w:pPr>
      <w:r>
        <w:rPr>
          <w:rStyle w:val="10"/>
          <w:rFonts w:hint="eastAsia" w:ascii="宋体" w:hAnsi="宋体" w:eastAsia="宋体" w:cs="宋体"/>
          <w:i w:val="0"/>
          <w:caps w:val="0"/>
          <w:color w:val="000000"/>
          <w:spacing w:val="0"/>
          <w:sz w:val="24"/>
          <w:szCs w:val="24"/>
        </w:rPr>
        <w:t>※若废标，则本次采购活动结束，</w:t>
      </w:r>
      <w:r>
        <w:rPr>
          <w:rFonts w:hint="eastAsia" w:ascii="宋体" w:hAnsi="宋体" w:eastAsia="宋体" w:cs="宋体"/>
          <w:b w:val="0"/>
          <w:i w:val="0"/>
          <w:caps w:val="0"/>
          <w:color w:val="000000"/>
          <w:spacing w:val="0"/>
          <w:sz w:val="24"/>
          <w:szCs w:val="24"/>
          <w:u w:val="single"/>
          <w:lang w:val="en-US" w:eastAsia="zh-CN"/>
        </w:rPr>
        <w:t>三明天和工程管理有限公司</w:t>
      </w:r>
      <w:r>
        <w:rPr>
          <w:rStyle w:val="10"/>
          <w:rFonts w:hint="eastAsia" w:ascii="宋体" w:hAnsi="宋体" w:eastAsia="宋体" w:cs="宋体"/>
          <w:i w:val="0"/>
          <w:caps w:val="0"/>
          <w:color w:val="000000"/>
          <w:spacing w:val="0"/>
          <w:sz w:val="24"/>
          <w:szCs w:val="24"/>
        </w:rPr>
        <w:t>将依法组织后续采购活动（包括但不限于：重新招标、采用其他方式采购等）。</w:t>
      </w:r>
    </w:p>
    <w:p>
      <w:pPr>
        <w:pStyle w:val="6"/>
        <w:keepNext w:val="0"/>
        <w:keepLines w:val="0"/>
        <w:widowControl/>
        <w:suppressLineNumbers w:val="0"/>
        <w:spacing w:before="75" w:beforeAutospacing="0" w:after="75" w:afterAutospacing="0"/>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7、评标方法和标准</w:t>
      </w:r>
    </w:p>
    <w:p>
      <w:pPr>
        <w:pStyle w:val="6"/>
        <w:keepNext w:val="0"/>
        <w:keepLines w:val="0"/>
        <w:widowControl/>
        <w:suppressLineNumbers w:val="0"/>
        <w:spacing w:before="75" w:beforeAutospacing="0" w:after="75" w:afterAutospacing="0"/>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7.1评标方法： 合同包1采用综合评分法。</w:t>
      </w:r>
    </w:p>
    <w:p>
      <w:pPr>
        <w:pStyle w:val="6"/>
        <w:keepNext w:val="0"/>
        <w:keepLines w:val="0"/>
        <w:widowControl/>
        <w:suppressLineNumbers w:val="0"/>
        <w:spacing w:before="75" w:beforeAutospacing="0" w:after="75" w:afterAutospacing="0"/>
        <w:ind w:left="0" w:right="0" w:firstLine="0"/>
        <w:rPr>
          <w:rFonts w:hint="eastAsia" w:ascii="宋体" w:hAnsi="宋体" w:eastAsia="宋体" w:cs="宋体"/>
          <w:sz w:val="24"/>
          <w:szCs w:val="24"/>
        </w:rPr>
      </w:pPr>
      <w:r>
        <w:rPr>
          <w:rFonts w:hint="eastAsia" w:ascii="宋体" w:hAnsi="宋体" w:eastAsia="宋体" w:cs="宋体"/>
          <w:spacing w:val="0"/>
          <w:sz w:val="24"/>
          <w:szCs w:val="24"/>
        </w:rPr>
        <w:t>7.2评标标准</w:t>
      </w:r>
    </w:p>
    <w:p>
      <w:pPr>
        <w:pStyle w:val="6"/>
        <w:keepNext w:val="0"/>
        <w:keepLines w:val="0"/>
        <w:widowControl/>
        <w:suppressLineNumbers w:val="0"/>
        <w:spacing w:before="75" w:beforeAutospacing="0" w:after="75" w:afterAutospacing="0"/>
        <w:ind w:left="0" w:right="0" w:firstLine="0"/>
        <w:rPr>
          <w:rFonts w:hint="eastAsia" w:ascii="宋体" w:hAnsi="宋体" w:eastAsia="宋体" w:cs="宋体"/>
          <w:color w:val="393939"/>
          <w:sz w:val="24"/>
          <w:szCs w:val="24"/>
        </w:rPr>
      </w:pPr>
      <w:r>
        <w:rPr>
          <w:rFonts w:hint="eastAsia" w:ascii="宋体" w:hAnsi="宋体" w:eastAsia="宋体" w:cs="宋体"/>
          <w:spacing w:val="0"/>
          <w:sz w:val="24"/>
          <w:szCs w:val="24"/>
        </w:rPr>
        <w:t> </w:t>
      </w:r>
      <w:r>
        <w:rPr>
          <w:rStyle w:val="10"/>
          <w:rFonts w:hint="eastAsia" w:ascii="宋体" w:hAnsi="宋体" w:eastAsia="宋体" w:cs="宋体"/>
          <w:color w:val="393939"/>
          <w:sz w:val="24"/>
          <w:szCs w:val="24"/>
          <w:shd w:val="clear" w:color="auto" w:fill="FFFFFF"/>
        </w:rPr>
        <w:t>合同包1采用综合评分法</w:t>
      </w:r>
      <w:r>
        <w:rPr>
          <w:rFonts w:hint="eastAsia" w:ascii="宋体" w:hAnsi="宋体" w:eastAsia="宋体" w:cs="宋体"/>
          <w:color w:val="393939"/>
          <w:sz w:val="24"/>
          <w:szCs w:val="24"/>
          <w:shd w:val="clear" w:color="auto" w:fill="FFFFFF"/>
        </w:rPr>
        <w:t xml:space="preserve">： </w:t>
      </w:r>
    </w:p>
    <w:p>
      <w:pPr>
        <w:pStyle w:val="6"/>
        <w:keepNext w:val="0"/>
        <w:keepLines w:val="0"/>
        <w:widowControl/>
        <w:suppressLineNumbers w:val="0"/>
        <w:ind w:left="0" w:firstLine="480"/>
        <w:rPr>
          <w:rFonts w:hint="eastAsia" w:ascii="宋体" w:hAnsi="宋体" w:eastAsia="宋体" w:cs="宋体"/>
          <w:sz w:val="24"/>
          <w:szCs w:val="24"/>
        </w:rPr>
      </w:pPr>
      <w:r>
        <w:rPr>
          <w:rFonts w:hint="eastAsia" w:ascii="宋体" w:hAnsi="宋体" w:eastAsia="宋体" w:cs="宋体"/>
          <w:sz w:val="24"/>
          <w:szCs w:val="24"/>
        </w:rPr>
        <w:t xml:space="preserve">（1）投标文件满足招标文件全部实质性要求，且按照评审因素的量化指标评审得分（即评标总得分）最高的投标人为中标候选人。 </w:t>
      </w:r>
    </w:p>
    <w:p>
      <w:pPr>
        <w:pStyle w:val="6"/>
        <w:keepNext w:val="0"/>
        <w:keepLines w:val="0"/>
        <w:widowControl/>
        <w:suppressLineNumbers w:val="0"/>
        <w:ind w:left="0" w:firstLine="480"/>
        <w:rPr>
          <w:rFonts w:hint="eastAsia" w:ascii="宋体" w:hAnsi="宋体" w:eastAsia="宋体" w:cs="宋体"/>
          <w:sz w:val="24"/>
          <w:szCs w:val="24"/>
        </w:rPr>
      </w:pPr>
      <w:r>
        <w:rPr>
          <w:rFonts w:hint="eastAsia" w:ascii="宋体" w:hAnsi="宋体" w:eastAsia="宋体" w:cs="宋体"/>
          <w:sz w:val="24"/>
          <w:szCs w:val="24"/>
        </w:rPr>
        <w:t xml:space="preserve">（2）每个投标人的评标总得分FA＝F1×A1＋F2×A2＋F3×A3＋F4×A4（若有），其中：F1指价格项评审因素得分、F2指技术项评审因素得分、F3指商务项评审因素得分，A1指价格项评审因素所占的权重、A2指技术项评审因素所占的权重、A3指商务项评审因素所占的权重，A1+A2+A3=1、F1×A1＋F2×A2＋F3×A3=100分（满分时），F4×A4为加分项（即优先类节能产品、环境标志产品在采购活动中可享有的加分优惠）。 </w:t>
      </w:r>
    </w:p>
    <w:p>
      <w:pPr>
        <w:pStyle w:val="6"/>
        <w:keepNext w:val="0"/>
        <w:keepLines w:val="0"/>
        <w:widowControl/>
        <w:suppressLineNumbers w:val="0"/>
        <w:ind w:left="0" w:firstLine="480"/>
        <w:rPr>
          <w:rFonts w:hint="eastAsia" w:ascii="宋体" w:hAnsi="宋体" w:eastAsia="宋体" w:cs="宋体"/>
          <w:sz w:val="24"/>
          <w:szCs w:val="24"/>
        </w:rPr>
      </w:pPr>
      <w:r>
        <w:rPr>
          <w:rFonts w:hint="eastAsia" w:ascii="宋体" w:hAnsi="宋体" w:eastAsia="宋体" w:cs="宋体"/>
          <w:sz w:val="24"/>
          <w:szCs w:val="24"/>
        </w:rPr>
        <w:t xml:space="preserve">（3）各项评审因素的设置如下： </w:t>
      </w:r>
    </w:p>
    <w:p>
      <w:pPr>
        <w:pStyle w:val="6"/>
        <w:keepNext w:val="0"/>
        <w:keepLines w:val="0"/>
        <w:widowControl/>
        <w:suppressLineNumbers w:val="0"/>
        <w:ind w:left="0" w:firstLine="480"/>
        <w:rPr>
          <w:rFonts w:hint="eastAsia" w:ascii="宋体" w:hAnsi="宋体" w:eastAsia="宋体" w:cs="宋体"/>
          <w:sz w:val="24"/>
          <w:szCs w:val="24"/>
        </w:rPr>
      </w:pPr>
      <w:r>
        <w:rPr>
          <w:rFonts w:hint="eastAsia" w:ascii="宋体" w:hAnsi="宋体" w:eastAsia="宋体" w:cs="宋体"/>
          <w:sz w:val="24"/>
          <w:szCs w:val="24"/>
        </w:rPr>
        <w:t>①价格项（F1×A1）满分为</w:t>
      </w:r>
      <w:r>
        <w:rPr>
          <w:rFonts w:hint="eastAsia" w:ascii="宋体" w:hAnsi="宋体" w:eastAsia="宋体" w:cs="宋体"/>
          <w:sz w:val="24"/>
          <w:szCs w:val="24"/>
          <w:u w:val="single"/>
          <w:lang w:val="en-US" w:eastAsia="zh-CN"/>
        </w:rPr>
        <w:t>1</w:t>
      </w:r>
      <w:r>
        <w:rPr>
          <w:rFonts w:hint="eastAsia" w:ascii="宋体" w:hAnsi="宋体" w:eastAsia="宋体" w:cs="宋体"/>
          <w:sz w:val="24"/>
          <w:szCs w:val="24"/>
          <w:u w:val="single"/>
        </w:rPr>
        <w:t>0</w:t>
      </w:r>
      <w:r>
        <w:rPr>
          <w:rFonts w:hint="eastAsia" w:ascii="宋体" w:hAnsi="宋体" w:eastAsia="宋体" w:cs="宋体"/>
          <w:sz w:val="24"/>
          <w:szCs w:val="24"/>
        </w:rPr>
        <w:t>分。</w:t>
      </w:r>
    </w:p>
    <w:p>
      <w:pPr>
        <w:pStyle w:val="6"/>
        <w:keepNext w:val="0"/>
        <w:keepLines w:val="0"/>
        <w:widowControl/>
        <w:suppressLineNumbers w:val="0"/>
        <w:ind w:left="0" w:firstLine="480"/>
        <w:rPr>
          <w:rFonts w:hint="eastAsia" w:ascii="宋体" w:hAnsi="宋体" w:eastAsia="宋体" w:cs="宋体"/>
          <w:sz w:val="24"/>
          <w:szCs w:val="24"/>
        </w:rPr>
      </w:pPr>
      <w:r>
        <w:rPr>
          <w:rFonts w:hint="eastAsia" w:ascii="宋体" w:hAnsi="宋体" w:eastAsia="宋体" w:cs="宋体"/>
          <w:sz w:val="24"/>
          <w:szCs w:val="24"/>
        </w:rPr>
        <w:t xml:space="preserve">a.价格分采用低价优先法计算，即满足招标文件要求且投标价格最低的投标报价为评标基准价，其价格分为满分。其他投标人的价格分统一按照下列公式计算：投标报价得分=（评标基准价／投标报价）×100。因落实政府采购政策需进行价格扣除的，以扣除后的价格计算评标基准价和投标报价。 </w:t>
      </w:r>
    </w:p>
    <w:p>
      <w:pPr>
        <w:pStyle w:val="6"/>
        <w:keepNext w:val="0"/>
        <w:keepLines w:val="0"/>
        <w:widowControl/>
        <w:suppressLineNumbers w:val="0"/>
        <w:ind w:left="0" w:firstLine="480"/>
        <w:rPr>
          <w:rFonts w:hint="eastAsia" w:ascii="宋体" w:hAnsi="宋体" w:eastAsia="宋体" w:cs="宋体"/>
          <w:sz w:val="24"/>
          <w:szCs w:val="24"/>
        </w:rPr>
      </w:pPr>
      <w:r>
        <w:rPr>
          <w:rFonts w:hint="eastAsia" w:ascii="宋体" w:hAnsi="宋体" w:eastAsia="宋体" w:cs="宋体"/>
          <w:sz w:val="24"/>
          <w:szCs w:val="24"/>
        </w:rPr>
        <w:t>b.价格扣除的规则如下：</w:t>
      </w:r>
    </w:p>
    <w:tbl>
      <w:tblPr>
        <w:tblStyle w:val="7"/>
        <w:tblW w:w="8174" w:type="dxa"/>
        <w:tblCellSpacing w:w="0"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155"/>
        <w:gridCol w:w="70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Header/>
          <w:tblCellSpacing w:w="0" w:type="dxa"/>
        </w:trPr>
        <w:tc>
          <w:tcPr>
            <w:tcW w:w="1155" w:type="dxa"/>
            <w:noWrap w:val="0"/>
            <w:vAlign w:val="center"/>
          </w:tcPr>
          <w:p>
            <w:pPr>
              <w:keepNext w:val="0"/>
              <w:keepLines w:val="0"/>
              <w:widowControl/>
              <w:suppressLineNumbers w:val="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评标项目</w:t>
            </w:r>
          </w:p>
        </w:tc>
        <w:tc>
          <w:tcPr>
            <w:tcW w:w="7019" w:type="dxa"/>
            <w:noWrap w:val="0"/>
            <w:vAlign w:val="center"/>
          </w:tcPr>
          <w:p>
            <w:pPr>
              <w:keepNext w:val="0"/>
              <w:keepLines w:val="0"/>
              <w:widowControl/>
              <w:suppressLineNumbers w:val="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评标方法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1155" w:type="dxa"/>
            <w:noWrap w:val="0"/>
            <w:vAlign w:val="center"/>
          </w:tcPr>
          <w:p>
            <w:pPr>
              <w:keepNext w:val="0"/>
              <w:keepLines w:val="0"/>
              <w:widowControl/>
              <w:suppressLineNumbers w:val="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小型、微型企业，监狱企业，残疾人</w:t>
            </w:r>
          </w:p>
        </w:tc>
        <w:tc>
          <w:tcPr>
            <w:tcW w:w="7019" w:type="dxa"/>
            <w:noWrap w:val="0"/>
            <w:vAlign w:val="center"/>
          </w:tcPr>
          <w:p>
            <w:pPr>
              <w:keepNext w:val="0"/>
              <w:keepLines w:val="0"/>
              <w:widowControl/>
              <w:suppressLineNumbers w:val="0"/>
              <w:jc w:val="left"/>
              <w:rPr>
                <w:rFonts w:hint="eastAsia" w:ascii="宋体" w:hAnsi="宋体" w:eastAsia="宋体" w:cs="宋体"/>
                <w:sz w:val="24"/>
                <w:szCs w:val="24"/>
              </w:rPr>
            </w:pPr>
            <w:r>
              <w:rPr>
                <w:rFonts w:hint="eastAsia" w:ascii="宋体" w:hAnsi="宋体" w:eastAsia="宋体" w:cs="宋体"/>
                <w:sz w:val="24"/>
                <w:szCs w:val="24"/>
              </w:rPr>
              <w:t>一、根据《政府采购促进中小企业发展暂行办法》（财库[2011]181号）文件规定，对参与投标的小型和微型企业产品一次性给予优惠（评审价格扣除），对小型和微型企业参加政府采购活动，提供本企业制造的货物、承担的工程或者服务，或者提供其他小型、微型企业制造的货物。对小型和微型企业产品的价格给予6%的扣除，用扣除后的价格参与评审，获取政府采购合同后，小型、微型企业不得分包或转包给大型、中型企业，中型企业不得分包或转包给大型企业。小型、微型企业提供中型企业制造的货物的，视同为中型企业。 参加政府采购活动的小型、微型企业应当提供： （一）《中小企业声明函》及《小型、微型企业产品等统计表》（详见 “投标文件格式”）； （二）对小型、微型企业产品的企业的认定由企业所在地的县级以上中小微企业主管部门负责【提供由企业所在地的县级以上中小企业主管部门出具的属于小型、微型企业制造的产品证明】。 注：小型、微型企业应当同时符合以下条件：（1）符合中小企业划分标准；中小企业划分标准，是指国务院有关部门根据企业从业人员、营业收入、资产总额等指标制定的中小企业划型标准。（2）提供本企业制造的货物、承担的工程或者服务，或者提供其他小型、微型企业制造的货物。本项所称货物不包括使用大型、中型企业注册商标的货物。 （3）以材料中列明的投标人企业缴纳社会保险的职工总人数作为判定其是否属中小企业的依据： a.实行电子缴纳方式的，应提供投标截止时间前2个月（不含投标截止时间的当月）向税务机关网上申报成功后打印的《社会保险费申报表》、《社会保险费申报明细表》及银行出具的缴款收讫凭证复印件； b.实行现场缴纳方式的，应提供税务机关或社保机构出具的投标截止时间前2个月（不含投标截止时间的当月）缴纳社会保险资金证明材料。 二、根据财政部、司法部联合印发《关于政府采购支持监狱企业发展有关问题的通知》（财库【2014】68号）文件规定，凡监狱企业参加政府采购活动视同小型、微型企业，享受评审价格扣除的政府采购优惠政策。此次若有监狱企业参与投标，其报价享受6%的价格扣除，且无需提供上述所要求的证明材料，但必须提供由省级以上监狱管理局、戒毒管理局（含新疆生产建设兵团）出具的属于监狱企业的证明文件，否则评审时不予价格扣除优惠。 三、《三部门联合发布关于促进残疾人就业政府采购政策的通知》价格的扣除： 1、根据财政部、民政部、中国残疾人联合会印发的《三部门联合发布关于促进残疾人就业政府采购政策的通知》财库〔2017〕141号和福建省财政厅、福建省民政厅、福建省残疾人联合会印发的《关于进一步落实政府采购支持残疾人就业政策的通知》，依照《政府采购法》、《残疾人保障法》等法律法规及相关规定，享受政府采购支持政策的残疾人福利性单位应当同时满足以下条件： (1)安置的残疾人占本单位在职职工人数的比例不低于25%(含25%)，并且安置的残疾人人数不少于10人(含10人)； (2)依法与安置的每位残疾人签订了一年以上(含一年)的劳动合同或服务协议； (3)为安置的每位残疾人按月足额缴纳了基本养老保险、基本医疗保险、失业保险、工伤保险和生育保险等社会保险费； (4)通过银行等金融机构向安置的每位残疾人，按月支付了不低于单位所在区县适用的经省级人民政府批准的月最低工资标准的工资； (5)提供本单位制造的货物、承担的工程或者服务(以下简称产品)，或者提供其他残疾人福利性单位制造的货物(不包括使用非残疾人福利性单位注册商标的货物)。 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者服务协议的雇员人数。 2、符合条件的残疾人福利性单位在参加政府采购活动时，应当提供《三部门联合发布关于促进残疾人就业政府采购政策的通知》规定的《残疾人福利性单位声明函》及《小型、微型企业产品等统计表》（详见 “投标文件格式”），并对声明的真实性负责。 3、在政府采购活动中，残疾人福利性单位视同小型、微型企业，其报价享受6%的价格扣除。残疾人福利性单位属于小型、微型企业的，不重复享受政策。</w:t>
            </w:r>
          </w:p>
        </w:tc>
      </w:tr>
    </w:tbl>
    <w:p>
      <w:pPr>
        <w:pStyle w:val="6"/>
        <w:keepNext w:val="0"/>
        <w:keepLines w:val="0"/>
        <w:widowControl/>
        <w:suppressLineNumbers w:val="0"/>
        <w:ind w:left="0" w:firstLine="480"/>
        <w:rPr>
          <w:rFonts w:hint="eastAsia" w:ascii="宋体" w:hAnsi="宋体" w:eastAsia="宋体" w:cs="宋体"/>
          <w:sz w:val="24"/>
          <w:szCs w:val="24"/>
        </w:rPr>
      </w:pPr>
      <w:r>
        <w:rPr>
          <w:rFonts w:hint="eastAsia" w:ascii="宋体" w:hAnsi="宋体" w:eastAsia="宋体" w:cs="宋体"/>
          <w:sz w:val="24"/>
          <w:szCs w:val="24"/>
        </w:rPr>
        <w:t>②技术项（F2×A2）满分为</w:t>
      </w:r>
      <w:r>
        <w:rPr>
          <w:rFonts w:hint="eastAsia" w:ascii="宋体" w:hAnsi="宋体" w:eastAsia="宋体" w:cs="宋体"/>
          <w:sz w:val="24"/>
          <w:szCs w:val="24"/>
          <w:u w:val="single"/>
          <w:lang w:val="en-US" w:eastAsia="zh-CN"/>
        </w:rPr>
        <w:t>6</w:t>
      </w:r>
      <w:r>
        <w:rPr>
          <w:rFonts w:hint="eastAsia" w:ascii="宋体" w:hAnsi="宋体" w:eastAsia="宋体" w:cs="宋体"/>
          <w:sz w:val="24"/>
          <w:szCs w:val="24"/>
          <w:u w:val="single"/>
        </w:rPr>
        <w:t>5</w:t>
      </w:r>
      <w:r>
        <w:rPr>
          <w:rFonts w:hint="eastAsia" w:ascii="宋体" w:hAnsi="宋体" w:eastAsia="宋体" w:cs="宋体"/>
          <w:sz w:val="24"/>
          <w:szCs w:val="24"/>
        </w:rPr>
        <w:t>分。</w:t>
      </w:r>
    </w:p>
    <w:tbl>
      <w:tblPr>
        <w:tblStyle w:val="7"/>
        <w:tblW w:w="820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338"/>
        <w:gridCol w:w="1010"/>
        <w:gridCol w:w="5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0" w:hRule="atLeast"/>
        </w:trPr>
        <w:tc>
          <w:tcPr>
            <w:tcW w:w="1338" w:type="dxa"/>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评标项目</w:t>
            </w:r>
          </w:p>
        </w:tc>
        <w:tc>
          <w:tcPr>
            <w:tcW w:w="1010"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评标分值</w:t>
            </w:r>
          </w:p>
        </w:tc>
        <w:tc>
          <w:tcPr>
            <w:tcW w:w="5853" w:type="dxa"/>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评标方法描述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70" w:hRule="atLeast"/>
        </w:trPr>
        <w:tc>
          <w:tcPr>
            <w:tcW w:w="1338" w:type="dxa"/>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技术条款响应程度</w:t>
            </w:r>
          </w:p>
        </w:tc>
        <w:tc>
          <w:tcPr>
            <w:tcW w:w="1010"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val="en-US"/>
              </w:rPr>
            </w:pPr>
            <w:r>
              <w:rPr>
                <w:rFonts w:hint="eastAsia" w:ascii="宋体" w:hAnsi="宋体" w:cs="宋体"/>
                <w:i w:val="0"/>
                <w:color w:val="000000"/>
                <w:kern w:val="0"/>
                <w:sz w:val="24"/>
                <w:szCs w:val="24"/>
                <w:u w:val="none"/>
                <w:lang w:val="en-US" w:eastAsia="zh-CN" w:bidi="ar"/>
              </w:rPr>
              <w:t>9</w:t>
            </w:r>
          </w:p>
        </w:tc>
        <w:tc>
          <w:tcPr>
            <w:tcW w:w="5853" w:type="dxa"/>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cs="宋体"/>
                <w:i w:val="0"/>
                <w:color w:val="000000"/>
                <w:kern w:val="0"/>
                <w:sz w:val="24"/>
                <w:szCs w:val="24"/>
                <w:u w:val="none"/>
                <w:lang w:val="en-US" w:eastAsia="zh-CN" w:bidi="ar"/>
              </w:rPr>
              <w:t>根据</w:t>
            </w:r>
            <w:r>
              <w:rPr>
                <w:rFonts w:hint="eastAsia" w:ascii="宋体" w:hAnsi="宋体" w:eastAsia="宋体" w:cs="宋体"/>
                <w:i w:val="0"/>
                <w:color w:val="000000"/>
                <w:kern w:val="0"/>
                <w:sz w:val="24"/>
                <w:szCs w:val="24"/>
                <w:u w:val="none"/>
                <w:lang w:val="en-US" w:eastAsia="zh-CN" w:bidi="ar"/>
              </w:rPr>
              <w:t>投标人</w:t>
            </w:r>
            <w:r>
              <w:rPr>
                <w:rFonts w:hint="eastAsia" w:ascii="宋体" w:hAnsi="宋体" w:cs="宋体"/>
                <w:i w:val="0"/>
                <w:color w:val="000000"/>
                <w:kern w:val="0"/>
                <w:sz w:val="24"/>
                <w:szCs w:val="24"/>
                <w:u w:val="none"/>
                <w:lang w:val="en-US" w:eastAsia="zh-CN" w:bidi="ar"/>
              </w:rPr>
              <w:t>对招标文件第五章 二、</w:t>
            </w:r>
            <w:r>
              <w:rPr>
                <w:rFonts w:hint="eastAsia" w:ascii="宋体" w:hAnsi="宋体" w:eastAsia="宋体" w:cs="宋体"/>
                <w:spacing w:val="0"/>
                <w:sz w:val="24"/>
                <w:szCs w:val="24"/>
                <w:highlight w:val="none"/>
              </w:rPr>
              <w:t>技术和服务要求</w:t>
            </w:r>
            <w:r>
              <w:rPr>
                <w:rFonts w:hint="eastAsia" w:ascii="宋体" w:hAnsi="宋体" w:cs="宋体"/>
                <w:spacing w:val="0"/>
                <w:sz w:val="24"/>
                <w:szCs w:val="24"/>
                <w:highlight w:val="none"/>
                <w:lang w:eastAsia="zh-CN"/>
              </w:rPr>
              <w:t>的</w:t>
            </w:r>
            <w:r>
              <w:rPr>
                <w:rFonts w:hint="eastAsia" w:ascii="宋体" w:hAnsi="宋体" w:eastAsia="宋体" w:cs="宋体"/>
                <w:i w:val="0"/>
                <w:color w:val="000000"/>
                <w:kern w:val="0"/>
                <w:sz w:val="24"/>
                <w:szCs w:val="24"/>
                <w:u w:val="none"/>
                <w:lang w:val="en-US" w:eastAsia="zh-CN" w:bidi="ar"/>
              </w:rPr>
              <w:t>响应</w:t>
            </w:r>
            <w:r>
              <w:rPr>
                <w:rFonts w:hint="eastAsia" w:ascii="宋体" w:hAnsi="宋体" w:cs="宋体"/>
                <w:i w:val="0"/>
                <w:color w:val="000000"/>
                <w:kern w:val="0"/>
                <w:sz w:val="24"/>
                <w:szCs w:val="24"/>
                <w:u w:val="none"/>
                <w:lang w:val="en-US" w:eastAsia="zh-CN" w:bidi="ar"/>
              </w:rPr>
              <w:t>情况进行打分，完全响应的</w:t>
            </w:r>
            <w:r>
              <w:rPr>
                <w:rFonts w:hint="eastAsia" w:ascii="宋体" w:hAnsi="宋体" w:eastAsia="宋体" w:cs="宋体"/>
                <w:i w:val="0"/>
                <w:color w:val="000000"/>
                <w:kern w:val="0"/>
                <w:sz w:val="24"/>
                <w:szCs w:val="24"/>
                <w:u w:val="none"/>
                <w:lang w:val="en-US" w:eastAsia="zh-CN" w:bidi="ar"/>
              </w:rPr>
              <w:t>得</w:t>
            </w:r>
            <w:r>
              <w:rPr>
                <w:rStyle w:val="12"/>
                <w:rFonts w:hint="eastAsia" w:ascii="宋体" w:hAnsi="宋体" w:cs="宋体"/>
                <w:lang w:val="en-US" w:eastAsia="zh-CN" w:bidi="ar"/>
              </w:rPr>
              <w:t>10</w:t>
            </w:r>
            <w:r>
              <w:rPr>
                <w:rStyle w:val="12"/>
                <w:rFonts w:hint="eastAsia" w:ascii="宋体" w:hAnsi="宋体" w:eastAsia="宋体" w:cs="宋体"/>
                <w:lang w:val="en-US" w:eastAsia="zh-CN" w:bidi="ar"/>
              </w:rPr>
              <w:t>分</w:t>
            </w:r>
            <w:r>
              <w:rPr>
                <w:rStyle w:val="12"/>
                <w:rFonts w:hint="eastAsia" w:ascii="宋体" w:hAnsi="宋体" w:cs="宋体"/>
                <w:lang w:val="en-US" w:eastAsia="zh-CN" w:bidi="ar"/>
              </w:rPr>
              <w:t>，无偏离或正偏离不加分，每负偏离一项</w:t>
            </w:r>
            <w:r>
              <w:rPr>
                <w:rStyle w:val="12"/>
                <w:rFonts w:hint="eastAsia" w:ascii="宋体" w:hAnsi="宋体" w:eastAsia="宋体" w:cs="宋体"/>
                <w:lang w:val="en-US" w:eastAsia="zh-CN" w:bidi="ar"/>
              </w:rPr>
              <w:t>扣0.</w:t>
            </w:r>
            <w:r>
              <w:rPr>
                <w:rStyle w:val="12"/>
                <w:rFonts w:hint="eastAsia" w:ascii="宋体" w:hAnsi="宋体" w:cs="宋体"/>
                <w:lang w:val="en-US" w:eastAsia="zh-CN" w:bidi="ar"/>
              </w:rPr>
              <w:t>2</w:t>
            </w:r>
            <w:r>
              <w:rPr>
                <w:rStyle w:val="12"/>
                <w:rFonts w:hint="eastAsia" w:ascii="宋体" w:hAnsi="宋体" w:eastAsia="宋体" w:cs="宋体"/>
                <w:lang w:val="en-US" w:eastAsia="zh-CN" w:bidi="ar"/>
              </w:rPr>
              <w:t>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010" w:hRule="atLeast"/>
        </w:trPr>
        <w:tc>
          <w:tcPr>
            <w:tcW w:w="1338" w:type="dxa"/>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道路清扫保洁作业方案、公厕保洁方案</w:t>
            </w:r>
            <w:r>
              <w:rPr>
                <w:rFonts w:hint="eastAsia" w:ascii="宋体" w:hAnsi="宋体" w:cs="宋体"/>
                <w:i w:val="0"/>
                <w:color w:val="000000"/>
                <w:kern w:val="0"/>
                <w:sz w:val="24"/>
                <w:szCs w:val="24"/>
                <w:u w:val="none"/>
                <w:lang w:val="en-US" w:eastAsia="zh-CN" w:bidi="ar"/>
              </w:rPr>
              <w:t>、</w:t>
            </w:r>
            <w:r>
              <w:rPr>
                <w:rFonts w:hint="eastAsia" w:ascii="宋体" w:hAnsi="宋体" w:eastAsia="宋体" w:cs="宋体"/>
                <w:i w:val="0"/>
                <w:color w:val="000000"/>
                <w:kern w:val="0"/>
                <w:sz w:val="24"/>
                <w:szCs w:val="24"/>
                <w:u w:val="none"/>
                <w:lang w:val="en-US" w:eastAsia="zh-CN" w:bidi="ar"/>
              </w:rPr>
              <w:t>河道保洁</w:t>
            </w:r>
            <w:r>
              <w:rPr>
                <w:rFonts w:hint="eastAsia" w:ascii="宋体" w:hAnsi="宋体" w:cs="宋体"/>
                <w:i w:val="0"/>
                <w:color w:val="000000"/>
                <w:kern w:val="0"/>
                <w:sz w:val="24"/>
                <w:szCs w:val="24"/>
                <w:u w:val="none"/>
                <w:lang w:val="en-US" w:eastAsia="zh-CN" w:bidi="ar"/>
              </w:rPr>
              <w:t>等</w:t>
            </w:r>
            <w:r>
              <w:rPr>
                <w:rFonts w:hint="eastAsia" w:ascii="宋体" w:hAnsi="宋体" w:eastAsia="宋体" w:cs="宋体"/>
                <w:i w:val="0"/>
                <w:color w:val="000000"/>
                <w:kern w:val="0"/>
                <w:sz w:val="24"/>
                <w:szCs w:val="24"/>
                <w:u w:val="none"/>
                <w:lang w:val="en-US" w:eastAsia="zh-CN" w:bidi="ar"/>
              </w:rPr>
              <w:t>方案</w:t>
            </w:r>
          </w:p>
        </w:tc>
        <w:tc>
          <w:tcPr>
            <w:tcW w:w="1010"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5853" w:type="dxa"/>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投标人根据招标文件中的要求及项目当地实际情况，在符合用户需求中保洁作业相关要求的前提下根据自身经验进行优化设计，制定详细道路清扫保洁作业方案、公厕保洁方案</w:t>
            </w:r>
            <w:r>
              <w:rPr>
                <w:rFonts w:hint="eastAsia" w:ascii="宋体" w:hAnsi="宋体" w:cs="宋体"/>
                <w:i w:val="0"/>
                <w:color w:val="000000"/>
                <w:kern w:val="0"/>
                <w:sz w:val="24"/>
                <w:szCs w:val="24"/>
                <w:u w:val="none"/>
                <w:lang w:val="en-US" w:eastAsia="zh-CN" w:bidi="ar"/>
              </w:rPr>
              <w:t>、</w:t>
            </w:r>
            <w:r>
              <w:rPr>
                <w:rFonts w:hint="eastAsia" w:ascii="宋体" w:hAnsi="宋体" w:eastAsia="宋体" w:cs="宋体"/>
                <w:i w:val="0"/>
                <w:color w:val="000000"/>
                <w:kern w:val="0"/>
                <w:sz w:val="24"/>
                <w:szCs w:val="24"/>
                <w:u w:val="none"/>
                <w:lang w:val="en-US" w:eastAsia="zh-CN" w:bidi="ar"/>
              </w:rPr>
              <w:t>河道保洁方案、牛皮癣清理、果皮箱清洗及护栏清洗保洁方案，应包含但不限于道路的机械与人工保洁、日常工作流程、作业标准、工作计划及组织实施措施、作业质量目标方案等部分的内容。根据方案的完整性、可行性与合理性进行评价, 由评标委员会进行横向评议，优的得3分，良的2分，一般的1分，未提供不得分。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65" w:hRule="atLeast"/>
        </w:trPr>
        <w:tc>
          <w:tcPr>
            <w:tcW w:w="1338" w:type="dxa"/>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生活垃圾收集转运方案</w:t>
            </w:r>
          </w:p>
        </w:tc>
        <w:tc>
          <w:tcPr>
            <w:tcW w:w="1010"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5853" w:type="dxa"/>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投标人根据项目当地实际情况提供的生活垃圾收集转运方案，应包含但不限于项目涉及的中转站的管理维护、清运车辆设备的配置数量、垃圾清运流程等内容。根据方案的完整性、可行性与合理性进行评价, 由评标委员会进行横向评议，优的得3分，良的2分，一般的1分，未提供不得分。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trPr>
        <w:tc>
          <w:tcPr>
            <w:tcW w:w="1338" w:type="dxa"/>
            <w:vMerge w:val="restart"/>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智慧环卫系统管理方案</w:t>
            </w:r>
          </w:p>
        </w:tc>
        <w:tc>
          <w:tcPr>
            <w:tcW w:w="1010" w:type="dxa"/>
            <w:vMerge w:val="restart"/>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5853" w:type="dxa"/>
            <w:vMerge w:val="restart"/>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根据各投标人所提供的智慧环卫系统管理方案的先进性、合理性及实用性情况进行评价，由评标委员会进行横向评议，优的得3分，良的2分，一般的1分，未提供不得分。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trPr>
        <w:tc>
          <w:tcPr>
            <w:tcW w:w="1338" w:type="dxa"/>
            <w:vMerge w:val="continue"/>
            <w:noWrap w:val="0"/>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1010" w:type="dxa"/>
            <w:vMerge w:val="continue"/>
            <w:noWrap w:val="0"/>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5853" w:type="dxa"/>
            <w:vMerge w:val="continue"/>
            <w:noWrap w:val="0"/>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440" w:hRule="atLeast"/>
        </w:trPr>
        <w:tc>
          <w:tcPr>
            <w:tcW w:w="1338" w:type="dxa"/>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建立健全管理规章制度</w:t>
            </w:r>
          </w:p>
        </w:tc>
        <w:tc>
          <w:tcPr>
            <w:tcW w:w="1010"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5853" w:type="dxa"/>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投标人必须建立健全的管理规章制度，应包含但不限于清扫保洁制度、生活垃圾收集转运制度、自查自检制度、各职能部门管理制度、财务管理规章制度、财务成本风险管控制度、作业人员考核制度、作业人员奖惩机制等制度。评标小组根据相关制度的完整性、可行性与合理性进行评价。由评标委员会进行横向评议，优的得3分，良的2分，一般的1分，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400" w:hRule="atLeast"/>
        </w:trPr>
        <w:tc>
          <w:tcPr>
            <w:tcW w:w="1338" w:type="dxa"/>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保障安全文明作业措施和控制措施</w:t>
            </w:r>
          </w:p>
        </w:tc>
        <w:tc>
          <w:tcPr>
            <w:tcW w:w="1010"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5853" w:type="dxa"/>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投标人根据项目当地实际情况提供的对作业人员保证安全文明作业措施和控制措施应包含但不限于</w:t>
            </w:r>
            <w:r>
              <w:rPr>
                <w:rFonts w:hint="eastAsia" w:ascii="宋体" w:hAnsi="宋体" w:cs="宋体"/>
                <w:i w:val="0"/>
                <w:color w:val="000000"/>
                <w:kern w:val="0"/>
                <w:sz w:val="24"/>
                <w:szCs w:val="24"/>
                <w:u w:val="none"/>
                <w:lang w:val="en-US" w:eastAsia="zh-CN" w:bidi="ar"/>
              </w:rPr>
              <w:t>开展道路安全教育、文明作业服务、</w:t>
            </w:r>
            <w:r>
              <w:rPr>
                <w:rFonts w:hint="eastAsia" w:ascii="宋体" w:hAnsi="宋体" w:eastAsia="宋体" w:cs="宋体"/>
                <w:i w:val="0"/>
                <w:color w:val="000000"/>
                <w:kern w:val="0"/>
                <w:sz w:val="24"/>
                <w:szCs w:val="24"/>
                <w:u w:val="none"/>
                <w:lang w:val="en-US" w:eastAsia="zh-CN" w:bidi="ar"/>
              </w:rPr>
              <w:t>安全文明作业措施、劳保用品配置方案、安全防范保障措施，根据措施的完整性、可行性与合理性进行评价, 由评标委员会进行横向评议，优的得3分，良的2分，一般的1分，未提供不得分。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400" w:hRule="atLeast"/>
        </w:trPr>
        <w:tc>
          <w:tcPr>
            <w:tcW w:w="1338" w:type="dxa"/>
            <w:noWrap w:val="0"/>
            <w:tcMar>
              <w:top w:w="15" w:type="dxa"/>
              <w:left w:w="15" w:type="dxa"/>
              <w:right w:w="15" w:type="dxa"/>
            </w:tcMar>
            <w:vAlign w:val="center"/>
          </w:tcPr>
          <w:p>
            <w:pPr>
              <w:widowControl/>
              <w:jc w:val="left"/>
              <w:textAlignment w:val="center"/>
              <w:rPr>
                <w:rFonts w:hint="eastAsia" w:ascii="宋体" w:hAnsi="宋体" w:eastAsia="宋体" w:cs="宋体"/>
                <w:i w:val="0"/>
                <w:color w:val="auto"/>
                <w:kern w:val="0"/>
                <w:sz w:val="24"/>
                <w:szCs w:val="24"/>
                <w:highlight w:val="yellow"/>
                <w:u w:val="none"/>
                <w:lang w:val="en-US" w:eastAsia="zh-CN" w:bidi="ar"/>
              </w:rPr>
            </w:pPr>
            <w:r>
              <w:rPr>
                <w:rFonts w:hint="eastAsia" w:ascii="宋体" w:hAnsi="宋体" w:cs="宋体"/>
                <w:color w:val="auto"/>
                <w:kern w:val="0"/>
                <w:sz w:val="24"/>
                <w:highlight w:val="none"/>
              </w:rPr>
              <w:t>拟配备本项目机械作业车辆管理人员证书</w:t>
            </w:r>
          </w:p>
        </w:tc>
        <w:tc>
          <w:tcPr>
            <w:tcW w:w="1010" w:type="dxa"/>
            <w:noWrap w:val="0"/>
            <w:tcMar>
              <w:top w:w="15" w:type="dxa"/>
              <w:left w:w="15" w:type="dxa"/>
              <w:right w:w="15" w:type="dxa"/>
            </w:tcMar>
            <w:vAlign w:val="center"/>
          </w:tcPr>
          <w:p>
            <w:pPr>
              <w:widowControl/>
              <w:jc w:val="center"/>
              <w:textAlignment w:val="center"/>
              <w:rPr>
                <w:rFonts w:hint="eastAsia" w:ascii="宋体" w:hAnsi="宋体" w:eastAsia="宋体" w:cs="宋体"/>
                <w:i w:val="0"/>
                <w:color w:val="auto"/>
                <w:kern w:val="0"/>
                <w:sz w:val="24"/>
                <w:szCs w:val="24"/>
                <w:highlight w:val="yellow"/>
                <w:u w:val="none"/>
                <w:lang w:val="en-US" w:eastAsia="zh-CN" w:bidi="ar"/>
              </w:rPr>
            </w:pPr>
            <w:r>
              <w:rPr>
                <w:rFonts w:hint="eastAsia" w:ascii="宋体" w:hAnsi="宋体" w:cs="宋体"/>
                <w:color w:val="auto"/>
                <w:kern w:val="0"/>
                <w:sz w:val="24"/>
                <w:highlight w:val="none"/>
              </w:rPr>
              <w:t>2</w:t>
            </w:r>
          </w:p>
        </w:tc>
        <w:tc>
          <w:tcPr>
            <w:tcW w:w="5853" w:type="dxa"/>
            <w:noWrap w:val="0"/>
            <w:tcMar>
              <w:top w:w="15" w:type="dxa"/>
              <w:left w:w="15" w:type="dxa"/>
              <w:right w:w="15" w:type="dxa"/>
            </w:tcMar>
            <w:vAlign w:val="center"/>
          </w:tcPr>
          <w:p>
            <w:pPr>
              <w:widowControl/>
              <w:jc w:val="left"/>
              <w:textAlignment w:val="center"/>
              <w:rPr>
                <w:rFonts w:hint="eastAsia" w:ascii="宋体" w:hAnsi="宋体" w:eastAsia="宋体" w:cs="宋体"/>
                <w:i w:val="0"/>
                <w:color w:val="auto"/>
                <w:kern w:val="0"/>
                <w:sz w:val="24"/>
                <w:szCs w:val="24"/>
                <w:highlight w:val="yellow"/>
                <w:u w:val="none"/>
                <w:lang w:val="en-US" w:eastAsia="zh-CN" w:bidi="ar"/>
              </w:rPr>
            </w:pPr>
            <w:r>
              <w:rPr>
                <w:rFonts w:hint="eastAsia" w:ascii="宋体" w:hAnsi="宋体" w:cs="宋体"/>
                <w:color w:val="auto"/>
                <w:kern w:val="0"/>
                <w:sz w:val="24"/>
                <w:highlight w:val="none"/>
              </w:rPr>
              <w:t>根据各投标人拟配备本项目机械作业车辆管理人员具有职业技能部门颁发的汽车维修证的得1分，具有市级或市级以上行业部门岗位技能竞赛获奖的得1分。</w:t>
            </w:r>
            <w:r>
              <w:rPr>
                <w:rFonts w:hint="eastAsia" w:ascii="宋体" w:hAnsi="宋体" w:cs="宋体"/>
                <w:color w:val="auto"/>
                <w:kern w:val="0"/>
                <w:sz w:val="24"/>
                <w:highlight w:val="none"/>
                <w:lang w:eastAsia="zh-CN"/>
              </w:rPr>
              <w:t>具有两项得</w:t>
            </w:r>
            <w:r>
              <w:rPr>
                <w:rFonts w:hint="eastAsia" w:ascii="宋体" w:hAnsi="宋体" w:cs="宋体"/>
                <w:color w:val="auto"/>
                <w:kern w:val="0"/>
                <w:sz w:val="24"/>
                <w:highlight w:val="none"/>
                <w:lang w:val="en-US" w:eastAsia="zh-CN"/>
              </w:rPr>
              <w:t>2分，具有1项得1分，未提供或者提供不全不得分。</w:t>
            </w:r>
            <w:r>
              <w:rPr>
                <w:rFonts w:hint="eastAsia" w:ascii="宋体" w:hAnsi="宋体" w:cs="宋体"/>
                <w:color w:val="auto"/>
                <w:kern w:val="0"/>
                <w:sz w:val="24"/>
                <w:highlight w:val="none"/>
              </w:rPr>
              <w:t>（需提供人员名单、证件复印件其本项目开标截止之日前连续近六个月投标单位为其缴交社保的证明材料，社保证明材料应从社保窗口或从社保系统中打印为准。）（证明材料原件须单独密封并在递交纸质投标文件时一并提交，以便评标委员会现场核查，评标结束之后归还，未提供原件的本项不得分。</w:t>
            </w:r>
            <w:r>
              <w:rPr>
                <w:rStyle w:val="12"/>
                <w:rFonts w:hint="default"/>
                <w:color w:val="auto"/>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010" w:hRule="atLeast"/>
        </w:trPr>
        <w:tc>
          <w:tcPr>
            <w:tcW w:w="1338" w:type="dxa"/>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机械作业车辆安全操作规程、作业流程、维护保养方案</w:t>
            </w:r>
          </w:p>
        </w:tc>
        <w:tc>
          <w:tcPr>
            <w:tcW w:w="1010"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5853" w:type="dxa"/>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根据各投标人针对本合同包制定的机械作业车辆安全操作规</w:t>
            </w:r>
            <w:r>
              <w:rPr>
                <w:rFonts w:hint="eastAsia" w:ascii="宋体" w:hAnsi="宋体" w:eastAsia="宋体" w:cs="宋体"/>
                <w:i w:val="0"/>
                <w:color w:val="000000"/>
                <w:kern w:val="0"/>
                <w:sz w:val="24"/>
                <w:szCs w:val="24"/>
                <w:highlight w:val="none"/>
                <w:u w:val="none"/>
                <w:lang w:val="en-US" w:eastAsia="zh-CN" w:bidi="ar"/>
              </w:rPr>
              <w:t>程、作业流程、维护保养方案、车辆安全管理方案及车辆运行管理方案进行评价，其中投标人必须提供拟投入本项目驾驶人员名单及其有效驾驶证（其中驾驶人员名单不少于30人，A证不少于</w:t>
            </w:r>
            <w:r>
              <w:rPr>
                <w:rFonts w:hint="eastAsia" w:ascii="宋体" w:hAnsi="宋体" w:cs="宋体"/>
                <w:i w:val="0"/>
                <w:color w:val="000000"/>
                <w:kern w:val="0"/>
                <w:sz w:val="24"/>
                <w:szCs w:val="24"/>
                <w:highlight w:val="none"/>
                <w:u w:val="none"/>
                <w:lang w:val="en-US" w:eastAsia="zh-CN" w:bidi="ar"/>
              </w:rPr>
              <w:t>5</w:t>
            </w:r>
            <w:r>
              <w:rPr>
                <w:rFonts w:hint="eastAsia" w:ascii="宋体" w:hAnsi="宋体" w:eastAsia="宋体" w:cs="宋体"/>
                <w:i w:val="0"/>
                <w:color w:val="000000"/>
                <w:kern w:val="0"/>
                <w:sz w:val="24"/>
                <w:szCs w:val="24"/>
                <w:highlight w:val="none"/>
                <w:u w:val="none"/>
                <w:lang w:val="en-US" w:eastAsia="zh-CN" w:bidi="ar"/>
              </w:rPr>
              <w:t>本、B证不少于</w:t>
            </w:r>
            <w:r>
              <w:rPr>
                <w:rFonts w:hint="eastAsia" w:ascii="宋体" w:hAnsi="宋体" w:cs="宋体"/>
                <w:i w:val="0"/>
                <w:color w:val="000000"/>
                <w:kern w:val="0"/>
                <w:sz w:val="24"/>
                <w:szCs w:val="24"/>
                <w:highlight w:val="none"/>
                <w:u w:val="none"/>
                <w:lang w:val="en-US" w:eastAsia="zh-CN" w:bidi="ar"/>
              </w:rPr>
              <w:t>15</w:t>
            </w:r>
            <w:r>
              <w:rPr>
                <w:rFonts w:hint="eastAsia" w:ascii="宋体" w:hAnsi="宋体" w:eastAsia="宋体" w:cs="宋体"/>
                <w:i w:val="0"/>
                <w:color w:val="000000"/>
                <w:kern w:val="0"/>
                <w:sz w:val="24"/>
                <w:szCs w:val="24"/>
                <w:highlight w:val="none"/>
                <w:u w:val="none"/>
                <w:lang w:val="en-US" w:eastAsia="zh-CN" w:bidi="ar"/>
              </w:rPr>
              <w:t>本</w:t>
            </w:r>
            <w:r>
              <w:rPr>
                <w:rFonts w:hint="eastAsia" w:ascii="宋体" w:hAnsi="宋体" w:cs="宋体"/>
                <w:i w:val="0"/>
                <w:color w:val="000000"/>
                <w:kern w:val="0"/>
                <w:sz w:val="24"/>
                <w:szCs w:val="24"/>
                <w:highlight w:val="none"/>
                <w:u w:val="none"/>
                <w:lang w:val="en-US" w:eastAsia="zh-CN" w:bidi="ar"/>
              </w:rPr>
              <w:t>、C证不少于10本</w:t>
            </w:r>
            <w:r>
              <w:rPr>
                <w:rFonts w:hint="eastAsia" w:ascii="宋体" w:hAnsi="宋体" w:eastAsia="宋体" w:cs="宋体"/>
                <w:i w:val="0"/>
                <w:color w:val="000000"/>
                <w:kern w:val="0"/>
                <w:sz w:val="24"/>
                <w:szCs w:val="24"/>
                <w:highlight w:val="none"/>
                <w:u w:val="none"/>
                <w:lang w:val="en-US" w:eastAsia="zh-CN" w:bidi="ar"/>
              </w:rPr>
              <w:t>），未提供不得分。在实质性满足以上要求的基础上，由评标委员会进行横向评议，优得3分，良得2分，一般得1分。(需提供拟投入驾驶人员名单、有效驾驶证件及其本项目开标截止之日前连续近六个月投标单位为其缴交社保的证明材料，社保证明材料应从社保窗口或从社保系</w:t>
            </w:r>
            <w:r>
              <w:rPr>
                <w:rFonts w:hint="eastAsia" w:ascii="宋体" w:hAnsi="宋体" w:eastAsia="宋体" w:cs="宋体"/>
                <w:i w:val="0"/>
                <w:color w:val="000000"/>
                <w:kern w:val="0"/>
                <w:sz w:val="24"/>
                <w:szCs w:val="24"/>
                <w:u w:val="none"/>
                <w:lang w:val="en-US" w:eastAsia="zh-CN" w:bidi="ar"/>
              </w:rPr>
              <w:t>统中打印为准。）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rPr>
        <w:tc>
          <w:tcPr>
            <w:tcW w:w="1338" w:type="dxa"/>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过渡交接计划安排与组织实施方案</w:t>
            </w:r>
          </w:p>
        </w:tc>
        <w:tc>
          <w:tcPr>
            <w:tcW w:w="1010"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5853" w:type="dxa"/>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根据各投标人针对本合同包制定的进场和交接方案，</w:t>
            </w:r>
            <w:r>
              <w:rPr>
                <w:rFonts w:hint="eastAsia" w:ascii="宋体" w:hAnsi="宋体" w:cs="宋体"/>
                <w:i w:val="0"/>
                <w:color w:val="000000"/>
                <w:kern w:val="0"/>
                <w:sz w:val="24"/>
                <w:szCs w:val="24"/>
                <w:u w:val="none"/>
                <w:lang w:val="en-US" w:eastAsia="zh-CN" w:bidi="ar"/>
              </w:rPr>
              <w:t>其中需提供以本项目各作业内容相匹配的交接团队人员名单，并</w:t>
            </w:r>
            <w:r>
              <w:rPr>
                <w:rFonts w:hint="eastAsia" w:ascii="宋体" w:hAnsi="宋体" w:eastAsia="宋体" w:cs="宋体"/>
                <w:i w:val="0"/>
                <w:color w:val="000000"/>
                <w:kern w:val="0"/>
                <w:sz w:val="24"/>
                <w:szCs w:val="24"/>
                <w:u w:val="none"/>
                <w:lang w:val="en-US" w:eastAsia="zh-CN" w:bidi="ar"/>
              </w:rPr>
              <w:t>对人员接收、资产处理以及交接管理等方面内容是否符合项目实际、是否有效得当等进行评价，由评标委员会进行横向评议，优得3分，良得2分，一般得1分，未提供不得分。（需提供人员名单及其本项目开标截止之日前连续近六个月投标单位为其缴交社保的证明材料，社保证明材料应从社保窗口或从社保系统中打印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70" w:hRule="atLeast"/>
        </w:trPr>
        <w:tc>
          <w:tcPr>
            <w:tcW w:w="1338" w:type="dxa"/>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各路段及各项作业内容拟安排人员及班次情况</w:t>
            </w:r>
          </w:p>
        </w:tc>
        <w:tc>
          <w:tcPr>
            <w:tcW w:w="1010"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5853" w:type="dxa"/>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根据各投标人针对本合同包制定的各路段及各项作业内容拟安排人员、班次情况、工具、设备配置情况进行评价，由评标委员会进行横向评议，优得3分，良得2分，一般得1分，未提供不得分。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70" w:hRule="atLeast"/>
        </w:trPr>
        <w:tc>
          <w:tcPr>
            <w:tcW w:w="1338" w:type="dxa"/>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重大活动、考评、检查、节假保洁</w:t>
            </w:r>
            <w:r>
              <w:rPr>
                <w:rFonts w:hint="eastAsia" w:ascii="宋体" w:hAnsi="宋体" w:cs="宋体"/>
                <w:i w:val="0"/>
                <w:color w:val="000000"/>
                <w:kern w:val="0"/>
                <w:sz w:val="24"/>
                <w:szCs w:val="24"/>
                <w:u w:val="none"/>
                <w:lang w:val="en-US" w:eastAsia="zh-CN" w:bidi="ar"/>
              </w:rPr>
              <w:t>等</w:t>
            </w:r>
            <w:r>
              <w:rPr>
                <w:rFonts w:hint="eastAsia" w:ascii="宋体" w:hAnsi="宋体" w:eastAsia="宋体" w:cs="宋体"/>
                <w:i w:val="0"/>
                <w:color w:val="000000"/>
                <w:kern w:val="0"/>
                <w:sz w:val="24"/>
                <w:szCs w:val="24"/>
                <w:u w:val="none"/>
                <w:lang w:val="en-US" w:eastAsia="zh-CN" w:bidi="ar"/>
              </w:rPr>
              <w:t>质量应对措施</w:t>
            </w:r>
          </w:p>
        </w:tc>
        <w:tc>
          <w:tcPr>
            <w:tcW w:w="1010"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5853" w:type="dxa"/>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根据各投标人针对本合同包制定的日常、重大活动、考评、检查、节假日保洁质量应对措施、作业工作任务安排方案</w:t>
            </w:r>
            <w:r>
              <w:rPr>
                <w:rStyle w:val="12"/>
                <w:rFonts w:hint="eastAsia" w:ascii="宋体" w:hAnsi="宋体" w:eastAsia="宋体" w:cs="宋体"/>
                <w:lang w:val="en-US" w:eastAsia="zh-CN" w:bidi="ar"/>
              </w:rPr>
              <w:t>等进行评价，由评标委员会进行横向评议，优得3分，良得2分，一般得1分，未提供不得分。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70" w:hRule="atLeast"/>
        </w:trPr>
        <w:tc>
          <w:tcPr>
            <w:tcW w:w="1338" w:type="dxa"/>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重大或突发事件应急预案</w:t>
            </w:r>
          </w:p>
        </w:tc>
        <w:tc>
          <w:tcPr>
            <w:tcW w:w="1010"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5853" w:type="dxa"/>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根据各投标人针对本合同包制定的重大或突发事件（应含但不限于防洪、防台风</w:t>
            </w:r>
            <w:r>
              <w:rPr>
                <w:rFonts w:hint="eastAsia" w:ascii="宋体" w:hAnsi="宋体" w:cs="宋体"/>
                <w:i w:val="0"/>
                <w:color w:val="000000"/>
                <w:kern w:val="0"/>
                <w:sz w:val="24"/>
                <w:szCs w:val="24"/>
                <w:u w:val="none"/>
                <w:lang w:val="en-US" w:eastAsia="zh-CN" w:bidi="ar"/>
              </w:rPr>
              <w:t>、道路突发大面积污染事件</w:t>
            </w:r>
            <w:r>
              <w:rPr>
                <w:rFonts w:hint="eastAsia" w:ascii="宋体" w:hAnsi="宋体" w:eastAsia="宋体" w:cs="宋体"/>
                <w:i w:val="0"/>
                <w:color w:val="000000"/>
                <w:kern w:val="0"/>
                <w:sz w:val="24"/>
                <w:szCs w:val="24"/>
                <w:u w:val="none"/>
                <w:lang w:val="en-US" w:eastAsia="zh-CN" w:bidi="ar"/>
              </w:rPr>
              <w:t>等情形</w:t>
            </w:r>
            <w:r>
              <w:rPr>
                <w:rStyle w:val="12"/>
                <w:rFonts w:hint="eastAsia" w:ascii="宋体" w:hAnsi="宋体" w:eastAsia="宋体" w:cs="宋体"/>
                <w:lang w:val="en-US" w:eastAsia="zh-CN" w:bidi="ar"/>
              </w:rPr>
              <w:t>），应急处置预案措施及工作安排进行评价，由评标委员会进行横向评议，优得3分，良得2分，一般得1分，未提供不得分。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25" w:hRule="atLeast"/>
        </w:trPr>
        <w:tc>
          <w:tcPr>
            <w:tcW w:w="1338" w:type="dxa"/>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防洪防台风防险等重大或突发事件应急保障</w:t>
            </w:r>
          </w:p>
        </w:tc>
        <w:tc>
          <w:tcPr>
            <w:tcW w:w="1010"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3</w:t>
            </w:r>
          </w:p>
        </w:tc>
        <w:tc>
          <w:tcPr>
            <w:tcW w:w="5853" w:type="dxa"/>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根据项目当地实际情况，投标人为保障应急处理防洪防台风防险等重大或突发事件，能一次性紧急调动不少于1辆排水抢险车（车辆功率不小于150KW）、不少于1辆电源车</w:t>
            </w:r>
            <w:r>
              <w:rPr>
                <w:rStyle w:val="12"/>
                <w:rFonts w:hint="eastAsia" w:ascii="宋体" w:hAnsi="宋体" w:eastAsia="宋体" w:cs="宋体"/>
                <w:highlight w:val="none"/>
                <w:lang w:val="en-US" w:eastAsia="zh-CN" w:bidi="ar"/>
              </w:rPr>
              <w:t>（车辆功率不小于100KW）</w:t>
            </w:r>
            <w:r>
              <w:rPr>
                <w:rStyle w:val="12"/>
                <w:rFonts w:hint="eastAsia" w:ascii="宋体" w:hAnsi="宋体" w:cs="宋体"/>
                <w:highlight w:val="none"/>
                <w:lang w:val="en-US" w:eastAsia="zh-CN" w:bidi="ar"/>
              </w:rPr>
              <w:t>、</w:t>
            </w:r>
            <w:r>
              <w:rPr>
                <w:rFonts w:hint="eastAsia" w:ascii="宋体" w:hAnsi="宋体" w:eastAsia="宋体" w:cs="宋体"/>
                <w:i w:val="0"/>
                <w:color w:val="auto"/>
                <w:kern w:val="0"/>
                <w:sz w:val="24"/>
                <w:szCs w:val="24"/>
                <w:highlight w:val="none"/>
                <w:u w:val="none"/>
                <w:lang w:val="en-US" w:eastAsia="zh-CN" w:bidi="ar"/>
              </w:rPr>
              <w:t>不少于</w:t>
            </w:r>
            <w:r>
              <w:rPr>
                <w:rFonts w:hint="eastAsia" w:ascii="宋体" w:hAnsi="宋体" w:cs="宋体"/>
                <w:i w:val="0"/>
                <w:color w:val="auto"/>
                <w:kern w:val="0"/>
                <w:sz w:val="24"/>
                <w:szCs w:val="24"/>
                <w:highlight w:val="none"/>
                <w:u w:val="none"/>
                <w:lang w:val="en-US" w:eastAsia="zh-CN" w:bidi="ar"/>
              </w:rPr>
              <w:t>2</w:t>
            </w:r>
            <w:r>
              <w:rPr>
                <w:rFonts w:hint="eastAsia" w:ascii="宋体" w:hAnsi="宋体" w:eastAsia="宋体" w:cs="宋体"/>
                <w:i w:val="0"/>
                <w:color w:val="auto"/>
                <w:kern w:val="0"/>
                <w:sz w:val="24"/>
                <w:szCs w:val="24"/>
                <w:highlight w:val="none"/>
                <w:u w:val="none"/>
                <w:lang w:val="en-US" w:eastAsia="zh-CN" w:bidi="ar"/>
              </w:rPr>
              <w:t>辆吊车</w:t>
            </w:r>
            <w:r>
              <w:rPr>
                <w:rFonts w:hint="eastAsia" w:ascii="宋体" w:hAnsi="宋体" w:cs="宋体"/>
                <w:i w:val="0"/>
                <w:color w:val="auto"/>
                <w:kern w:val="0"/>
                <w:sz w:val="24"/>
                <w:szCs w:val="24"/>
                <w:highlight w:val="none"/>
                <w:u w:val="none"/>
                <w:lang w:val="en-US" w:eastAsia="zh-CN" w:bidi="ar"/>
              </w:rPr>
              <w:t>（臂长大于等于12米）</w:t>
            </w:r>
            <w:r>
              <w:rPr>
                <w:rStyle w:val="12"/>
                <w:rFonts w:hint="eastAsia" w:ascii="宋体" w:hAnsi="宋体" w:eastAsia="宋体" w:cs="宋体"/>
                <w:highlight w:val="none"/>
                <w:lang w:val="en-US" w:eastAsia="zh-CN" w:bidi="ar"/>
              </w:rPr>
              <w:t>的得3分，提供不全或者不提供不得分。（以上车辆权属必须为投标人自有产权，同时提供车辆有效期内的行驶证、登记证、购置发票证明材料复印件及工信部公告文件，（未提供证明材料或提供不全的或车辆为租赁者，本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5" w:hRule="atLeast"/>
        </w:trPr>
        <w:tc>
          <w:tcPr>
            <w:tcW w:w="1338" w:type="dxa"/>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安全生产质量保证</w:t>
            </w:r>
          </w:p>
        </w:tc>
        <w:tc>
          <w:tcPr>
            <w:tcW w:w="1010"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5853" w:type="dxa"/>
            <w:noWrap w:val="0"/>
            <w:tcMar>
              <w:top w:w="15" w:type="dxa"/>
              <w:left w:w="15" w:type="dxa"/>
              <w:right w:w="15" w:type="dxa"/>
            </w:tcMar>
            <w:vAlign w:val="center"/>
          </w:tcPr>
          <w:p>
            <w:pPr>
              <w:keepNext w:val="0"/>
              <w:keepLines w:val="0"/>
              <w:widowControl/>
              <w:suppressLineNumbers w:val="0"/>
              <w:jc w:val="left"/>
              <w:textAlignment w:val="center"/>
              <w:rPr>
                <w:rFonts w:hint="eastAsia"/>
              </w:rPr>
            </w:pPr>
            <w:r>
              <w:rPr>
                <w:rStyle w:val="12"/>
                <w:rFonts w:hint="eastAsia" w:ascii="宋体" w:hAnsi="宋体" w:eastAsia="宋体" w:cs="宋体"/>
                <w:i w:val="0"/>
                <w:lang w:val="en-US" w:eastAsia="zh-CN" w:bidi="ar"/>
              </w:rPr>
              <w:t>投标人拟派本项目管理人员中同时有提供安全生产考核合格证书A证、B证、C证得3分；具有2项得1分，具有1项得0.5分。（需提供证书复印件、证书相关人员名单及其本项目开标截止之日前连续近六个月投标单位为其缴交社保的证明材料，社保证明材料应从社保窗口或从社保系统中打印为准。）（证明材料原件须单独密封并在递交纸质投标文件时一并提交，以便评标委员会现场核查，评标结束之后归还，未提供原件的本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trPr>
        <w:tc>
          <w:tcPr>
            <w:tcW w:w="1338" w:type="dxa"/>
            <w:vMerge w:val="restart"/>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拟投入本项目管理团队配备情况</w:t>
            </w:r>
          </w:p>
        </w:tc>
        <w:tc>
          <w:tcPr>
            <w:tcW w:w="1010" w:type="dxa"/>
            <w:vMerge w:val="restart"/>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5853" w:type="dxa"/>
            <w:vMerge w:val="restart"/>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根据各投标人针对本合同包拟担任项目管理团队配备方案，评标小组根据方案完整性、合理性和管理团队人员具备的学历、专业、工作经验、资格证书、获得职称情况等进行评价。由评标委员会进行横向评议，优得3分，良得2分，一般得1分，未提供不得分。（需提供人员名单、相关材料复印件及其本项目开标截止之日前连续近六个月投标单位为其缴交社保的证明材料，社保证明材料应从社保窗口或从社保系统中打印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trPr>
        <w:tc>
          <w:tcPr>
            <w:tcW w:w="1338" w:type="dxa"/>
            <w:vMerge w:val="continue"/>
            <w:noWrap w:val="0"/>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1010" w:type="dxa"/>
            <w:vMerge w:val="continue"/>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853" w:type="dxa"/>
            <w:vMerge w:val="continue"/>
            <w:noWrap w:val="0"/>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rPr>
        <w:tc>
          <w:tcPr>
            <w:tcW w:w="1338" w:type="dxa"/>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本项目负责人（项目经理）的学历、工作经验、获得职称情况情况等</w:t>
            </w:r>
          </w:p>
        </w:tc>
        <w:tc>
          <w:tcPr>
            <w:tcW w:w="1010"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5853" w:type="dxa"/>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根据各投标人针对本合同包拟担任本项目负责人（项目经理）的学历、专业、工作经验、获得职称情况等，由评标委员会进行横向评议，优得3分，良得2分，一般得1分，没有提供不得分。（需提供人员名单、相关材料复印件及其本项目开标截止之日前连续近六个月投标单位为其缴交社保的证明材料，社保证明材料应从社保窗口或从社保系统中打印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440" w:hRule="atLeast"/>
        </w:trPr>
        <w:tc>
          <w:tcPr>
            <w:tcW w:w="1338" w:type="dxa"/>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拟配备本项目公厕管理人员证书</w:t>
            </w:r>
          </w:p>
        </w:tc>
        <w:tc>
          <w:tcPr>
            <w:tcW w:w="1010"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5853" w:type="dxa"/>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根据各投标人拟配备本项目公厕管理人员具有特种行业主管部门颁发的低压电工证的得1分。（需提供人员名单、证件复印件其本项目开标截止之日前连续近六个月投标单位为其缴交社保的证明材料，社保证明材料应从社保窗口或从社保系统中打印为准。）（证明材料原件须单独密封并在递交纸质投标文件时一并提交，以便评标委员会现场核查，评标结束之后归还，未提供原件的本项不得分。</w:t>
            </w:r>
            <w:r>
              <w:rPr>
                <w:rStyle w:val="12"/>
                <w:rFonts w:hint="eastAsia" w:ascii="宋体" w:hAnsi="宋体" w:eastAsia="宋体" w:cs="宋体"/>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440" w:hRule="atLeast"/>
        </w:trPr>
        <w:tc>
          <w:tcPr>
            <w:tcW w:w="1338" w:type="dxa"/>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公厕管理经验</w:t>
            </w:r>
          </w:p>
        </w:tc>
        <w:tc>
          <w:tcPr>
            <w:tcW w:w="1010"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5853" w:type="dxa"/>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投标人具有50座公厕以上管理经验的得3分</w:t>
            </w:r>
            <w:r>
              <w:rPr>
                <w:rStyle w:val="12"/>
                <w:rFonts w:hint="eastAsia" w:ascii="宋体" w:hAnsi="宋体" w:eastAsia="宋体" w:cs="宋体"/>
                <w:lang w:val="en-US" w:eastAsia="zh-CN" w:bidi="ar"/>
              </w:rPr>
              <w:t>，具有30座公厕及以上管理经验的得1.5分，其余不得分。投标人须提供环卫主管部门审批的书面移交证明材料或公厕管理项目的中标（成交）公告（提供相关网站中标（成交）公告的下载网页及其网址）、中标（成交）通知书复印件、采购合同文本复印件以及能够证明该业绩项目已经采购人验收合格的相关证明文件复印，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440" w:hRule="atLeast"/>
        </w:trPr>
        <w:tc>
          <w:tcPr>
            <w:tcW w:w="1338" w:type="dxa"/>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拟配备本项目环卫清洁楼或垃圾中转站等环卫处理设施管理人员证书</w:t>
            </w:r>
          </w:p>
        </w:tc>
        <w:tc>
          <w:tcPr>
            <w:tcW w:w="1010"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cs="宋体"/>
                <w:i w:val="0"/>
                <w:color w:val="auto"/>
                <w:kern w:val="0"/>
                <w:sz w:val="24"/>
                <w:szCs w:val="24"/>
                <w:highlight w:val="none"/>
                <w:u w:val="none"/>
                <w:lang w:val="en-US" w:eastAsia="zh-CN" w:bidi="ar"/>
              </w:rPr>
              <w:t>1</w:t>
            </w:r>
          </w:p>
        </w:tc>
        <w:tc>
          <w:tcPr>
            <w:tcW w:w="5853" w:type="dxa"/>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根据各投标人拟配备本项目环卫清洁楼或垃圾中转站等环卫处理设施管理人员</w:t>
            </w:r>
            <w:r>
              <w:rPr>
                <w:rFonts w:hint="eastAsia" w:ascii="宋体" w:hAnsi="宋体" w:cs="宋体"/>
                <w:i w:val="0"/>
                <w:color w:val="auto"/>
                <w:kern w:val="0"/>
                <w:sz w:val="24"/>
                <w:szCs w:val="24"/>
                <w:highlight w:val="none"/>
                <w:u w:val="none"/>
                <w:lang w:val="en-US" w:eastAsia="zh-CN" w:bidi="ar"/>
              </w:rPr>
              <w:t>具有垃圾处理工程师</w:t>
            </w:r>
            <w:r>
              <w:rPr>
                <w:rFonts w:hint="eastAsia" w:ascii="宋体" w:hAnsi="宋体" w:eastAsia="宋体" w:cs="宋体"/>
                <w:i w:val="0"/>
                <w:color w:val="auto"/>
                <w:kern w:val="0"/>
                <w:sz w:val="24"/>
                <w:szCs w:val="24"/>
                <w:highlight w:val="none"/>
                <w:u w:val="none"/>
                <w:lang w:val="en-US" w:eastAsia="zh-CN" w:bidi="ar"/>
              </w:rPr>
              <w:t>证书</w:t>
            </w:r>
            <w:r>
              <w:rPr>
                <w:rFonts w:hint="eastAsia" w:ascii="宋体" w:hAnsi="宋体" w:cs="宋体"/>
                <w:i w:val="0"/>
                <w:color w:val="auto"/>
                <w:kern w:val="0"/>
                <w:sz w:val="24"/>
                <w:szCs w:val="24"/>
                <w:highlight w:val="none"/>
                <w:u w:val="none"/>
                <w:lang w:val="en-US" w:eastAsia="zh-CN" w:bidi="ar"/>
              </w:rPr>
              <w:t>得1分。</w:t>
            </w:r>
            <w:r>
              <w:rPr>
                <w:rFonts w:hint="eastAsia" w:ascii="宋体" w:hAnsi="宋体" w:cs="宋体"/>
                <w:color w:val="auto"/>
                <w:kern w:val="0"/>
                <w:sz w:val="24"/>
                <w:highlight w:val="none"/>
                <w:lang w:val="en-US" w:eastAsia="zh-CN"/>
              </w:rPr>
              <w:t>未提供或者提供不全不得分。</w:t>
            </w:r>
            <w:r>
              <w:rPr>
                <w:rFonts w:hint="eastAsia" w:ascii="宋体" w:hAnsi="宋体" w:eastAsia="宋体" w:cs="宋体"/>
                <w:i w:val="0"/>
                <w:color w:val="auto"/>
                <w:kern w:val="0"/>
                <w:sz w:val="24"/>
                <w:szCs w:val="24"/>
                <w:highlight w:val="none"/>
                <w:u w:val="none"/>
                <w:lang w:val="en-US" w:eastAsia="zh-CN" w:bidi="ar"/>
              </w:rPr>
              <w:t>（需提供人员名单、证件复印件其本项目开标截止之日前连续近六个月投标单位为其缴交社保的证明材料，社保证明材料应从社保窗口或从社保系统中打印为准。）（证明材料原件须单独密封并在递交纸质投标文件时一并提交，以便评标委员会现场核查，评标结束之后归还，未提供原件的本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010" w:hRule="atLeast"/>
        </w:trPr>
        <w:tc>
          <w:tcPr>
            <w:tcW w:w="1338" w:type="dxa"/>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环卫清洁楼或垃圾中转站等环卫处理设施管理经验</w:t>
            </w:r>
          </w:p>
        </w:tc>
        <w:tc>
          <w:tcPr>
            <w:tcW w:w="1010"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5853" w:type="dxa"/>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投标人具有10座及以上环卫清洁楼或垃圾中转站等环卫处理设施管理经验的得3分</w:t>
            </w:r>
            <w:r>
              <w:rPr>
                <w:rStyle w:val="12"/>
                <w:rFonts w:hint="eastAsia" w:ascii="宋体" w:hAnsi="宋体" w:eastAsia="宋体" w:cs="宋体"/>
                <w:lang w:val="en-US" w:eastAsia="zh-CN" w:bidi="ar"/>
              </w:rPr>
              <w:t>；具有5座及以上环卫清洁楼或垃圾中转站等环卫处理设施管理经验的得1.5分。投标人须提供环卫主管部门审批的书面移交证明材料或中标的环卫清洁楼或垃圾中转站运营管理项目的中标（成交）公告（提供相关网站中标（成交）公告的下载网页及其网址）、中标（成交）通知书复印件、采购合同文本复印件以及能够证明该业绩项目已经采购人验收合格的相关证明文件复印，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245" w:hRule="atLeast"/>
        </w:trPr>
        <w:tc>
          <w:tcPr>
            <w:tcW w:w="1338" w:type="dxa"/>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河道保洁船只驾驶操作人员资格证书</w:t>
            </w:r>
          </w:p>
        </w:tc>
        <w:tc>
          <w:tcPr>
            <w:tcW w:w="1010"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cs="宋体"/>
                <w:i w:val="0"/>
                <w:color w:val="000000"/>
                <w:kern w:val="0"/>
                <w:sz w:val="24"/>
                <w:szCs w:val="24"/>
                <w:highlight w:val="none"/>
                <w:u w:val="none"/>
                <w:lang w:val="en-US" w:eastAsia="zh-CN" w:bidi="ar"/>
              </w:rPr>
              <w:t>1</w:t>
            </w:r>
          </w:p>
        </w:tc>
        <w:tc>
          <w:tcPr>
            <w:tcW w:w="5853" w:type="dxa"/>
            <w:noWrap w:val="0"/>
            <w:tcMar>
              <w:top w:w="15" w:type="dxa"/>
              <w:left w:w="15" w:type="dxa"/>
              <w:right w:w="15"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cs="宋体"/>
                <w:color w:val="000000"/>
                <w:kern w:val="0"/>
                <w:sz w:val="24"/>
                <w:highlight w:val="none"/>
                <w:lang w:bidi="ar"/>
              </w:rPr>
              <w:t>投标人拟配备</w:t>
            </w:r>
            <w:r>
              <w:rPr>
                <w:rFonts w:hint="eastAsia" w:ascii="宋体" w:hAnsi="宋体" w:cs="宋体"/>
                <w:color w:val="000000"/>
                <w:kern w:val="0"/>
                <w:sz w:val="24"/>
                <w:highlight w:val="none"/>
                <w:lang w:eastAsia="zh-CN" w:bidi="ar"/>
              </w:rPr>
              <w:t>1</w:t>
            </w:r>
            <w:r>
              <w:rPr>
                <w:rFonts w:hint="eastAsia" w:ascii="宋体" w:hAnsi="宋体" w:cs="宋体"/>
                <w:color w:val="000000"/>
                <w:kern w:val="0"/>
                <w:sz w:val="24"/>
                <w:highlight w:val="none"/>
                <w:lang w:bidi="ar"/>
              </w:rPr>
              <w:t>名具有《内河船舶船员适任证书》的从业人员</w:t>
            </w:r>
            <w:r>
              <w:rPr>
                <w:rFonts w:hint="eastAsia" w:ascii="宋体" w:hAnsi="宋体" w:cs="宋体"/>
                <w:color w:val="000000"/>
                <w:kern w:val="0"/>
                <w:sz w:val="24"/>
                <w:highlight w:val="none"/>
                <w:lang w:eastAsia="zh-CN" w:bidi="ar"/>
              </w:rPr>
              <w:t>的</w:t>
            </w:r>
            <w:r>
              <w:rPr>
                <w:rFonts w:hint="eastAsia" w:ascii="宋体" w:hAnsi="宋体" w:cs="宋体"/>
                <w:color w:val="000000"/>
                <w:kern w:val="0"/>
                <w:sz w:val="24"/>
                <w:highlight w:val="none"/>
                <w:lang w:bidi="ar"/>
              </w:rPr>
              <w:t>得1分，否则不得分。 注：</w:t>
            </w:r>
            <w:r>
              <w:rPr>
                <w:rFonts w:hint="eastAsia" w:ascii="宋体" w:hAnsi="宋体" w:cs="宋体"/>
                <w:color w:val="000000"/>
                <w:kern w:val="0"/>
                <w:sz w:val="24"/>
                <w:highlight w:val="none"/>
                <w:lang w:eastAsia="zh-CN" w:bidi="ar"/>
              </w:rPr>
              <w:t>须提供</w:t>
            </w:r>
            <w:r>
              <w:rPr>
                <w:rFonts w:hint="eastAsia" w:ascii="宋体" w:hAnsi="宋体" w:cs="宋体"/>
                <w:color w:val="000000"/>
                <w:kern w:val="0"/>
                <w:sz w:val="24"/>
                <w:highlight w:val="none"/>
                <w:lang w:bidi="ar"/>
              </w:rPr>
              <w:t>证件复印件。</w:t>
            </w:r>
            <w:r>
              <w:rPr>
                <w:rFonts w:hint="eastAsia" w:ascii="宋体" w:hAnsi="宋体" w:eastAsia="宋体" w:cs="宋体"/>
                <w:i w:val="0"/>
                <w:color w:val="auto"/>
                <w:kern w:val="0"/>
                <w:sz w:val="24"/>
                <w:szCs w:val="24"/>
                <w:highlight w:val="none"/>
                <w:u w:val="none"/>
                <w:lang w:val="en-US" w:eastAsia="zh-CN" w:bidi="ar"/>
              </w:rPr>
              <w:t>（证明材料原件须单独密封并在递交纸质投标文件时一并提交，以便评标委员会现场核查，评标结束之后归还，未提供原件的本项不得分。）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70" w:hRule="atLeast"/>
        </w:trPr>
        <w:tc>
          <w:tcPr>
            <w:tcW w:w="1338" w:type="dxa"/>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作业人员年度培训计划及档案管理情况</w:t>
            </w:r>
          </w:p>
        </w:tc>
        <w:tc>
          <w:tcPr>
            <w:tcW w:w="1010"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5853" w:type="dxa"/>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根据各投标人针对本合同包制定的作业人员年度培训计划及档案管理情况进行评价,由评标委员会进行横向评议，优得3分，良得2分，一般得1分，未提供不得分。</w:t>
            </w:r>
          </w:p>
        </w:tc>
      </w:tr>
    </w:tbl>
    <w:p>
      <w:pPr>
        <w:pStyle w:val="6"/>
        <w:keepNext w:val="0"/>
        <w:keepLines w:val="0"/>
        <w:widowControl/>
        <w:suppressLineNumbers w:val="0"/>
        <w:ind w:left="0" w:firstLine="480"/>
        <w:rPr>
          <w:rFonts w:hint="eastAsia" w:ascii="宋体" w:hAnsi="宋体" w:eastAsia="宋体" w:cs="宋体"/>
          <w:sz w:val="24"/>
          <w:szCs w:val="24"/>
        </w:rPr>
      </w:pPr>
      <w:r>
        <w:rPr>
          <w:rFonts w:hint="eastAsia" w:ascii="宋体" w:hAnsi="宋体" w:eastAsia="宋体" w:cs="宋体"/>
          <w:sz w:val="24"/>
          <w:szCs w:val="24"/>
        </w:rPr>
        <w:t>③商务项（F3×A3）满分为</w:t>
      </w:r>
      <w:r>
        <w:rPr>
          <w:rFonts w:hint="eastAsia" w:ascii="宋体" w:hAnsi="宋体" w:eastAsia="宋体" w:cs="宋体"/>
          <w:sz w:val="24"/>
          <w:szCs w:val="24"/>
          <w:u w:val="single"/>
        </w:rPr>
        <w:t>25</w:t>
      </w:r>
      <w:r>
        <w:rPr>
          <w:rFonts w:hint="eastAsia" w:ascii="宋体" w:hAnsi="宋体" w:eastAsia="宋体" w:cs="宋体"/>
          <w:sz w:val="24"/>
          <w:szCs w:val="24"/>
        </w:rPr>
        <w:t>分。</w:t>
      </w:r>
    </w:p>
    <w:tbl>
      <w:tblPr>
        <w:tblStyle w:val="7"/>
        <w:tblW w:w="81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471"/>
        <w:gridCol w:w="1200"/>
        <w:gridCol w:w="5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656" w:hRule="atLeast"/>
        </w:trPr>
        <w:tc>
          <w:tcPr>
            <w:tcW w:w="1471" w:type="dxa"/>
            <w:noWrap w:val="0"/>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认证证书</w:t>
            </w:r>
          </w:p>
        </w:tc>
        <w:tc>
          <w:tcPr>
            <w:tcW w:w="1200" w:type="dxa"/>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5526" w:type="dxa"/>
            <w:noWrap w:val="0"/>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根据各投标人通过质量管理体系认证情况：投标人同时具有ISO9001质量管理体系认证、ISO14001环境管理体系认证、OHSAS18001职业健康安全管理体系认证的得2分，具有2项</w:t>
            </w:r>
            <w:r>
              <w:rPr>
                <w:rFonts w:hint="eastAsia" w:ascii="宋体" w:hAnsi="宋体" w:cs="宋体"/>
                <w:i w:val="0"/>
                <w:color w:val="000000"/>
                <w:kern w:val="0"/>
                <w:sz w:val="24"/>
                <w:szCs w:val="24"/>
                <w:u w:val="none"/>
                <w:lang w:val="en-US" w:eastAsia="zh-CN" w:bidi="ar"/>
              </w:rPr>
              <w:t>且有效</w:t>
            </w:r>
            <w:r>
              <w:rPr>
                <w:rFonts w:hint="eastAsia" w:ascii="宋体" w:hAnsi="宋体" w:eastAsia="宋体" w:cs="宋体"/>
                <w:i w:val="0"/>
                <w:color w:val="000000"/>
                <w:kern w:val="0"/>
                <w:sz w:val="24"/>
                <w:szCs w:val="24"/>
                <w:u w:val="none"/>
                <w:lang w:val="en-US" w:eastAsia="zh-CN" w:bidi="ar"/>
              </w:rPr>
              <w:t>的得1分，具有1项</w:t>
            </w:r>
            <w:r>
              <w:rPr>
                <w:rFonts w:hint="eastAsia" w:ascii="宋体" w:hAnsi="宋体" w:cs="宋体"/>
                <w:i w:val="0"/>
                <w:color w:val="000000"/>
                <w:kern w:val="0"/>
                <w:sz w:val="24"/>
                <w:szCs w:val="24"/>
                <w:u w:val="none"/>
                <w:lang w:val="en-US" w:eastAsia="zh-CN" w:bidi="ar"/>
              </w:rPr>
              <w:t>且有效</w:t>
            </w:r>
            <w:r>
              <w:rPr>
                <w:rFonts w:hint="eastAsia" w:ascii="宋体" w:hAnsi="宋体" w:eastAsia="宋体" w:cs="宋体"/>
                <w:i w:val="0"/>
                <w:color w:val="000000"/>
                <w:kern w:val="0"/>
                <w:sz w:val="24"/>
                <w:szCs w:val="24"/>
                <w:u w:val="none"/>
                <w:lang w:val="en-US" w:eastAsia="zh-CN" w:bidi="ar"/>
              </w:rPr>
              <w:t>的得0.5分，上述体系认证通过的范围须包括城市生活垃圾清扫、保洁、收运等环卫作业服务内容，并提供至投标截止日仍在有效期内的证书复印件和中国国家认证认可监督管理委员会(http://www.cnca.gov.cn)或中国合格评定国家认可委员会(https://www.cnas.org.cn)网站的下载网页并注明网址，证书信息应当与下载网页相一致且证书状态为有效的。【须提供加盖公章的相关证书复印件，否则该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996" w:hRule="atLeast"/>
        </w:trPr>
        <w:tc>
          <w:tcPr>
            <w:tcW w:w="1471" w:type="dxa"/>
            <w:noWrap w:val="0"/>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企业信用</w:t>
            </w:r>
          </w:p>
        </w:tc>
        <w:tc>
          <w:tcPr>
            <w:tcW w:w="1200" w:type="dxa"/>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5526" w:type="dxa"/>
            <w:noWrap w:val="0"/>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投标人提供自2016年以来获得省级及省级以上工商行政管理部门或政府行政部门颁发的“守合同重信用”企业称号的，得2分；获得市级工商行政管理部门或政府行政部门颁发的“守合同重信用”企业称号的，得1分；其余不得分。投标人须提供证书的有效复印件，未提供不得分。（证明材料原件须单独密封并在递交纸质投标文件时一并提交，以便评标委员会现场核查，评标结束之后归还，未提供原件的本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715" w:hRule="atLeast"/>
        </w:trPr>
        <w:tc>
          <w:tcPr>
            <w:tcW w:w="1471" w:type="dxa"/>
            <w:noWrap w:val="0"/>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企业荣誉</w:t>
            </w:r>
          </w:p>
        </w:tc>
        <w:tc>
          <w:tcPr>
            <w:tcW w:w="1200" w:type="dxa"/>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5526" w:type="dxa"/>
            <w:noWrap w:val="0"/>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投标人提供荣获省级环境卫生协会颁发的”最美公厕“称号公厕管理项目的得1分，（投标人须提供证书复印件及项目所属当地环卫主管部门出具的公厕管养资料，未提供不得分。）；投标人曾获中国城市环境卫生协会颁发的”公共厕所入选案例“荣誉证书，得1分，（投标人须提供证书的有效复印件，未提供不得分。）；投标人曾获得省级或省级以上环境卫生协会颁发的“优秀环卫企业”称号，得1分，（投标人须提供证书复印件，未提供不得分。）。同时具有且有效得3分，具有2项且有效得2分；具有1项且有效得1分，未提供不得分，最多3分。（证明材料原件须单独密封并在递交纸质投标文件时一并提交，以便评标委员会现场核查，评标结束之后归还，未提供原件的，本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756" w:hRule="atLeast"/>
        </w:trPr>
        <w:tc>
          <w:tcPr>
            <w:tcW w:w="1471" w:type="dxa"/>
            <w:noWrap w:val="0"/>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企业综合实力</w:t>
            </w:r>
          </w:p>
        </w:tc>
        <w:tc>
          <w:tcPr>
            <w:tcW w:w="1200" w:type="dxa"/>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5526" w:type="dxa"/>
            <w:noWrap w:val="0"/>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投标人曾获得省级或省级以上总工会颁发的“五一劳动奖状”称号，得3分，获得市级总工会颁发的“五一劳动奖状”称号，得2分，获得区县级总工会颁发的“五一劳动奖状”称号，得1分，其余不得分。投标人须提供证书的有效复印件，未提供不得分。（证明材料原件须单独密封并在递交纸质投标文件时一并提交，以便评标委员会现场核查，评标结束之后归还，未提供原件的本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326" w:hRule="atLeast"/>
        </w:trPr>
        <w:tc>
          <w:tcPr>
            <w:tcW w:w="1471" w:type="dxa"/>
            <w:noWrap w:val="0"/>
            <w:vAlign w:val="center"/>
          </w:tcPr>
          <w:p>
            <w:pPr>
              <w:keepNext w:val="0"/>
              <w:keepLines w:val="0"/>
              <w:widowControl/>
              <w:suppressLineNumbers w:val="0"/>
              <w:jc w:val="left"/>
              <w:textAlignment w:val="center"/>
              <w:rPr>
                <w:rFonts w:hint="default" w:ascii="宋体" w:hAnsi="宋体" w:eastAsia="宋体" w:cs="宋体"/>
                <w:i w:val="0"/>
                <w:color w:val="000000"/>
                <w:sz w:val="24"/>
                <w:szCs w:val="24"/>
                <w:u w:val="none"/>
                <w:lang w:val="en-US"/>
              </w:rPr>
            </w:pPr>
            <w:r>
              <w:rPr>
                <w:rFonts w:hint="eastAsia" w:ascii="宋体" w:hAnsi="宋体" w:cs="宋体"/>
                <w:i w:val="0"/>
                <w:color w:val="000000"/>
                <w:kern w:val="0"/>
                <w:sz w:val="24"/>
                <w:szCs w:val="24"/>
                <w:u w:val="none"/>
                <w:lang w:val="en-US" w:eastAsia="zh-CN" w:bidi="ar"/>
              </w:rPr>
              <w:t>劳动模范称号</w:t>
            </w:r>
          </w:p>
        </w:tc>
        <w:tc>
          <w:tcPr>
            <w:tcW w:w="1200" w:type="dxa"/>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5526" w:type="dxa"/>
            <w:noWrap w:val="0"/>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投标人企业一线环卫员工曾获得全国劳动模范称号的得3分，省级劳动模范称号的得1.5分，市级劳动模范称号的得0.5分，其余不得分。投标人须提供证书有效复印件、获奖名单公示网页截图或者打印件及提供可查询公示的网址链接，并提供该员工当年度的有效劳动合同及当年度的整年缴交医社保证明资料，以此来证明获奖员工获奖当年属于投标单位员工且在投标人单位工作获得所属荣誉，未提供或者提供不全不得分。（证明材料原件须单独密封并在递交纸质投标文件时一并提交，以便评标委员会现场核查，评标结束之后归还，未提供原件的本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471" w:type="dxa"/>
            <w:noWrap w:val="0"/>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项目管理人员资格证书</w:t>
            </w:r>
          </w:p>
        </w:tc>
        <w:tc>
          <w:tcPr>
            <w:tcW w:w="1200" w:type="dxa"/>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5526" w:type="dxa"/>
            <w:noWrap w:val="0"/>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根据投标人通过市级及以上环卫主管部门或环卫行业协会培训，获得相关环境卫生作业项目</w:t>
            </w:r>
            <w:r>
              <w:rPr>
                <w:rFonts w:hint="eastAsia" w:ascii="宋体" w:hAnsi="宋体" w:cs="宋体"/>
                <w:i w:val="0"/>
                <w:color w:val="000000"/>
                <w:kern w:val="0"/>
                <w:sz w:val="24"/>
                <w:szCs w:val="24"/>
                <w:u w:val="none"/>
                <w:lang w:val="en-US" w:eastAsia="zh-CN" w:bidi="ar"/>
              </w:rPr>
              <w:t>负责人岗位</w:t>
            </w:r>
            <w:r>
              <w:rPr>
                <w:rFonts w:hint="eastAsia" w:ascii="宋体" w:hAnsi="宋体" w:eastAsia="宋体" w:cs="宋体"/>
                <w:i w:val="0"/>
                <w:color w:val="000000"/>
                <w:kern w:val="0"/>
                <w:sz w:val="24"/>
                <w:szCs w:val="24"/>
                <w:u w:val="none"/>
                <w:lang w:val="en-US" w:eastAsia="zh-CN" w:bidi="ar"/>
              </w:rPr>
              <w:t>资格证书的数量情况评议：</w:t>
            </w:r>
            <w:r>
              <w:rPr>
                <w:rFonts w:hint="eastAsia" w:ascii="宋体" w:hAnsi="宋体" w:cs="宋体"/>
                <w:i w:val="0"/>
                <w:color w:val="000000"/>
                <w:kern w:val="0"/>
                <w:sz w:val="24"/>
                <w:szCs w:val="24"/>
                <w:u w:val="none"/>
                <w:lang w:val="en-US" w:eastAsia="zh-CN" w:bidi="ar"/>
              </w:rPr>
              <w:t>4</w:t>
            </w:r>
            <w:r>
              <w:rPr>
                <w:rFonts w:hint="eastAsia" w:ascii="宋体" w:hAnsi="宋体" w:eastAsia="宋体" w:cs="宋体"/>
                <w:i w:val="0"/>
                <w:color w:val="000000"/>
                <w:kern w:val="0"/>
                <w:sz w:val="24"/>
                <w:szCs w:val="24"/>
                <w:u w:val="none"/>
                <w:lang w:val="en-US" w:eastAsia="zh-CN" w:bidi="ar"/>
              </w:rPr>
              <w:t>0本&lt;资格证书数量≤</w:t>
            </w:r>
            <w:r>
              <w:rPr>
                <w:rFonts w:hint="eastAsia" w:ascii="宋体" w:hAnsi="宋体" w:cs="宋体"/>
                <w:i w:val="0"/>
                <w:color w:val="000000"/>
                <w:kern w:val="0"/>
                <w:sz w:val="24"/>
                <w:szCs w:val="24"/>
                <w:u w:val="none"/>
                <w:lang w:val="en-US" w:eastAsia="zh-CN" w:bidi="ar"/>
              </w:rPr>
              <w:t>5</w:t>
            </w:r>
            <w:r>
              <w:rPr>
                <w:rFonts w:hint="eastAsia" w:ascii="宋体" w:hAnsi="宋体" w:eastAsia="宋体" w:cs="宋体"/>
                <w:i w:val="0"/>
                <w:color w:val="000000"/>
                <w:kern w:val="0"/>
                <w:sz w:val="24"/>
                <w:szCs w:val="24"/>
                <w:u w:val="none"/>
                <w:lang w:val="en-US" w:eastAsia="zh-CN" w:bidi="ar"/>
              </w:rPr>
              <w:t>0本的，得1分；</w:t>
            </w:r>
            <w:r>
              <w:rPr>
                <w:rFonts w:hint="eastAsia" w:ascii="宋体" w:hAnsi="宋体" w:cs="宋体"/>
                <w:i w:val="0"/>
                <w:color w:val="000000"/>
                <w:kern w:val="0"/>
                <w:sz w:val="24"/>
                <w:szCs w:val="24"/>
                <w:u w:val="none"/>
                <w:lang w:val="en-US" w:eastAsia="zh-CN" w:bidi="ar"/>
              </w:rPr>
              <w:t>5</w:t>
            </w:r>
            <w:r>
              <w:rPr>
                <w:rFonts w:hint="eastAsia" w:ascii="宋体" w:hAnsi="宋体" w:eastAsia="宋体" w:cs="宋体"/>
                <w:i w:val="0"/>
                <w:color w:val="000000"/>
                <w:kern w:val="0"/>
                <w:sz w:val="24"/>
                <w:szCs w:val="24"/>
                <w:u w:val="none"/>
                <w:lang w:val="en-US" w:eastAsia="zh-CN" w:bidi="ar"/>
              </w:rPr>
              <w:t>0本&lt;资格证书数量≤</w:t>
            </w:r>
            <w:r>
              <w:rPr>
                <w:rFonts w:hint="eastAsia" w:ascii="宋体" w:hAnsi="宋体" w:cs="宋体"/>
                <w:i w:val="0"/>
                <w:color w:val="000000"/>
                <w:kern w:val="0"/>
                <w:sz w:val="24"/>
                <w:szCs w:val="24"/>
                <w:u w:val="none"/>
                <w:lang w:val="en-US" w:eastAsia="zh-CN" w:bidi="ar"/>
              </w:rPr>
              <w:t>6</w:t>
            </w:r>
            <w:r>
              <w:rPr>
                <w:rFonts w:hint="eastAsia" w:ascii="宋体" w:hAnsi="宋体" w:eastAsia="宋体" w:cs="宋体"/>
                <w:i w:val="0"/>
                <w:color w:val="000000"/>
                <w:kern w:val="0"/>
                <w:sz w:val="24"/>
                <w:szCs w:val="24"/>
                <w:u w:val="none"/>
                <w:lang w:val="en-US" w:eastAsia="zh-CN" w:bidi="ar"/>
              </w:rPr>
              <w:t>0本的，得2分；资格证书数量&gt;</w:t>
            </w:r>
            <w:r>
              <w:rPr>
                <w:rFonts w:hint="eastAsia" w:ascii="宋体" w:hAnsi="宋体" w:cs="宋体"/>
                <w:i w:val="0"/>
                <w:color w:val="000000"/>
                <w:kern w:val="0"/>
                <w:sz w:val="24"/>
                <w:szCs w:val="24"/>
                <w:u w:val="none"/>
                <w:lang w:val="en-US" w:eastAsia="zh-CN" w:bidi="ar"/>
              </w:rPr>
              <w:t>6</w:t>
            </w:r>
            <w:r>
              <w:rPr>
                <w:rFonts w:hint="eastAsia" w:ascii="宋体" w:hAnsi="宋体" w:eastAsia="宋体" w:cs="宋体"/>
                <w:i w:val="0"/>
                <w:color w:val="000000"/>
                <w:kern w:val="0"/>
                <w:sz w:val="24"/>
                <w:szCs w:val="24"/>
                <w:u w:val="none"/>
                <w:lang w:val="en-US" w:eastAsia="zh-CN" w:bidi="ar"/>
              </w:rPr>
              <w:t>0本的，得3分。 提供资格证书复印件和需提供所有人员证书及其本项目开标截止之日前连续近六个月投标单位为其缴交社保的证明材料，社保证明材料应从社保窗口或从社保系统中打印为准。（证明材料原件须单独密封并在递交纸质投标文件时一并提交，以便评标委员会现场核查，评标结束之后归还，未提供原件的本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03" w:hRule="atLeast"/>
        </w:trPr>
        <w:tc>
          <w:tcPr>
            <w:tcW w:w="1471" w:type="dxa"/>
            <w:noWrap w:val="0"/>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考评情况</w:t>
            </w:r>
          </w:p>
        </w:tc>
        <w:tc>
          <w:tcPr>
            <w:tcW w:w="1200" w:type="dxa"/>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5526" w:type="dxa"/>
            <w:noWrap w:val="0"/>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投标人所承担的道路清扫保洁项目在地市级及以上市容（环卫）管理考评中，连续六年及以上考评或考核成绩第一名得3分，连续四年及以上考评或考核成绩第一名得2分，连续两年考评或考核成绩第一名得1分。（证明材料须附区县级或以上环卫主管部门提供的考核成绩证明资料，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129" w:hRule="atLeast"/>
        </w:trPr>
        <w:tc>
          <w:tcPr>
            <w:tcW w:w="1471"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投标人自身承担的道路清扫保洁作业单项承包面积情况</w:t>
            </w:r>
          </w:p>
        </w:tc>
        <w:tc>
          <w:tcPr>
            <w:tcW w:w="1200" w:type="dxa"/>
            <w:noWrap w:val="0"/>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3</w:t>
            </w:r>
          </w:p>
        </w:tc>
        <w:tc>
          <w:tcPr>
            <w:tcW w:w="5526" w:type="dxa"/>
            <w:noWrap w:val="0"/>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根据投标人提供2016年至今(以合同签订时间为准)</w:t>
            </w:r>
            <w:r>
              <w:rPr>
                <w:rFonts w:hint="eastAsia" w:ascii="宋体" w:hAnsi="宋体" w:cs="宋体"/>
                <w:i w:val="0"/>
                <w:color w:val="auto"/>
                <w:kern w:val="0"/>
                <w:sz w:val="24"/>
                <w:szCs w:val="24"/>
                <w:u w:val="none"/>
                <w:lang w:val="en-US" w:eastAsia="zh-CN" w:bidi="ar"/>
              </w:rPr>
              <w:t>道路</w:t>
            </w:r>
            <w:r>
              <w:rPr>
                <w:rFonts w:hint="eastAsia" w:ascii="宋体" w:hAnsi="宋体" w:eastAsia="宋体" w:cs="宋体"/>
                <w:i w:val="0"/>
                <w:color w:val="auto"/>
                <w:kern w:val="0"/>
                <w:sz w:val="24"/>
                <w:szCs w:val="24"/>
                <w:u w:val="none"/>
                <w:lang w:val="en-US" w:eastAsia="zh-CN" w:bidi="ar"/>
              </w:rPr>
              <w:t>清扫保洁类似项目业绩情况，每提供一个服务面积达50万平方米以上100万平方米以下的项目得1</w:t>
            </w:r>
            <w:r>
              <w:rPr>
                <w:rFonts w:hint="eastAsia" w:ascii="宋体" w:hAnsi="宋体" w:cs="宋体"/>
                <w:i w:val="0"/>
                <w:color w:val="auto"/>
                <w:kern w:val="0"/>
                <w:sz w:val="24"/>
                <w:szCs w:val="24"/>
                <w:u w:val="none"/>
                <w:lang w:val="en-US" w:eastAsia="zh-CN" w:bidi="ar"/>
              </w:rPr>
              <w:t>.5</w:t>
            </w:r>
            <w:r>
              <w:rPr>
                <w:rFonts w:hint="eastAsia" w:ascii="宋体" w:hAnsi="宋体" w:eastAsia="宋体" w:cs="宋体"/>
                <w:i w:val="0"/>
                <w:color w:val="auto"/>
                <w:kern w:val="0"/>
                <w:sz w:val="24"/>
                <w:szCs w:val="24"/>
                <w:u w:val="none"/>
                <w:lang w:val="en-US" w:eastAsia="zh-CN" w:bidi="ar"/>
              </w:rPr>
              <w:t>分，每提供一个服务面积达100万平方米及以上的项目得3分，满分3分。以投标人提供该业绩的中标（成交）公告（提供相关网站中标（成交）公告的下载网页及其网址）、中标（成交）通知书复印件、采购合同文本复印件以及能够证明该业绩项目已经采购人验收合格的相关证明文件复印件为准，未同时提供以上业绩完整证明材料的或查询网址无法链接的，本项不得分。（以上业绩需为投标人单位独立完成，联合体中标不计为有效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596" w:hRule="atLeast"/>
        </w:trPr>
        <w:tc>
          <w:tcPr>
            <w:tcW w:w="1471" w:type="dxa"/>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企业服务年限</w:t>
            </w:r>
          </w:p>
        </w:tc>
        <w:tc>
          <w:tcPr>
            <w:tcW w:w="1200"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3</w:t>
            </w:r>
          </w:p>
        </w:tc>
        <w:tc>
          <w:tcPr>
            <w:tcW w:w="5526" w:type="dxa"/>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根据投标人从事城市环境卫生作业服务年限情况进行评价，服务年限</w:t>
            </w:r>
            <w:r>
              <w:rPr>
                <w:rFonts w:hint="eastAsia" w:ascii="宋体" w:hAnsi="宋体" w:cs="宋体"/>
                <w:i w:val="0"/>
                <w:color w:val="auto"/>
                <w:kern w:val="0"/>
                <w:sz w:val="24"/>
                <w:szCs w:val="24"/>
                <w:u w:val="none"/>
                <w:lang w:val="en-US" w:eastAsia="zh-CN" w:bidi="ar"/>
              </w:rPr>
              <w:t>满5周年以上</w:t>
            </w:r>
            <w:r>
              <w:rPr>
                <w:rFonts w:hint="eastAsia" w:ascii="宋体" w:hAnsi="宋体" w:eastAsia="宋体" w:cs="宋体"/>
                <w:i w:val="0"/>
                <w:color w:val="auto"/>
                <w:kern w:val="0"/>
                <w:sz w:val="24"/>
                <w:szCs w:val="24"/>
                <w:u w:val="none"/>
                <w:lang w:val="en-US" w:eastAsia="zh-CN" w:bidi="ar"/>
              </w:rPr>
              <w:t>的1分，</w:t>
            </w:r>
            <w:r>
              <w:rPr>
                <w:rFonts w:hint="eastAsia" w:ascii="宋体" w:hAnsi="宋体" w:cs="宋体"/>
                <w:i w:val="0"/>
                <w:color w:val="auto"/>
                <w:kern w:val="0"/>
                <w:sz w:val="24"/>
                <w:szCs w:val="24"/>
                <w:u w:val="none"/>
                <w:lang w:val="en-US" w:eastAsia="zh-CN" w:bidi="ar"/>
              </w:rPr>
              <w:t>6</w:t>
            </w:r>
            <w:r>
              <w:rPr>
                <w:rFonts w:hint="eastAsia" w:ascii="宋体" w:hAnsi="宋体" w:eastAsia="宋体" w:cs="宋体"/>
                <w:i w:val="0"/>
                <w:color w:val="auto"/>
                <w:kern w:val="0"/>
                <w:sz w:val="24"/>
                <w:szCs w:val="24"/>
                <w:u w:val="none"/>
                <w:lang w:val="en-US" w:eastAsia="zh-CN" w:bidi="ar"/>
              </w:rPr>
              <w:t>周年至</w:t>
            </w:r>
            <w:r>
              <w:rPr>
                <w:rFonts w:hint="eastAsia" w:ascii="宋体" w:hAnsi="宋体" w:cs="宋体"/>
                <w:i w:val="0"/>
                <w:color w:val="auto"/>
                <w:kern w:val="0"/>
                <w:sz w:val="24"/>
                <w:szCs w:val="24"/>
                <w:u w:val="none"/>
                <w:lang w:val="en-US" w:eastAsia="zh-CN" w:bidi="ar"/>
              </w:rPr>
              <w:t>9</w:t>
            </w:r>
            <w:r>
              <w:rPr>
                <w:rFonts w:hint="eastAsia" w:ascii="宋体" w:hAnsi="宋体" w:eastAsia="宋体" w:cs="宋体"/>
                <w:i w:val="0"/>
                <w:color w:val="auto"/>
                <w:kern w:val="0"/>
                <w:sz w:val="24"/>
                <w:szCs w:val="24"/>
                <w:u w:val="none"/>
                <w:lang w:val="en-US" w:eastAsia="zh-CN" w:bidi="ar"/>
              </w:rPr>
              <w:t>周年，得2分，</w:t>
            </w:r>
            <w:r>
              <w:rPr>
                <w:rFonts w:hint="eastAsia" w:ascii="宋体" w:hAnsi="宋体" w:cs="宋体"/>
                <w:i w:val="0"/>
                <w:color w:val="auto"/>
                <w:kern w:val="0"/>
                <w:sz w:val="24"/>
                <w:szCs w:val="24"/>
                <w:u w:val="none"/>
                <w:lang w:val="en-US" w:eastAsia="zh-CN" w:bidi="ar"/>
              </w:rPr>
              <w:t>满10</w:t>
            </w:r>
            <w:r>
              <w:rPr>
                <w:rFonts w:hint="eastAsia" w:ascii="宋体" w:hAnsi="宋体" w:eastAsia="宋体" w:cs="宋体"/>
                <w:i w:val="0"/>
                <w:color w:val="auto"/>
                <w:kern w:val="0"/>
                <w:sz w:val="24"/>
                <w:szCs w:val="24"/>
                <w:u w:val="none"/>
                <w:lang w:val="en-US" w:eastAsia="zh-CN" w:bidi="ar"/>
              </w:rPr>
              <w:t>周年以上得3分，服务年限以投标人提供的城市环境卫生作业服务项目业绩证明材料年度计算或提供区县级及以上市容环卫主管部门提供的作业服务年限证明资料。</w:t>
            </w:r>
          </w:p>
        </w:tc>
      </w:tr>
    </w:tbl>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480"/>
        <w:textAlignment w:val="auto"/>
        <w:rPr>
          <w:rFonts w:hint="eastAsia" w:ascii="宋体" w:hAnsi="宋体" w:eastAsia="宋体" w:cs="宋体"/>
          <w:sz w:val="24"/>
          <w:szCs w:val="24"/>
        </w:rPr>
      </w:pPr>
      <w:r>
        <w:rPr>
          <w:rFonts w:hint="eastAsia" w:ascii="宋体" w:hAnsi="宋体" w:eastAsia="宋体" w:cs="宋体"/>
          <w:sz w:val="24"/>
          <w:szCs w:val="24"/>
        </w:rPr>
        <w:t>④加分项（F4×A4）</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480"/>
        <w:textAlignment w:val="auto"/>
        <w:rPr>
          <w:rFonts w:hint="eastAsia" w:ascii="宋体" w:hAnsi="宋体" w:eastAsia="宋体" w:cs="宋体"/>
          <w:sz w:val="24"/>
          <w:szCs w:val="24"/>
        </w:rPr>
      </w:pPr>
      <w:r>
        <w:rPr>
          <w:rFonts w:hint="eastAsia" w:ascii="宋体" w:hAnsi="宋体" w:eastAsia="宋体" w:cs="宋体"/>
          <w:sz w:val="24"/>
          <w:szCs w:val="24"/>
        </w:rPr>
        <w:t>a.优先类节能产品、环境标志产品：</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480"/>
        <w:textAlignment w:val="auto"/>
        <w:rPr>
          <w:rFonts w:hint="eastAsia" w:ascii="宋体" w:hAnsi="宋体" w:eastAsia="宋体" w:cs="宋体"/>
          <w:sz w:val="24"/>
          <w:szCs w:val="24"/>
        </w:rPr>
      </w:pPr>
      <w:r>
        <w:rPr>
          <w:rFonts w:hint="eastAsia" w:ascii="宋体" w:hAnsi="宋体" w:eastAsia="宋体" w:cs="宋体"/>
          <w:sz w:val="24"/>
          <w:szCs w:val="24"/>
        </w:rPr>
        <w:t>a1若同一合同包内节能、环境标志产品报价总金额低于该合同包报价总金额20%（含20%）以下，将分别给予节能、环境标志产品价格项（F1×A1，按照满分计）和技术项（F2×A2，按照满分计）4%的加分；若同一合同包内节能、环境标志产品报价总金额占该合同包报价总金额20%-50%（含50%），将分别给予节能、环境标志产品价格项（F1×A1，按照满分计）和技术项（F2×A2，按照满分计）6%的加分；若同一合同包内节能、环境标志产品报价总金额占该合同包报价总金额50%以上的，将分别给予节能、环境标志产品价格项（F1×A1，按照满分计）和技术项（F2×A2，按照满分计）8%的加分。</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480"/>
        <w:textAlignment w:val="auto"/>
        <w:rPr>
          <w:rFonts w:hint="eastAsia" w:ascii="宋体" w:hAnsi="宋体" w:eastAsia="宋体" w:cs="宋体"/>
          <w:sz w:val="24"/>
          <w:szCs w:val="24"/>
        </w:rPr>
      </w:pPr>
      <w:r>
        <w:rPr>
          <w:rFonts w:hint="eastAsia" w:ascii="宋体" w:hAnsi="宋体" w:eastAsia="宋体" w:cs="宋体"/>
          <w:sz w:val="24"/>
          <w:szCs w:val="24"/>
        </w:rPr>
        <w:t xml:space="preserve">a2若节能、环境标志产品仅是构成投标产品的部件、组件或零件，则该投标产品不享受鼓励优惠政策。同一品目中各认证证书不重复计算加分。强制类节能产品不享受加分。 </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480"/>
        <w:textAlignment w:val="auto"/>
        <w:rPr>
          <w:rFonts w:hint="eastAsia" w:ascii="宋体" w:hAnsi="宋体" w:eastAsia="宋体" w:cs="宋体"/>
          <w:sz w:val="24"/>
          <w:szCs w:val="24"/>
        </w:rPr>
      </w:pPr>
      <w:r>
        <w:rPr>
          <w:rStyle w:val="10"/>
          <w:rFonts w:hint="eastAsia" w:ascii="宋体" w:hAnsi="宋体" w:eastAsia="宋体" w:cs="宋体"/>
          <w:sz w:val="24"/>
          <w:szCs w:val="24"/>
        </w:rPr>
        <w:t> 无</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480"/>
        <w:textAlignment w:val="auto"/>
        <w:rPr>
          <w:rFonts w:hint="eastAsia" w:ascii="宋体" w:hAnsi="宋体" w:eastAsia="宋体" w:cs="宋体"/>
          <w:sz w:val="24"/>
          <w:szCs w:val="24"/>
        </w:rPr>
      </w:pPr>
      <w:r>
        <w:rPr>
          <w:rFonts w:hint="eastAsia" w:ascii="宋体" w:hAnsi="宋体" w:eastAsia="宋体" w:cs="宋体"/>
          <w:sz w:val="24"/>
          <w:szCs w:val="24"/>
        </w:rPr>
        <w:t xml:space="preserve">（4）中标候选人排列规则顺序如下： </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480"/>
        <w:textAlignment w:val="auto"/>
        <w:rPr>
          <w:rFonts w:hint="eastAsia" w:ascii="宋体" w:hAnsi="宋体" w:eastAsia="宋体" w:cs="宋体"/>
          <w:sz w:val="24"/>
          <w:szCs w:val="24"/>
        </w:rPr>
      </w:pPr>
      <w:r>
        <w:rPr>
          <w:rFonts w:hint="eastAsia" w:ascii="宋体" w:hAnsi="宋体" w:eastAsia="宋体" w:cs="宋体"/>
          <w:sz w:val="24"/>
          <w:szCs w:val="24"/>
        </w:rPr>
        <w:t>a.按照评标总得分（FA）由高到低顺序排列。</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480"/>
        <w:textAlignment w:val="auto"/>
        <w:rPr>
          <w:rFonts w:hint="eastAsia" w:ascii="宋体" w:hAnsi="宋体" w:eastAsia="宋体" w:cs="宋体"/>
          <w:sz w:val="24"/>
          <w:szCs w:val="24"/>
        </w:rPr>
      </w:pPr>
      <w:r>
        <w:rPr>
          <w:rFonts w:hint="eastAsia" w:ascii="宋体" w:hAnsi="宋体" w:eastAsia="宋体" w:cs="宋体"/>
          <w:sz w:val="24"/>
          <w:szCs w:val="24"/>
        </w:rPr>
        <w:t xml:space="preserve">b.评标总得分（FA）相同的，按照评标价（即价格扣除后的投标报价）由低到高顺序排列。 </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480"/>
        <w:textAlignment w:val="auto"/>
        <w:rPr>
          <w:rFonts w:hint="eastAsia" w:ascii="宋体" w:hAnsi="宋体" w:eastAsia="宋体" w:cs="宋体"/>
          <w:sz w:val="24"/>
          <w:szCs w:val="24"/>
        </w:rPr>
      </w:pPr>
      <w:r>
        <w:rPr>
          <w:rFonts w:hint="eastAsia" w:ascii="宋体" w:hAnsi="宋体" w:eastAsia="宋体" w:cs="宋体"/>
          <w:sz w:val="24"/>
          <w:szCs w:val="24"/>
        </w:rPr>
        <w:t xml:space="preserve">c.评标总得分（FA）且评标价（即价格扣除后的投标报价）相同的并列。 </w:t>
      </w:r>
    </w:p>
    <w:p>
      <w:pPr>
        <w:pStyle w:val="6"/>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0"/>
        <w:textAlignment w:val="auto"/>
        <w:rPr>
          <w:rFonts w:hint="eastAsia" w:ascii="宋体" w:hAnsi="宋体" w:eastAsia="宋体" w:cs="宋体"/>
          <w:sz w:val="24"/>
          <w:szCs w:val="24"/>
        </w:rPr>
      </w:pPr>
      <w:r>
        <w:rPr>
          <w:rFonts w:hint="eastAsia" w:ascii="宋体" w:hAnsi="宋体" w:eastAsia="宋体" w:cs="宋体"/>
          <w:spacing w:val="0"/>
          <w:sz w:val="24"/>
          <w:szCs w:val="24"/>
        </w:rPr>
        <w:t>8、其他规定</w:t>
      </w:r>
    </w:p>
    <w:p>
      <w:pPr>
        <w:pStyle w:val="6"/>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0"/>
        <w:textAlignment w:val="auto"/>
        <w:rPr>
          <w:rFonts w:hint="eastAsia" w:ascii="宋体" w:hAnsi="宋体" w:eastAsia="宋体" w:cs="宋体"/>
          <w:sz w:val="24"/>
          <w:szCs w:val="24"/>
        </w:rPr>
      </w:pPr>
      <w:r>
        <w:rPr>
          <w:rFonts w:hint="eastAsia" w:ascii="宋体" w:hAnsi="宋体" w:eastAsia="宋体" w:cs="宋体"/>
          <w:spacing w:val="0"/>
          <w:sz w:val="24"/>
          <w:szCs w:val="24"/>
        </w:rPr>
        <w:t>8.1评标应全程保密且不得透露给任一投标人或与评标工作无关的人员。</w:t>
      </w:r>
    </w:p>
    <w:p>
      <w:pPr>
        <w:pStyle w:val="6"/>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0"/>
        <w:textAlignment w:val="auto"/>
        <w:rPr>
          <w:rFonts w:hint="eastAsia" w:ascii="宋体" w:hAnsi="宋体" w:eastAsia="宋体" w:cs="宋体"/>
          <w:sz w:val="24"/>
          <w:szCs w:val="24"/>
        </w:rPr>
      </w:pPr>
      <w:r>
        <w:rPr>
          <w:rFonts w:hint="eastAsia" w:ascii="宋体" w:hAnsi="宋体" w:eastAsia="宋体" w:cs="宋体"/>
          <w:spacing w:val="0"/>
          <w:sz w:val="24"/>
          <w:szCs w:val="24"/>
        </w:rPr>
        <w:t>8.2评标将进行全程实时录音录像，录音录像资料随采购文件一并存档。</w:t>
      </w:r>
    </w:p>
    <w:p>
      <w:pPr>
        <w:pStyle w:val="6"/>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0"/>
        <w:textAlignment w:val="auto"/>
        <w:rPr>
          <w:rFonts w:hint="eastAsia" w:ascii="宋体" w:hAnsi="宋体" w:eastAsia="宋体" w:cs="宋体"/>
          <w:sz w:val="24"/>
          <w:szCs w:val="24"/>
        </w:rPr>
      </w:pPr>
      <w:r>
        <w:rPr>
          <w:rFonts w:hint="eastAsia" w:ascii="宋体" w:hAnsi="宋体" w:eastAsia="宋体" w:cs="宋体"/>
          <w:spacing w:val="0"/>
          <w:sz w:val="24"/>
          <w:szCs w:val="24"/>
        </w:rPr>
        <w:t>8.3若投标人有任何试图干扰具体评标事务，影响评标委员会独立履行职责的行为，其投标无效且不予退还投标保证金。情节严重的，由财政部门列入不良行为记录。</w:t>
      </w:r>
    </w:p>
    <w:p>
      <w:pPr>
        <w:pStyle w:val="6"/>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0"/>
        <w:textAlignment w:val="auto"/>
        <w:rPr>
          <w:rFonts w:hint="eastAsia" w:ascii="宋体" w:hAnsi="宋体" w:eastAsia="宋体" w:cs="宋体"/>
          <w:spacing w:val="0"/>
          <w:sz w:val="24"/>
          <w:szCs w:val="24"/>
        </w:rPr>
      </w:pPr>
      <w:r>
        <w:rPr>
          <w:rFonts w:hint="eastAsia" w:ascii="宋体" w:hAnsi="宋体" w:eastAsia="宋体" w:cs="宋体"/>
          <w:spacing w:val="0"/>
          <w:sz w:val="24"/>
          <w:szCs w:val="24"/>
        </w:rPr>
        <w:t>8.4其他：无。</w:t>
      </w:r>
    </w:p>
    <w:p>
      <w:pPr>
        <w:pStyle w:val="6"/>
        <w:keepNext w:val="0"/>
        <w:keepLines w:val="0"/>
        <w:widowControl/>
        <w:suppressLineNumbers w:val="0"/>
        <w:spacing w:before="75" w:beforeAutospacing="0" w:after="75" w:afterAutospacing="0"/>
        <w:ind w:left="0" w:right="0" w:firstLine="0"/>
        <w:rPr>
          <w:rFonts w:hint="eastAsia" w:ascii="宋体" w:hAnsi="宋体" w:eastAsia="宋体" w:cs="宋体"/>
          <w:spacing w:val="0"/>
          <w:sz w:val="24"/>
          <w:szCs w:val="24"/>
        </w:rPr>
      </w:pPr>
    </w:p>
    <w:p>
      <w:pPr>
        <w:pStyle w:val="6"/>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60" w:lineRule="exact"/>
        <w:ind w:left="0" w:right="0" w:firstLine="0"/>
        <w:jc w:val="center"/>
        <w:textAlignment w:val="auto"/>
        <w:rPr>
          <w:rFonts w:hint="eastAsia" w:ascii="宋体" w:hAnsi="宋体" w:eastAsia="宋体" w:cs="宋体"/>
          <w:sz w:val="28"/>
          <w:szCs w:val="28"/>
        </w:rPr>
      </w:pPr>
      <w:r>
        <w:rPr>
          <w:rStyle w:val="10"/>
          <w:rFonts w:hint="eastAsia" w:ascii="宋体" w:hAnsi="宋体" w:eastAsia="宋体" w:cs="宋体"/>
          <w:spacing w:val="0"/>
          <w:sz w:val="28"/>
          <w:szCs w:val="28"/>
        </w:rPr>
        <w:t>第五章</w:t>
      </w:r>
      <w:r>
        <w:rPr>
          <w:rStyle w:val="10"/>
          <w:rFonts w:hint="eastAsia" w:ascii="宋体" w:hAnsi="宋体" w:cs="宋体"/>
          <w:spacing w:val="0"/>
          <w:sz w:val="28"/>
          <w:szCs w:val="28"/>
          <w:lang w:val="en-US" w:eastAsia="zh-CN"/>
        </w:rPr>
        <w:t xml:space="preserve"> </w:t>
      </w:r>
      <w:r>
        <w:rPr>
          <w:rStyle w:val="10"/>
          <w:rFonts w:hint="eastAsia" w:ascii="宋体" w:hAnsi="宋体" w:eastAsia="宋体" w:cs="宋体"/>
          <w:spacing w:val="0"/>
          <w:sz w:val="28"/>
          <w:szCs w:val="28"/>
        </w:rPr>
        <w:t>招标内容及要求</w:t>
      </w:r>
    </w:p>
    <w:p>
      <w:pPr>
        <w:pStyle w:val="6"/>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60" w:lineRule="exact"/>
        <w:ind w:left="0" w:right="0" w:firstLine="0"/>
        <w:textAlignment w:val="auto"/>
        <w:rPr>
          <w:rFonts w:hint="eastAsia" w:ascii="宋体" w:hAnsi="宋体" w:eastAsia="宋体" w:cs="宋体"/>
          <w:sz w:val="24"/>
          <w:szCs w:val="24"/>
        </w:rPr>
      </w:pPr>
      <w:r>
        <w:rPr>
          <w:rFonts w:hint="eastAsia" w:ascii="宋体" w:hAnsi="宋体" w:eastAsia="宋体" w:cs="宋体"/>
          <w:spacing w:val="0"/>
          <w:sz w:val="24"/>
          <w:szCs w:val="24"/>
        </w:rPr>
        <w:t>一、项目概况（采购标的）</w:t>
      </w:r>
    </w:p>
    <w:p>
      <w:pPr>
        <w:pStyle w:val="6"/>
        <w:keepNext w:val="0"/>
        <w:keepLines w:val="0"/>
        <w:pageBreakBefore w:val="0"/>
        <w:widowControl/>
        <w:suppressLineNumbers w:val="0"/>
        <w:kinsoku/>
        <w:wordWrap/>
        <w:overflowPunct/>
        <w:topLinePunct w:val="0"/>
        <w:autoSpaceDE/>
        <w:autoSpaceDN/>
        <w:bidi w:val="0"/>
        <w:adjustRightInd/>
        <w:snapToGrid/>
        <w:spacing w:line="460" w:lineRule="exact"/>
        <w:ind w:left="0" w:firstLine="480"/>
        <w:textAlignment w:val="auto"/>
        <w:rPr>
          <w:rFonts w:hint="eastAsia" w:ascii="宋体" w:hAnsi="宋体" w:eastAsia="宋体" w:cs="宋体"/>
          <w:sz w:val="24"/>
          <w:szCs w:val="24"/>
        </w:rPr>
      </w:pPr>
      <w:r>
        <w:rPr>
          <w:rFonts w:hint="eastAsia" w:ascii="宋体" w:hAnsi="宋体" w:eastAsia="宋体" w:cs="宋体"/>
          <w:sz w:val="24"/>
          <w:szCs w:val="24"/>
        </w:rPr>
        <w:t>为进一步巩固我县升级文明县城，</w:t>
      </w:r>
      <w:r>
        <w:rPr>
          <w:rFonts w:hint="eastAsia" w:ascii="宋体" w:hAnsi="宋体" w:eastAsia="宋体" w:cs="宋体"/>
          <w:sz w:val="24"/>
          <w:szCs w:val="24"/>
          <w:lang w:val="en-US" w:eastAsia="zh-CN"/>
        </w:rPr>
        <w:t>解决我县城区环卫存在的问题，进一步提升城区市容环境品质，提高辖区居民对人居环境需求及满意度，拟采用“干管分离”的管理模式实施城区环卫管理，即由环卫主管部门负责全县市容环卫规划、考评考核、作业指导、监管等职能，同时面向市场</w:t>
      </w:r>
      <w:r>
        <w:rPr>
          <w:rFonts w:hint="eastAsia" w:ascii="宋体" w:hAnsi="宋体" w:cs="宋体"/>
          <w:sz w:val="24"/>
          <w:szCs w:val="24"/>
          <w:lang w:val="en-US" w:eastAsia="zh-CN"/>
        </w:rPr>
        <w:t>。</w:t>
      </w:r>
      <w:r>
        <w:rPr>
          <w:rFonts w:hint="eastAsia" w:ascii="宋体" w:hAnsi="宋体" w:eastAsia="宋体" w:cs="宋体"/>
          <w:sz w:val="24"/>
          <w:szCs w:val="24"/>
        </w:rPr>
        <w:t>加快全县城区环卫市场化进程，切实提高环卫管理水平，改善城区卫生条件和人居环境，促进全县城区环境质量整体提升</w:t>
      </w:r>
      <w:r>
        <w:rPr>
          <w:rFonts w:hint="eastAsia" w:ascii="宋体" w:hAnsi="宋体" w:cs="宋体"/>
          <w:sz w:val="24"/>
          <w:szCs w:val="24"/>
          <w:lang w:eastAsia="zh-CN"/>
        </w:rPr>
        <w:t>，</w:t>
      </w:r>
      <w:r>
        <w:rPr>
          <w:rFonts w:hint="eastAsia" w:ascii="宋体" w:hAnsi="宋体" w:eastAsia="宋体" w:cs="宋体"/>
          <w:sz w:val="24"/>
          <w:szCs w:val="24"/>
          <w:lang w:val="en-US" w:eastAsia="zh-CN"/>
        </w:rPr>
        <w:t>对宁化县城区环卫市场化服务项目进行招标</w:t>
      </w:r>
      <w:r>
        <w:rPr>
          <w:rFonts w:hint="eastAsia" w:ascii="宋体" w:hAnsi="宋体" w:eastAsia="宋体" w:cs="宋体"/>
          <w:sz w:val="24"/>
          <w:szCs w:val="24"/>
        </w:rPr>
        <w:t>。</w:t>
      </w:r>
    </w:p>
    <w:p>
      <w:pPr>
        <w:pStyle w:val="6"/>
        <w:keepNext w:val="0"/>
        <w:keepLines w:val="0"/>
        <w:pageBreakBefore w:val="0"/>
        <w:widowControl/>
        <w:suppressLineNumbers w:val="0"/>
        <w:kinsoku/>
        <w:wordWrap/>
        <w:overflowPunct/>
        <w:topLinePunct w:val="0"/>
        <w:autoSpaceDE/>
        <w:autoSpaceDN/>
        <w:bidi w:val="0"/>
        <w:adjustRightInd/>
        <w:snapToGrid/>
        <w:spacing w:line="460" w:lineRule="exact"/>
        <w:ind w:left="0" w:firstLine="480"/>
        <w:textAlignment w:val="auto"/>
        <w:rPr>
          <w:rFonts w:hint="eastAsia" w:ascii="宋体" w:hAnsi="宋体" w:eastAsia="宋体" w:cs="宋体"/>
          <w:sz w:val="24"/>
          <w:szCs w:val="24"/>
          <w:shd w:val="clear" w:color="auto" w:fill="FFFFFF"/>
          <w:lang w:eastAsia="zh-CN"/>
        </w:rPr>
      </w:pPr>
      <w:r>
        <w:rPr>
          <w:rFonts w:hint="eastAsia" w:ascii="宋体" w:hAnsi="宋体" w:eastAsia="宋体" w:cs="宋体"/>
          <w:sz w:val="24"/>
          <w:szCs w:val="24"/>
        </w:rPr>
        <w:t>本次招标项目为</w:t>
      </w:r>
      <w:r>
        <w:rPr>
          <w:rFonts w:hint="eastAsia" w:ascii="宋体" w:hAnsi="宋体" w:eastAsia="宋体" w:cs="宋体"/>
          <w:sz w:val="24"/>
          <w:szCs w:val="24"/>
          <w:shd w:val="clear" w:color="auto" w:fill="FFFFFF"/>
          <w:lang w:val="en-US" w:eastAsia="zh-CN"/>
        </w:rPr>
        <w:t>宁化县</w:t>
      </w:r>
      <w:r>
        <w:rPr>
          <w:rFonts w:hint="eastAsia" w:ascii="宋体" w:hAnsi="宋体" w:eastAsia="宋体" w:cs="宋体"/>
          <w:sz w:val="24"/>
          <w:szCs w:val="24"/>
          <w:shd w:val="clear" w:color="auto" w:fill="FFFFFF"/>
        </w:rPr>
        <w:t>城区</w:t>
      </w:r>
      <w:r>
        <w:rPr>
          <w:rFonts w:hint="eastAsia" w:ascii="宋体" w:hAnsi="宋体" w:eastAsia="宋体" w:cs="宋体"/>
          <w:sz w:val="24"/>
          <w:szCs w:val="24"/>
          <w:shd w:val="clear" w:color="auto" w:fill="FFFFFF"/>
          <w:lang w:val="en-US" w:eastAsia="zh-CN"/>
        </w:rPr>
        <w:t>道路清扫保洁</w:t>
      </w:r>
      <w:r>
        <w:rPr>
          <w:rFonts w:hint="eastAsia" w:ascii="宋体" w:hAnsi="宋体" w:eastAsia="宋体" w:cs="宋体"/>
          <w:sz w:val="24"/>
          <w:szCs w:val="24"/>
          <w:shd w:val="clear" w:color="auto" w:fill="FFFFFF"/>
        </w:rPr>
        <w:t>、</w:t>
      </w:r>
      <w:r>
        <w:rPr>
          <w:rFonts w:hint="eastAsia" w:ascii="宋体" w:hAnsi="宋体" w:eastAsia="宋体" w:cs="宋体"/>
          <w:sz w:val="24"/>
          <w:szCs w:val="24"/>
          <w:shd w:val="clear" w:color="auto" w:fill="FFFFFF"/>
          <w:lang w:val="en-US" w:eastAsia="zh-CN"/>
        </w:rPr>
        <w:t>河道保洁、</w:t>
      </w:r>
      <w:r>
        <w:rPr>
          <w:rFonts w:hint="eastAsia" w:ascii="宋体" w:hAnsi="宋体" w:eastAsia="宋体" w:cs="宋体"/>
          <w:sz w:val="24"/>
          <w:szCs w:val="24"/>
          <w:shd w:val="clear" w:color="auto" w:fill="FFFFFF"/>
        </w:rPr>
        <w:t>公厕</w:t>
      </w:r>
      <w:r>
        <w:rPr>
          <w:rFonts w:hint="eastAsia" w:ascii="宋体" w:hAnsi="宋体" w:eastAsia="宋体" w:cs="宋体"/>
          <w:sz w:val="24"/>
          <w:szCs w:val="24"/>
          <w:shd w:val="clear" w:color="auto" w:fill="FFFFFF"/>
          <w:lang w:val="en-US" w:eastAsia="zh-CN"/>
        </w:rPr>
        <w:t>清洁</w:t>
      </w:r>
      <w:r>
        <w:rPr>
          <w:rFonts w:hint="eastAsia" w:ascii="宋体" w:hAnsi="宋体" w:eastAsia="宋体" w:cs="宋体"/>
          <w:sz w:val="24"/>
          <w:szCs w:val="24"/>
          <w:shd w:val="clear" w:color="auto" w:fill="FFFFFF"/>
        </w:rPr>
        <w:t>管理、</w:t>
      </w:r>
      <w:r>
        <w:rPr>
          <w:rFonts w:hint="eastAsia" w:ascii="宋体" w:hAnsi="宋体" w:eastAsia="宋体" w:cs="宋体"/>
          <w:sz w:val="24"/>
          <w:szCs w:val="24"/>
          <w:shd w:val="clear" w:color="auto" w:fill="FFFFFF"/>
          <w:lang w:val="en-US" w:eastAsia="zh-CN"/>
        </w:rPr>
        <w:t>垃圾转运站运行维护管理、护栏清洗保洁、果皮箱清理、城市立面“牛皮癣”清理</w:t>
      </w:r>
      <w:r>
        <w:rPr>
          <w:rFonts w:hint="eastAsia" w:ascii="宋体" w:hAnsi="宋体" w:cs="宋体"/>
          <w:sz w:val="24"/>
          <w:szCs w:val="24"/>
          <w:shd w:val="clear" w:color="auto" w:fill="FFFFFF"/>
          <w:lang w:val="en-US" w:eastAsia="zh-CN"/>
        </w:rPr>
        <w:t>、</w:t>
      </w:r>
      <w:r>
        <w:rPr>
          <w:rFonts w:hint="eastAsia" w:ascii="宋体" w:hAnsi="宋体" w:eastAsia="宋体" w:cs="宋体"/>
          <w:sz w:val="24"/>
          <w:szCs w:val="24"/>
          <w:shd w:val="clear" w:color="auto" w:fill="FFFFFF"/>
          <w:lang w:val="en-US" w:eastAsia="zh-CN"/>
        </w:rPr>
        <w:t>垃圾清运市</w:t>
      </w:r>
      <w:r>
        <w:rPr>
          <w:rFonts w:hint="eastAsia" w:ascii="宋体" w:hAnsi="宋体" w:eastAsia="宋体" w:cs="宋体"/>
          <w:sz w:val="24"/>
          <w:szCs w:val="24"/>
          <w:shd w:val="clear" w:color="auto" w:fill="FFFFFF"/>
        </w:rPr>
        <w:t>场化采购项目</w:t>
      </w:r>
      <w:r>
        <w:rPr>
          <w:rFonts w:hint="eastAsia" w:ascii="宋体" w:hAnsi="宋体" w:eastAsia="宋体" w:cs="宋体"/>
          <w:sz w:val="24"/>
          <w:szCs w:val="24"/>
          <w:shd w:val="clear" w:color="auto" w:fill="FFFFFF"/>
          <w:lang w:eastAsia="zh-CN"/>
        </w:rPr>
        <w:t>。</w:t>
      </w:r>
    </w:p>
    <w:p>
      <w:pPr>
        <w:pStyle w:val="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460" w:lineRule="exact"/>
        <w:ind w:firstLine="480"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服务期限：本项目合同期9年。</w:t>
      </w:r>
    </w:p>
    <w:p>
      <w:pPr>
        <w:pStyle w:val="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460" w:lineRule="exact"/>
        <w:ind w:firstLine="480" w:firstLineChars="200"/>
        <w:jc w:val="both"/>
        <w:textAlignment w:val="auto"/>
        <w:rPr>
          <w:rFonts w:hint="eastAsia" w:ascii="宋体" w:hAnsi="宋体" w:eastAsia="宋体" w:cs="宋体"/>
          <w:sz w:val="24"/>
          <w:szCs w:val="24"/>
          <w:lang w:val="en-US" w:eastAsia="zh-CN"/>
        </w:rPr>
      </w:pPr>
      <w:r>
        <w:rPr>
          <w:rFonts w:hint="eastAsia" w:ascii="宋体" w:hAnsi="宋体" w:cs="宋体"/>
          <w:sz w:val="24"/>
          <w:szCs w:val="24"/>
        </w:rPr>
        <w:t>在合同签署后30个工作日内在我县成立</w:t>
      </w:r>
      <w:r>
        <w:rPr>
          <w:rFonts w:hint="eastAsia" w:ascii="宋体" w:hAnsi="宋体" w:cs="宋体"/>
          <w:sz w:val="24"/>
          <w:szCs w:val="24"/>
          <w:lang w:eastAsia="zh-CN"/>
        </w:rPr>
        <w:t>中标人企业宁化分公司</w:t>
      </w:r>
      <w:r>
        <w:rPr>
          <w:rFonts w:hint="eastAsia" w:ascii="宋体" w:hAnsi="宋体" w:cs="宋体"/>
          <w:sz w:val="24"/>
          <w:szCs w:val="24"/>
        </w:rPr>
        <w:t>，不得将项目分包或转包，不得将环卫资产用于资金拆借、贷款、抵押融资或者对外担保等。</w:t>
      </w:r>
    </w:p>
    <w:p>
      <w:pPr>
        <w:pStyle w:val="6"/>
        <w:keepNext w:val="0"/>
        <w:keepLines w:val="0"/>
        <w:pageBreakBefore w:val="0"/>
        <w:widowControl/>
        <w:numPr>
          <w:ilvl w:val="0"/>
          <w:numId w:val="2"/>
        </w:numPr>
        <w:suppressLineNumbers w:val="0"/>
        <w:kinsoku/>
        <w:wordWrap/>
        <w:overflowPunct/>
        <w:topLinePunct w:val="0"/>
        <w:autoSpaceDE/>
        <w:autoSpaceDN/>
        <w:bidi w:val="0"/>
        <w:adjustRightInd/>
        <w:snapToGrid/>
        <w:spacing w:before="75" w:beforeAutospacing="0" w:after="75" w:afterAutospacing="0" w:line="460" w:lineRule="exact"/>
        <w:ind w:left="0" w:right="0" w:firstLine="0"/>
        <w:textAlignment w:val="auto"/>
        <w:rPr>
          <w:rStyle w:val="10"/>
          <w:rFonts w:hint="eastAsia" w:ascii="宋体" w:hAnsi="宋体" w:eastAsia="宋体" w:cs="宋体"/>
          <w:spacing w:val="0"/>
          <w:sz w:val="24"/>
          <w:szCs w:val="24"/>
          <w:highlight w:val="none"/>
        </w:rPr>
      </w:pPr>
      <w:r>
        <w:rPr>
          <w:rFonts w:hint="eastAsia" w:ascii="宋体" w:hAnsi="宋体" w:eastAsia="宋体" w:cs="宋体"/>
          <w:spacing w:val="0"/>
          <w:sz w:val="24"/>
          <w:szCs w:val="24"/>
          <w:highlight w:val="none"/>
        </w:rPr>
        <w:t>技术和服务要求</w:t>
      </w:r>
      <w:r>
        <w:rPr>
          <w:rStyle w:val="10"/>
          <w:rFonts w:hint="eastAsia" w:ascii="宋体" w:hAnsi="宋体" w:eastAsia="宋体" w:cs="宋体"/>
          <w:spacing w:val="0"/>
          <w:sz w:val="24"/>
          <w:szCs w:val="24"/>
          <w:highlight w:val="none"/>
        </w:rPr>
        <w:t>（以“★”标示的内容为不允许负偏离的实质性要求）</w:t>
      </w:r>
    </w:p>
    <w:p>
      <w:pPr>
        <w:pStyle w:val="6"/>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60" w:lineRule="exact"/>
        <w:ind w:right="0" w:rightChars="0" w:firstLine="361" w:firstLineChars="150"/>
        <w:jc w:val="both"/>
        <w:textAlignment w:val="auto"/>
        <w:rPr>
          <w:rStyle w:val="10"/>
          <w:rFonts w:hint="eastAsia" w:ascii="宋体" w:hAnsi="宋体" w:eastAsia="宋体" w:cs="宋体"/>
          <w:b/>
          <w:bCs w:val="0"/>
          <w:sz w:val="24"/>
          <w:szCs w:val="24"/>
          <w:highlight w:val="none"/>
          <w:lang w:val="en-US" w:eastAsia="zh-CN"/>
        </w:rPr>
      </w:pPr>
      <w:r>
        <w:rPr>
          <w:rStyle w:val="10"/>
          <w:rFonts w:hint="eastAsia" w:ascii="宋体" w:hAnsi="宋体" w:cs="宋体"/>
          <w:b/>
          <w:bCs w:val="0"/>
          <w:sz w:val="24"/>
          <w:szCs w:val="24"/>
          <w:highlight w:val="none"/>
          <w:lang w:val="en-US" w:eastAsia="zh-CN"/>
        </w:rPr>
        <w:t>（一）</w:t>
      </w:r>
      <w:r>
        <w:rPr>
          <w:rStyle w:val="10"/>
          <w:rFonts w:hint="eastAsia" w:ascii="宋体" w:hAnsi="宋体" w:eastAsia="宋体" w:cs="宋体"/>
          <w:b/>
          <w:bCs w:val="0"/>
          <w:sz w:val="24"/>
          <w:szCs w:val="24"/>
          <w:highlight w:val="none"/>
          <w:lang w:val="en-US" w:eastAsia="zh-CN"/>
        </w:rPr>
        <w:t>宁化县</w:t>
      </w:r>
      <w:r>
        <w:rPr>
          <w:rStyle w:val="10"/>
          <w:rFonts w:hint="eastAsia" w:ascii="宋体" w:hAnsi="宋体" w:eastAsia="宋体" w:cs="宋体"/>
          <w:b/>
          <w:bCs w:val="0"/>
          <w:sz w:val="24"/>
          <w:szCs w:val="24"/>
          <w:highlight w:val="none"/>
        </w:rPr>
        <w:t>城区</w:t>
      </w:r>
      <w:r>
        <w:rPr>
          <w:rStyle w:val="10"/>
          <w:rFonts w:hint="eastAsia" w:ascii="宋体" w:hAnsi="宋体" w:eastAsia="宋体" w:cs="宋体"/>
          <w:b/>
          <w:bCs w:val="0"/>
          <w:sz w:val="24"/>
          <w:szCs w:val="24"/>
          <w:highlight w:val="none"/>
          <w:lang w:val="en-US" w:eastAsia="zh-CN"/>
        </w:rPr>
        <w:t>环卫市场化服务采购</w:t>
      </w:r>
      <w:r>
        <w:rPr>
          <w:rStyle w:val="10"/>
          <w:rFonts w:hint="eastAsia" w:ascii="宋体" w:hAnsi="宋体" w:eastAsia="宋体" w:cs="宋体"/>
          <w:b/>
          <w:bCs w:val="0"/>
          <w:sz w:val="24"/>
          <w:szCs w:val="24"/>
          <w:highlight w:val="none"/>
        </w:rPr>
        <w:t>项目</w:t>
      </w:r>
      <w:r>
        <w:rPr>
          <w:rStyle w:val="10"/>
          <w:rFonts w:hint="eastAsia" w:ascii="宋体" w:hAnsi="宋体" w:eastAsia="宋体" w:cs="宋体"/>
          <w:b/>
          <w:bCs w:val="0"/>
          <w:sz w:val="24"/>
          <w:szCs w:val="24"/>
          <w:highlight w:val="none"/>
          <w:lang w:val="en-US" w:eastAsia="zh-CN"/>
        </w:rPr>
        <w:t>作业量清单</w:t>
      </w:r>
    </w:p>
    <w:p>
      <w:pPr>
        <w:pStyle w:val="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460" w:lineRule="exact"/>
        <w:ind w:firstLine="480" w:firstLineChars="200"/>
        <w:jc w:val="left"/>
        <w:textAlignment w:val="auto"/>
        <w:rPr>
          <w:rStyle w:val="10"/>
          <w:rFonts w:hint="eastAsia" w:ascii="宋体" w:hAnsi="宋体" w:eastAsia="宋体" w:cs="宋体"/>
          <w:b w:val="0"/>
          <w:bCs/>
          <w:sz w:val="24"/>
          <w:szCs w:val="24"/>
          <w:highlight w:val="none"/>
          <w:lang w:val="en-US" w:eastAsia="zh-CN"/>
        </w:rPr>
      </w:pPr>
      <w:r>
        <w:rPr>
          <w:rFonts w:hint="eastAsia" w:ascii="宋体" w:hAnsi="宋体" w:eastAsia="宋体" w:cs="宋体"/>
          <w:sz w:val="24"/>
          <w:szCs w:val="24"/>
          <w:highlight w:val="none"/>
          <w:lang w:val="en-US" w:eastAsia="zh-CN"/>
        </w:rPr>
        <w:t>城区主次干道（含物业小区沿街人行道）、背街小巷、小区广场等的清扫保洁、垃圾清运、果皮箱清洗清淘保洁收运、河道保洁、大件垃圾处置、城市立面“牛皮癣”清理、公厕保洁管理及化粪池清疏及交通护栏清洗等。</w:t>
      </w:r>
    </w:p>
    <w:tbl>
      <w:tblPr>
        <w:tblStyle w:val="7"/>
        <w:tblW w:w="8739" w:type="dxa"/>
        <w:tblCellSpacing w:w="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743"/>
        <w:gridCol w:w="2854"/>
        <w:gridCol w:w="1844"/>
        <w:gridCol w:w="32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85" w:hRule="atLeast"/>
          <w:tblCellSpacing w:w="15" w:type="dxa"/>
        </w:trPr>
        <w:tc>
          <w:tcPr>
            <w:tcW w:w="698" w:type="dxa"/>
            <w:noWrap w:val="0"/>
            <w:tcMar>
              <w:top w:w="0" w:type="dxa"/>
              <w:left w:w="90" w:type="dxa"/>
              <w:bottom w:w="0" w:type="dxa"/>
              <w:right w:w="90" w:type="dxa"/>
            </w:tcMar>
            <w:vAlign w:val="center"/>
          </w:tcPr>
          <w:p>
            <w:pPr>
              <w:pStyle w:val="6"/>
              <w:keepNext w:val="0"/>
              <w:keepLines w:val="0"/>
              <w:widowControl/>
              <w:suppressLineNumbers w:val="0"/>
              <w:spacing w:before="100" w:beforeAutospacing="1" w:after="100" w:afterAutospacing="1" w:line="345" w:lineRule="atLeast"/>
              <w:jc w:val="center"/>
              <w:rPr>
                <w:rFonts w:hint="eastAsia" w:ascii="宋体" w:hAnsi="宋体" w:eastAsia="宋体" w:cs="宋体"/>
                <w:sz w:val="24"/>
                <w:szCs w:val="24"/>
                <w:highlight w:val="none"/>
              </w:rPr>
            </w:pPr>
            <w:r>
              <w:rPr>
                <w:rStyle w:val="10"/>
                <w:rFonts w:hint="eastAsia" w:ascii="宋体" w:hAnsi="宋体" w:eastAsia="宋体" w:cs="宋体"/>
                <w:sz w:val="24"/>
                <w:szCs w:val="24"/>
                <w:highlight w:val="none"/>
              </w:rPr>
              <w:t>序号</w:t>
            </w:r>
          </w:p>
        </w:tc>
        <w:tc>
          <w:tcPr>
            <w:tcW w:w="2824" w:type="dxa"/>
            <w:noWrap w:val="0"/>
            <w:tcMar>
              <w:top w:w="0" w:type="dxa"/>
              <w:left w:w="90" w:type="dxa"/>
              <w:bottom w:w="0" w:type="dxa"/>
              <w:right w:w="90" w:type="dxa"/>
            </w:tcMar>
            <w:vAlign w:val="center"/>
          </w:tcPr>
          <w:p>
            <w:pPr>
              <w:pStyle w:val="6"/>
              <w:keepNext w:val="0"/>
              <w:keepLines w:val="0"/>
              <w:widowControl/>
              <w:suppressLineNumbers w:val="0"/>
              <w:spacing w:before="100" w:beforeAutospacing="1" w:after="100" w:afterAutospacing="1" w:line="345" w:lineRule="atLeast"/>
              <w:jc w:val="center"/>
              <w:rPr>
                <w:rFonts w:hint="eastAsia" w:ascii="宋体" w:hAnsi="宋体" w:eastAsia="宋体" w:cs="宋体"/>
                <w:sz w:val="24"/>
                <w:szCs w:val="24"/>
                <w:highlight w:val="none"/>
              </w:rPr>
            </w:pPr>
            <w:r>
              <w:rPr>
                <w:rStyle w:val="10"/>
                <w:rFonts w:hint="eastAsia" w:ascii="宋体" w:hAnsi="宋体" w:eastAsia="宋体" w:cs="宋体"/>
                <w:sz w:val="24"/>
                <w:szCs w:val="24"/>
                <w:highlight w:val="none"/>
              </w:rPr>
              <w:t>项目名称</w:t>
            </w:r>
          </w:p>
        </w:tc>
        <w:tc>
          <w:tcPr>
            <w:tcW w:w="1814" w:type="dxa"/>
            <w:noWrap w:val="0"/>
            <w:tcMar>
              <w:top w:w="0" w:type="dxa"/>
              <w:left w:w="90" w:type="dxa"/>
              <w:bottom w:w="0" w:type="dxa"/>
              <w:right w:w="90" w:type="dxa"/>
            </w:tcMar>
            <w:vAlign w:val="center"/>
          </w:tcPr>
          <w:p>
            <w:pPr>
              <w:pStyle w:val="6"/>
              <w:keepNext w:val="0"/>
              <w:keepLines w:val="0"/>
              <w:widowControl/>
              <w:suppressLineNumbers w:val="0"/>
              <w:spacing w:before="100" w:beforeAutospacing="1" w:after="100" w:afterAutospacing="1" w:line="345" w:lineRule="atLeast"/>
              <w:jc w:val="center"/>
              <w:rPr>
                <w:rFonts w:hint="eastAsia" w:ascii="宋体" w:hAnsi="宋体" w:eastAsia="宋体" w:cs="宋体"/>
                <w:sz w:val="24"/>
                <w:szCs w:val="24"/>
                <w:highlight w:val="none"/>
              </w:rPr>
            </w:pPr>
            <w:r>
              <w:rPr>
                <w:rStyle w:val="10"/>
                <w:rFonts w:hint="eastAsia" w:ascii="宋体" w:hAnsi="宋体" w:eastAsia="宋体" w:cs="宋体"/>
                <w:sz w:val="24"/>
                <w:szCs w:val="24"/>
                <w:highlight w:val="none"/>
              </w:rPr>
              <w:t>数量</w:t>
            </w:r>
          </w:p>
        </w:tc>
        <w:tc>
          <w:tcPr>
            <w:tcW w:w="3253" w:type="dxa"/>
            <w:noWrap w:val="0"/>
            <w:tcMar>
              <w:top w:w="0" w:type="dxa"/>
              <w:left w:w="90" w:type="dxa"/>
              <w:bottom w:w="0" w:type="dxa"/>
              <w:right w:w="90" w:type="dxa"/>
            </w:tcMar>
            <w:vAlign w:val="center"/>
          </w:tcPr>
          <w:p>
            <w:pPr>
              <w:pStyle w:val="6"/>
              <w:keepNext w:val="0"/>
              <w:keepLines w:val="0"/>
              <w:widowControl/>
              <w:suppressLineNumbers w:val="0"/>
              <w:spacing w:before="100" w:beforeAutospacing="1" w:after="100" w:afterAutospacing="1" w:line="345" w:lineRule="atLeast"/>
              <w:jc w:val="center"/>
              <w:rPr>
                <w:rFonts w:hint="eastAsia" w:ascii="宋体" w:hAnsi="宋体" w:eastAsia="宋体" w:cs="宋体"/>
                <w:sz w:val="24"/>
                <w:szCs w:val="24"/>
                <w:highlight w:val="none"/>
              </w:rPr>
            </w:pPr>
            <w:r>
              <w:rPr>
                <w:rStyle w:val="10"/>
                <w:rFonts w:hint="eastAsia" w:ascii="宋体" w:hAnsi="宋体" w:eastAsia="宋体" w:cs="宋体"/>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95" w:hRule="atLeast"/>
          <w:tblCellSpacing w:w="15" w:type="dxa"/>
        </w:trPr>
        <w:tc>
          <w:tcPr>
            <w:tcW w:w="698" w:type="dxa"/>
            <w:shd w:val="clear" w:color="auto" w:fill="FFFFFF"/>
            <w:noWrap w:val="0"/>
            <w:tcMar>
              <w:top w:w="0" w:type="dxa"/>
              <w:left w:w="90" w:type="dxa"/>
              <w:bottom w:w="0" w:type="dxa"/>
              <w:right w:w="90" w:type="dxa"/>
            </w:tcMar>
            <w:vAlign w:val="center"/>
          </w:tcPr>
          <w:p>
            <w:pPr>
              <w:pStyle w:val="6"/>
              <w:keepNext w:val="0"/>
              <w:keepLines w:val="0"/>
              <w:widowControl/>
              <w:suppressLineNumbers w:val="0"/>
              <w:spacing w:before="100" w:beforeAutospacing="1" w:after="100" w:afterAutospacing="1" w:line="345" w:lineRule="atLeast"/>
              <w:jc w:val="center"/>
              <w:rPr>
                <w:rFonts w:hint="eastAsia" w:ascii="宋体" w:hAnsi="宋体" w:eastAsia="宋体" w:cs="宋体"/>
                <w:sz w:val="24"/>
                <w:szCs w:val="24"/>
                <w:highlight w:val="none"/>
              </w:rPr>
            </w:pPr>
            <w:r>
              <w:rPr>
                <w:rStyle w:val="10"/>
                <w:rFonts w:hint="eastAsia" w:ascii="宋体" w:hAnsi="宋体" w:eastAsia="宋体" w:cs="宋体"/>
                <w:sz w:val="24"/>
                <w:szCs w:val="24"/>
                <w:highlight w:val="none"/>
              </w:rPr>
              <w:t>1</w:t>
            </w:r>
          </w:p>
        </w:tc>
        <w:tc>
          <w:tcPr>
            <w:tcW w:w="2824" w:type="dxa"/>
            <w:noWrap w:val="0"/>
            <w:tcMar>
              <w:top w:w="0" w:type="dxa"/>
              <w:left w:w="90" w:type="dxa"/>
              <w:bottom w:w="0" w:type="dxa"/>
              <w:right w:w="90" w:type="dxa"/>
            </w:tcMar>
            <w:vAlign w:val="center"/>
          </w:tcPr>
          <w:p>
            <w:pPr>
              <w:pStyle w:val="6"/>
              <w:keepNext w:val="0"/>
              <w:keepLines w:val="0"/>
              <w:widowControl/>
              <w:suppressLineNumbers w:val="0"/>
              <w:spacing w:before="100" w:beforeAutospacing="1" w:after="100" w:afterAutospacing="1" w:line="345" w:lineRule="atLeas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宁化县</w:t>
            </w:r>
            <w:r>
              <w:rPr>
                <w:rFonts w:hint="eastAsia" w:ascii="宋体" w:hAnsi="宋体" w:eastAsia="宋体" w:cs="宋体"/>
                <w:sz w:val="24"/>
                <w:szCs w:val="24"/>
                <w:highlight w:val="none"/>
              </w:rPr>
              <w:t>城区</w:t>
            </w:r>
            <w:r>
              <w:rPr>
                <w:rFonts w:hint="eastAsia" w:ascii="宋体" w:hAnsi="宋体" w:eastAsia="宋体" w:cs="宋体"/>
                <w:sz w:val="24"/>
                <w:szCs w:val="24"/>
                <w:highlight w:val="none"/>
                <w:lang w:val="en-US" w:eastAsia="zh-CN"/>
              </w:rPr>
              <w:t>道路清扫保洁</w:t>
            </w:r>
          </w:p>
        </w:tc>
        <w:tc>
          <w:tcPr>
            <w:tcW w:w="1814" w:type="dxa"/>
            <w:noWrap w:val="0"/>
            <w:tcMar>
              <w:top w:w="0" w:type="dxa"/>
              <w:left w:w="90" w:type="dxa"/>
              <w:bottom w:w="0" w:type="dxa"/>
              <w:right w:w="90" w:type="dxa"/>
            </w:tcMar>
            <w:vAlign w:val="center"/>
          </w:tcPr>
          <w:p>
            <w:pPr>
              <w:pStyle w:val="6"/>
              <w:keepNext w:val="0"/>
              <w:keepLines w:val="0"/>
              <w:widowControl/>
              <w:suppressLineNumbers w:val="0"/>
              <w:spacing w:before="100" w:beforeAutospacing="1" w:after="100" w:afterAutospacing="1" w:line="345" w:lineRule="atLeast"/>
              <w:jc w:val="both"/>
              <w:rPr>
                <w:rFonts w:hint="eastAsia"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约203.03</w:t>
            </w:r>
            <w:r>
              <w:rPr>
                <w:rFonts w:hint="eastAsia" w:ascii="宋体" w:hAnsi="宋体" w:eastAsia="宋体" w:cs="宋体"/>
                <w:sz w:val="24"/>
                <w:szCs w:val="24"/>
                <w:highlight w:val="none"/>
                <w:lang w:val="en-US" w:eastAsia="zh-CN"/>
              </w:rPr>
              <w:t>万平方米</w:t>
            </w:r>
          </w:p>
        </w:tc>
        <w:tc>
          <w:tcPr>
            <w:tcW w:w="3253" w:type="dxa"/>
            <w:noWrap w:val="0"/>
            <w:tcMar>
              <w:top w:w="0" w:type="dxa"/>
              <w:left w:w="90" w:type="dxa"/>
              <w:bottom w:w="0" w:type="dxa"/>
              <w:right w:w="9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jc w:val="left"/>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其中</w:t>
            </w:r>
            <w:r>
              <w:rPr>
                <w:rFonts w:hint="eastAsia" w:ascii="宋体" w:hAnsi="宋体" w:cs="宋体"/>
                <w:sz w:val="24"/>
                <w:szCs w:val="24"/>
                <w:highlight w:val="none"/>
                <w:lang w:eastAsia="zh-CN"/>
              </w:rPr>
              <w:t>含</w:t>
            </w:r>
            <w:r>
              <w:rPr>
                <w:rFonts w:hint="eastAsia" w:ascii="宋体" w:hAnsi="宋体" w:eastAsia="宋体" w:cs="宋体"/>
                <w:sz w:val="24"/>
                <w:szCs w:val="24"/>
                <w:highlight w:val="none"/>
              </w:rPr>
              <w:t>原有一环环卫道路清扫保洁面积为122.53万㎡；原有二环环卫道路清扫保洁面积为 48万㎡（含翠江镇39.23万㎡、城郊镇6.37万㎡、城南镇2.4万㎡）；二环新增 32.5万㎡（新增南门路、电商路等7条主次干道2.93万㎡、城南3.6万㎡、翠江镇11.91万㎡、城郊镇14.06万㎡）</w:t>
            </w:r>
            <w:r>
              <w:rPr>
                <w:rFonts w:hint="eastAsia" w:ascii="宋体" w:hAnsi="宋体" w:cs="宋体"/>
                <w:sz w:val="24"/>
                <w:szCs w:val="24"/>
                <w:highlight w:val="none"/>
                <w:lang w:eastAsia="zh-CN"/>
              </w:rPr>
              <w:t>及</w:t>
            </w:r>
            <w:r>
              <w:rPr>
                <w:rStyle w:val="10"/>
                <w:rFonts w:hint="eastAsia" w:ascii="宋体" w:hAnsi="宋体" w:eastAsia="宋体" w:cs="宋体"/>
                <w:b w:val="0"/>
                <w:bCs/>
                <w:sz w:val="24"/>
                <w:szCs w:val="24"/>
                <w:highlight w:val="none"/>
                <w:lang w:val="en-US" w:eastAsia="zh-CN"/>
              </w:rPr>
              <w:t>宁化县城区主次干道、翠江镇背街小巷及周边无名小巷、无法表述注明的小路和道路附属范围区域</w:t>
            </w:r>
            <w:r>
              <w:rPr>
                <w:rStyle w:val="10"/>
                <w:rFonts w:hint="eastAsia" w:ascii="宋体" w:hAnsi="宋体" w:cs="宋体"/>
                <w:b w:val="0"/>
                <w:bCs/>
                <w:sz w:val="24"/>
                <w:szCs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95" w:hRule="atLeast"/>
          <w:tblCellSpacing w:w="15" w:type="dxa"/>
        </w:trPr>
        <w:tc>
          <w:tcPr>
            <w:tcW w:w="698" w:type="dxa"/>
            <w:shd w:val="clear" w:color="auto" w:fill="FFFFFF"/>
            <w:noWrap w:val="0"/>
            <w:tcMar>
              <w:top w:w="0" w:type="dxa"/>
              <w:left w:w="90" w:type="dxa"/>
              <w:bottom w:w="0" w:type="dxa"/>
              <w:right w:w="90" w:type="dxa"/>
            </w:tcMar>
            <w:vAlign w:val="center"/>
          </w:tcPr>
          <w:p>
            <w:pPr>
              <w:pStyle w:val="6"/>
              <w:keepNext w:val="0"/>
              <w:keepLines w:val="0"/>
              <w:widowControl/>
              <w:suppressLineNumbers w:val="0"/>
              <w:spacing w:before="100" w:beforeAutospacing="1" w:after="100" w:afterAutospacing="1" w:line="345" w:lineRule="atLeast"/>
              <w:jc w:val="center"/>
              <w:rPr>
                <w:rStyle w:val="10"/>
                <w:rFonts w:hint="eastAsia" w:ascii="宋体" w:hAnsi="宋体" w:eastAsia="宋体" w:cs="宋体"/>
                <w:sz w:val="24"/>
                <w:szCs w:val="24"/>
                <w:highlight w:val="none"/>
              </w:rPr>
            </w:pPr>
          </w:p>
        </w:tc>
        <w:tc>
          <w:tcPr>
            <w:tcW w:w="2824" w:type="dxa"/>
            <w:noWrap w:val="0"/>
            <w:tcMar>
              <w:top w:w="0" w:type="dxa"/>
              <w:left w:w="90" w:type="dxa"/>
              <w:bottom w:w="0" w:type="dxa"/>
              <w:right w:w="90" w:type="dxa"/>
            </w:tcMar>
            <w:vAlign w:val="center"/>
          </w:tcPr>
          <w:p>
            <w:pPr>
              <w:pStyle w:val="6"/>
              <w:keepNext w:val="0"/>
              <w:keepLines w:val="0"/>
              <w:widowControl/>
              <w:suppressLineNumbers w:val="0"/>
              <w:spacing w:before="100" w:beforeAutospacing="1" w:after="100" w:afterAutospacing="1" w:line="345" w:lineRule="atLeast"/>
              <w:ind w:left="0" w:leftChars="0" w:right="0" w:rightChars="0"/>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护栏清洗保洁</w:t>
            </w:r>
          </w:p>
        </w:tc>
        <w:tc>
          <w:tcPr>
            <w:tcW w:w="1814" w:type="dxa"/>
            <w:noWrap w:val="0"/>
            <w:tcMar>
              <w:top w:w="0" w:type="dxa"/>
              <w:left w:w="90" w:type="dxa"/>
              <w:bottom w:w="0" w:type="dxa"/>
              <w:right w:w="90" w:type="dxa"/>
            </w:tcMar>
            <w:vAlign w:val="center"/>
          </w:tcPr>
          <w:p>
            <w:pPr>
              <w:pStyle w:val="6"/>
              <w:keepNext w:val="0"/>
              <w:keepLines w:val="0"/>
              <w:widowControl/>
              <w:suppressLineNumbers w:val="0"/>
              <w:spacing w:before="100" w:beforeAutospacing="1" w:after="100" w:afterAutospacing="1" w:line="345" w:lineRule="atLeast"/>
              <w:ind w:left="0" w:leftChars="0" w:right="0" w:rightChars="0"/>
              <w:jc w:val="both"/>
              <w:rPr>
                <w:rFonts w:hint="eastAsia" w:ascii="宋体" w:hAnsi="宋体" w:eastAsia="宋体" w:cs="宋体"/>
                <w:sz w:val="24"/>
                <w:szCs w:val="24"/>
                <w:highlight w:val="none"/>
                <w:lang w:val="en-US" w:eastAsia="zh-CN"/>
              </w:rPr>
            </w:pPr>
          </w:p>
        </w:tc>
        <w:tc>
          <w:tcPr>
            <w:tcW w:w="3253" w:type="dxa"/>
            <w:noWrap w:val="0"/>
            <w:tcMar>
              <w:top w:w="0" w:type="dxa"/>
              <w:left w:w="90" w:type="dxa"/>
              <w:bottom w:w="0" w:type="dxa"/>
              <w:right w:w="90" w:type="dxa"/>
            </w:tcMar>
            <w:vAlign w:val="center"/>
          </w:tcPr>
          <w:p>
            <w:pPr>
              <w:pStyle w:val="6"/>
              <w:keepNext w:val="0"/>
              <w:keepLines w:val="0"/>
              <w:widowControl/>
              <w:suppressLineNumbers w:val="0"/>
              <w:spacing w:before="100" w:beforeAutospacing="1" w:after="100" w:afterAutospacing="1" w:line="345" w:lineRule="atLeast"/>
              <w:ind w:left="0" w:leftChars="0" w:right="0" w:rightChars="0"/>
              <w:jc w:val="left"/>
              <w:rPr>
                <w:rFonts w:hint="eastAsia" w:ascii="宋体" w:hAnsi="宋体" w:eastAsia="宋体" w:cs="宋体"/>
                <w:sz w:val="24"/>
                <w:szCs w:val="24"/>
                <w:highlight w:val="none"/>
              </w:rPr>
            </w:pPr>
            <w:r>
              <w:rPr>
                <w:rFonts w:hint="eastAsia" w:ascii="宋体" w:hAnsi="宋体" w:cs="宋体"/>
                <w:kern w:val="0"/>
                <w:sz w:val="24"/>
                <w:szCs w:val="24"/>
                <w:highlight w:val="none"/>
                <w:lang w:val="en-US" w:eastAsia="zh-CN" w:bidi="ar"/>
              </w:rPr>
              <w:t>本服务项目作业区域范围内城区主次干道</w:t>
            </w:r>
            <w:r>
              <w:rPr>
                <w:rFonts w:hint="eastAsia" w:ascii="宋体" w:hAnsi="宋体" w:eastAsia="宋体" w:cs="宋体"/>
                <w:kern w:val="0"/>
                <w:sz w:val="24"/>
                <w:szCs w:val="24"/>
                <w:highlight w:val="none"/>
                <w:lang w:val="en-US" w:eastAsia="zh-CN" w:bidi="ar"/>
              </w:rPr>
              <w:t>交通护栏。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95" w:hRule="atLeast"/>
          <w:tblCellSpacing w:w="15" w:type="dxa"/>
        </w:trPr>
        <w:tc>
          <w:tcPr>
            <w:tcW w:w="698" w:type="dxa"/>
            <w:shd w:val="clear" w:color="auto" w:fill="FFFFFF"/>
            <w:noWrap w:val="0"/>
            <w:tcMar>
              <w:top w:w="0" w:type="dxa"/>
              <w:left w:w="90" w:type="dxa"/>
              <w:bottom w:w="0" w:type="dxa"/>
              <w:right w:w="90" w:type="dxa"/>
            </w:tcMar>
            <w:vAlign w:val="center"/>
          </w:tcPr>
          <w:p>
            <w:pPr>
              <w:pStyle w:val="6"/>
              <w:keepNext w:val="0"/>
              <w:keepLines w:val="0"/>
              <w:widowControl/>
              <w:suppressLineNumbers w:val="0"/>
              <w:spacing w:before="100" w:beforeAutospacing="0" w:after="100" w:afterAutospacing="0" w:line="420" w:lineRule="exact"/>
              <w:ind w:left="0" w:leftChars="0" w:right="0" w:rightChars="0"/>
              <w:jc w:val="both"/>
              <w:rPr>
                <w:rStyle w:val="10"/>
                <w:rFonts w:hint="eastAsia" w:ascii="宋体" w:hAnsi="宋体" w:eastAsia="宋体" w:cs="宋体"/>
                <w:sz w:val="24"/>
                <w:szCs w:val="24"/>
                <w:highlight w:val="none"/>
              </w:rPr>
            </w:pPr>
            <w:r>
              <w:rPr>
                <w:rStyle w:val="10"/>
                <w:rFonts w:hint="eastAsia" w:ascii="宋体" w:hAnsi="宋体" w:eastAsia="宋体" w:cs="宋体"/>
                <w:sz w:val="24"/>
                <w:szCs w:val="24"/>
                <w:highlight w:val="none"/>
                <w:lang w:val="en-US" w:eastAsia="zh-CN"/>
              </w:rPr>
              <w:t>2</w:t>
            </w:r>
          </w:p>
        </w:tc>
        <w:tc>
          <w:tcPr>
            <w:tcW w:w="2824" w:type="dxa"/>
            <w:noWrap w:val="0"/>
            <w:tcMar>
              <w:top w:w="0" w:type="dxa"/>
              <w:left w:w="90" w:type="dxa"/>
              <w:bottom w:w="0" w:type="dxa"/>
              <w:right w:w="90" w:type="dxa"/>
            </w:tcMar>
            <w:vAlign w:val="center"/>
          </w:tcPr>
          <w:p>
            <w:pPr>
              <w:pStyle w:val="6"/>
              <w:keepNext w:val="0"/>
              <w:keepLines w:val="0"/>
              <w:widowControl/>
              <w:suppressLineNumbers w:val="0"/>
              <w:spacing w:before="100" w:beforeAutospacing="0" w:after="100" w:afterAutospacing="0" w:line="420" w:lineRule="exact"/>
              <w:ind w:left="0" w:leftChars="0" w:right="0" w:rightChars="0"/>
              <w:jc w:val="left"/>
              <w:rPr>
                <w:rFonts w:hint="eastAsia" w:ascii="宋体" w:hAnsi="宋体" w:eastAsia="宋体" w:cs="宋体"/>
                <w:sz w:val="24"/>
                <w:szCs w:val="24"/>
                <w:highlight w:val="none"/>
                <w:lang w:val="en-US" w:eastAsia="zh-CN"/>
              </w:rPr>
            </w:pPr>
            <w:r>
              <w:rPr>
                <w:rFonts w:hint="eastAsia" w:ascii="宋体" w:hAnsi="宋体" w:eastAsia="宋体" w:cs="宋体"/>
                <w:kern w:val="0"/>
                <w:sz w:val="24"/>
                <w:szCs w:val="24"/>
                <w:highlight w:val="none"/>
                <w:lang w:val="en-US" w:eastAsia="zh-CN" w:bidi="ar"/>
              </w:rPr>
              <w:t>垃圾清运</w:t>
            </w:r>
          </w:p>
        </w:tc>
        <w:tc>
          <w:tcPr>
            <w:tcW w:w="1814" w:type="dxa"/>
            <w:noWrap w:val="0"/>
            <w:tcMar>
              <w:top w:w="0" w:type="dxa"/>
              <w:left w:w="90" w:type="dxa"/>
              <w:bottom w:w="0" w:type="dxa"/>
              <w:right w:w="90" w:type="dxa"/>
            </w:tcMar>
            <w:vAlign w:val="center"/>
          </w:tcPr>
          <w:p>
            <w:pPr>
              <w:pStyle w:val="6"/>
              <w:keepNext w:val="0"/>
              <w:keepLines w:val="0"/>
              <w:widowControl/>
              <w:suppressLineNumbers w:val="0"/>
              <w:spacing w:before="100" w:beforeAutospacing="0" w:after="100" w:afterAutospacing="0" w:line="420" w:lineRule="exact"/>
              <w:ind w:left="0" w:leftChars="0" w:right="0" w:rightChars="0"/>
              <w:jc w:val="center"/>
              <w:rPr>
                <w:rFonts w:hint="eastAsia" w:ascii="宋体" w:hAnsi="宋体" w:eastAsia="宋体" w:cs="宋体"/>
                <w:sz w:val="24"/>
                <w:szCs w:val="24"/>
                <w:highlight w:val="none"/>
                <w:lang w:val="en-US" w:eastAsia="zh-CN"/>
              </w:rPr>
            </w:pPr>
            <w:r>
              <w:rPr>
                <w:rFonts w:hint="eastAsia" w:ascii="宋体" w:hAnsi="宋体" w:eastAsia="宋体" w:cs="宋体"/>
                <w:i w:val="0"/>
                <w:color w:val="000000"/>
                <w:sz w:val="24"/>
                <w:szCs w:val="24"/>
                <w:highlight w:val="none"/>
              </w:rPr>
              <w:t>/</w:t>
            </w:r>
          </w:p>
        </w:tc>
        <w:tc>
          <w:tcPr>
            <w:tcW w:w="3253" w:type="dxa"/>
            <w:noWrap w:val="0"/>
            <w:tcMar>
              <w:top w:w="0" w:type="dxa"/>
              <w:left w:w="90" w:type="dxa"/>
              <w:bottom w:w="0" w:type="dxa"/>
              <w:right w:w="90" w:type="dxa"/>
            </w:tcMar>
            <w:vAlign w:val="center"/>
          </w:tcPr>
          <w:p>
            <w:pPr>
              <w:keepNext w:val="0"/>
              <w:keepLines w:val="0"/>
              <w:widowControl/>
              <w:suppressLineNumbers w:val="0"/>
              <w:spacing w:line="420" w:lineRule="exact"/>
              <w:jc w:val="left"/>
              <w:rPr>
                <w:rFonts w:hint="eastAsia" w:ascii="宋体" w:hAnsi="宋体" w:eastAsia="宋体" w:cs="宋体"/>
                <w:sz w:val="24"/>
                <w:szCs w:val="24"/>
                <w:highlight w:val="none"/>
              </w:rPr>
            </w:pPr>
            <w:r>
              <w:rPr>
                <w:rFonts w:hint="eastAsia" w:ascii="宋体" w:hAnsi="宋体" w:cs="宋体"/>
                <w:kern w:val="0"/>
                <w:sz w:val="24"/>
                <w:szCs w:val="24"/>
                <w:highlight w:val="none"/>
                <w:lang w:val="en-US" w:eastAsia="zh-CN" w:bidi="ar"/>
              </w:rPr>
              <w:t>本服务项目作业区域</w:t>
            </w:r>
            <w:r>
              <w:rPr>
                <w:rFonts w:hint="eastAsia" w:ascii="宋体" w:hAnsi="宋体" w:eastAsia="宋体" w:cs="宋体"/>
                <w:kern w:val="0"/>
                <w:sz w:val="24"/>
                <w:szCs w:val="24"/>
                <w:highlight w:val="none"/>
                <w:lang w:val="en-US" w:eastAsia="zh-CN" w:bidi="ar"/>
              </w:rPr>
              <w:t>范围内的垃圾清运至县生活垃圾处理厂进行处置，生活垃圾日产日清。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95" w:hRule="atLeast"/>
          <w:tblCellSpacing w:w="15" w:type="dxa"/>
        </w:trPr>
        <w:tc>
          <w:tcPr>
            <w:tcW w:w="698" w:type="dxa"/>
            <w:shd w:val="clear" w:color="auto" w:fill="FFFFFF"/>
            <w:noWrap w:val="0"/>
            <w:tcMar>
              <w:top w:w="0" w:type="dxa"/>
              <w:left w:w="90" w:type="dxa"/>
              <w:bottom w:w="0" w:type="dxa"/>
              <w:right w:w="90" w:type="dxa"/>
            </w:tcMar>
            <w:vAlign w:val="center"/>
          </w:tcPr>
          <w:p>
            <w:pPr>
              <w:pStyle w:val="6"/>
              <w:keepNext w:val="0"/>
              <w:keepLines w:val="0"/>
              <w:widowControl/>
              <w:suppressLineNumbers w:val="0"/>
              <w:spacing w:before="100" w:beforeAutospacing="0" w:after="100" w:afterAutospacing="0" w:line="420" w:lineRule="exact"/>
              <w:ind w:left="0" w:leftChars="0" w:right="0" w:rightChars="0"/>
              <w:jc w:val="both"/>
              <w:rPr>
                <w:rStyle w:val="10"/>
                <w:rFonts w:hint="default" w:ascii="宋体" w:hAnsi="宋体" w:eastAsia="宋体" w:cs="宋体"/>
                <w:sz w:val="24"/>
                <w:szCs w:val="24"/>
                <w:highlight w:val="none"/>
                <w:lang w:val="en-US" w:eastAsia="zh-CN"/>
              </w:rPr>
            </w:pPr>
            <w:r>
              <w:rPr>
                <w:rStyle w:val="10"/>
                <w:rFonts w:hint="eastAsia" w:ascii="宋体" w:hAnsi="宋体" w:cs="宋体"/>
                <w:sz w:val="24"/>
                <w:szCs w:val="24"/>
                <w:highlight w:val="none"/>
                <w:lang w:val="en-US" w:eastAsia="zh-CN"/>
              </w:rPr>
              <w:t>3</w:t>
            </w:r>
          </w:p>
        </w:tc>
        <w:tc>
          <w:tcPr>
            <w:tcW w:w="2824" w:type="dxa"/>
            <w:noWrap w:val="0"/>
            <w:tcMar>
              <w:top w:w="0" w:type="dxa"/>
              <w:left w:w="90" w:type="dxa"/>
              <w:bottom w:w="0" w:type="dxa"/>
              <w:right w:w="90" w:type="dxa"/>
            </w:tcMar>
            <w:vAlign w:val="center"/>
          </w:tcPr>
          <w:p>
            <w:pPr>
              <w:pStyle w:val="6"/>
              <w:keepNext w:val="0"/>
              <w:keepLines w:val="0"/>
              <w:widowControl/>
              <w:suppressLineNumbers w:val="0"/>
              <w:spacing w:before="100" w:beforeAutospacing="0" w:after="100" w:afterAutospacing="0" w:line="420" w:lineRule="exact"/>
              <w:ind w:left="0" w:leftChars="0" w:right="0" w:rightChars="0"/>
              <w:jc w:val="left"/>
              <w:rPr>
                <w:rFonts w:hint="eastAsia" w:ascii="宋体" w:hAnsi="宋体" w:eastAsia="宋体" w:cs="宋体"/>
                <w:kern w:val="0"/>
                <w:sz w:val="24"/>
                <w:szCs w:val="24"/>
                <w:highlight w:val="none"/>
                <w:lang w:val="en-US" w:eastAsia="zh-CN" w:bidi="ar"/>
              </w:rPr>
            </w:pPr>
            <w:r>
              <w:rPr>
                <w:rFonts w:hint="eastAsia" w:ascii="宋体" w:hAnsi="宋体" w:cs="宋体"/>
                <w:sz w:val="24"/>
                <w:szCs w:val="24"/>
                <w:highlight w:val="none"/>
                <w:lang w:val="en-US" w:eastAsia="zh-CN"/>
              </w:rPr>
              <w:t>垃圾压缩</w:t>
            </w:r>
            <w:r>
              <w:rPr>
                <w:rFonts w:hint="eastAsia" w:ascii="宋体" w:hAnsi="宋体" w:eastAsia="宋体" w:cs="宋体"/>
                <w:sz w:val="24"/>
                <w:szCs w:val="24"/>
                <w:highlight w:val="none"/>
                <w:lang w:val="en-US" w:eastAsia="zh-CN"/>
              </w:rPr>
              <w:t>转运</w:t>
            </w:r>
            <w:r>
              <w:rPr>
                <w:rFonts w:hint="eastAsia" w:ascii="宋体" w:hAnsi="宋体" w:cs="宋体"/>
                <w:sz w:val="24"/>
                <w:szCs w:val="24"/>
                <w:highlight w:val="none"/>
                <w:lang w:val="en-US" w:eastAsia="zh-CN"/>
              </w:rPr>
              <w:t>站、垃圾收集站、垃圾驿站及垃圾收集点</w:t>
            </w:r>
            <w:r>
              <w:rPr>
                <w:rFonts w:hint="eastAsia" w:ascii="宋体" w:hAnsi="宋体" w:eastAsia="宋体" w:cs="宋体"/>
                <w:sz w:val="24"/>
                <w:szCs w:val="24"/>
                <w:highlight w:val="none"/>
                <w:lang w:val="en-US" w:eastAsia="zh-CN"/>
              </w:rPr>
              <w:t>运行维护管理</w:t>
            </w:r>
          </w:p>
        </w:tc>
        <w:tc>
          <w:tcPr>
            <w:tcW w:w="1814" w:type="dxa"/>
            <w:noWrap w:val="0"/>
            <w:tcMar>
              <w:top w:w="0" w:type="dxa"/>
              <w:left w:w="90" w:type="dxa"/>
              <w:bottom w:w="0" w:type="dxa"/>
              <w:right w:w="90" w:type="dxa"/>
            </w:tcMar>
            <w:vAlign w:val="center"/>
          </w:tcPr>
          <w:p>
            <w:pPr>
              <w:pStyle w:val="6"/>
              <w:keepNext w:val="0"/>
              <w:keepLines w:val="0"/>
              <w:widowControl/>
              <w:suppressLineNumbers w:val="0"/>
              <w:spacing w:before="100" w:beforeAutospacing="0" w:after="100" w:afterAutospacing="0" w:line="420" w:lineRule="exact"/>
              <w:ind w:left="0" w:leftChars="0" w:right="0" w:rightChars="0"/>
              <w:jc w:val="center"/>
              <w:rPr>
                <w:rFonts w:hint="eastAsia" w:ascii="宋体" w:hAnsi="宋体" w:eastAsia="宋体" w:cs="宋体"/>
                <w:i w:val="0"/>
                <w:color w:val="000000"/>
                <w:sz w:val="24"/>
                <w:szCs w:val="24"/>
                <w:highlight w:val="none"/>
              </w:rPr>
            </w:pPr>
            <w:r>
              <w:rPr>
                <w:rFonts w:hint="eastAsia" w:ascii="宋体" w:hAnsi="宋体" w:eastAsia="宋体" w:cs="宋体"/>
                <w:sz w:val="24"/>
                <w:szCs w:val="24"/>
                <w:highlight w:val="none"/>
                <w:lang w:val="en-US" w:eastAsia="zh-CN"/>
              </w:rPr>
              <w:t>/</w:t>
            </w:r>
          </w:p>
        </w:tc>
        <w:tc>
          <w:tcPr>
            <w:tcW w:w="3253" w:type="dxa"/>
            <w:noWrap w:val="0"/>
            <w:tcMar>
              <w:top w:w="0" w:type="dxa"/>
              <w:left w:w="90" w:type="dxa"/>
              <w:bottom w:w="0" w:type="dxa"/>
              <w:right w:w="90" w:type="dxa"/>
            </w:tcMar>
            <w:vAlign w:val="center"/>
          </w:tcPr>
          <w:p>
            <w:pPr>
              <w:pStyle w:val="6"/>
              <w:keepNext w:val="0"/>
              <w:keepLines w:val="0"/>
              <w:widowControl/>
              <w:suppressLineNumbers w:val="0"/>
              <w:spacing w:before="100" w:beforeAutospacing="0" w:after="100" w:afterAutospacing="0" w:line="420" w:lineRule="exact"/>
              <w:ind w:left="0" w:leftChars="0" w:right="0" w:rightChars="0"/>
              <w:jc w:val="left"/>
              <w:rPr>
                <w:rFonts w:hint="eastAsia" w:ascii="宋体" w:hAnsi="宋体" w:eastAsia="宋体" w:cs="宋体"/>
                <w:kern w:val="0"/>
                <w:sz w:val="24"/>
                <w:szCs w:val="24"/>
                <w:highlight w:val="none"/>
                <w:lang w:val="en-US" w:eastAsia="zh-CN" w:bidi="ar"/>
              </w:rPr>
            </w:pPr>
            <w:r>
              <w:rPr>
                <w:rFonts w:hint="eastAsia" w:ascii="宋体" w:hAnsi="宋体" w:eastAsia="宋体" w:cs="宋体"/>
                <w:sz w:val="24"/>
                <w:szCs w:val="24"/>
                <w:highlight w:val="none"/>
              </w:rPr>
              <w:t>150吨垃圾压缩</w:t>
            </w:r>
            <w:r>
              <w:rPr>
                <w:rFonts w:hint="eastAsia" w:ascii="宋体" w:hAnsi="宋体" w:cs="宋体"/>
                <w:sz w:val="24"/>
                <w:szCs w:val="24"/>
                <w:highlight w:val="none"/>
                <w:lang w:eastAsia="zh-CN"/>
              </w:rPr>
              <w:t>中转</w:t>
            </w:r>
            <w:r>
              <w:rPr>
                <w:rFonts w:hint="eastAsia" w:ascii="宋体" w:hAnsi="宋体" w:eastAsia="宋体" w:cs="宋体"/>
                <w:sz w:val="24"/>
                <w:szCs w:val="24"/>
                <w:highlight w:val="none"/>
              </w:rPr>
              <w:t>站1座、50吨垃圾压缩</w:t>
            </w:r>
            <w:r>
              <w:rPr>
                <w:rFonts w:hint="eastAsia" w:ascii="宋体" w:hAnsi="宋体" w:cs="宋体"/>
                <w:sz w:val="24"/>
                <w:szCs w:val="24"/>
                <w:highlight w:val="none"/>
                <w:lang w:eastAsia="zh-CN"/>
              </w:rPr>
              <w:t>中转站</w:t>
            </w:r>
            <w:r>
              <w:rPr>
                <w:rFonts w:hint="eastAsia" w:ascii="宋体" w:hAnsi="宋体" w:eastAsia="宋体" w:cs="宋体"/>
                <w:sz w:val="24"/>
                <w:szCs w:val="24"/>
                <w:highlight w:val="none"/>
              </w:rPr>
              <w:t>1座、垃圾收集站、垃圾驿站及垃圾收集点等</w:t>
            </w:r>
            <w:r>
              <w:rPr>
                <w:rFonts w:hint="eastAsia" w:ascii="宋体" w:hAnsi="宋体" w:eastAsia="宋体" w:cs="宋体"/>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95" w:hRule="atLeast"/>
          <w:tblCellSpacing w:w="15" w:type="dxa"/>
        </w:trPr>
        <w:tc>
          <w:tcPr>
            <w:tcW w:w="698" w:type="dxa"/>
            <w:shd w:val="clear" w:color="auto" w:fill="FFFFFF"/>
            <w:noWrap w:val="0"/>
            <w:tcMar>
              <w:top w:w="0" w:type="dxa"/>
              <w:left w:w="90" w:type="dxa"/>
              <w:bottom w:w="0" w:type="dxa"/>
              <w:right w:w="90" w:type="dxa"/>
            </w:tcMar>
            <w:vAlign w:val="center"/>
          </w:tcPr>
          <w:p>
            <w:pPr>
              <w:pStyle w:val="6"/>
              <w:keepNext w:val="0"/>
              <w:keepLines w:val="0"/>
              <w:widowControl/>
              <w:suppressLineNumbers w:val="0"/>
              <w:spacing w:before="100" w:beforeAutospacing="0" w:after="100" w:afterAutospacing="0" w:line="420" w:lineRule="exact"/>
              <w:ind w:left="0" w:leftChars="0" w:right="0" w:rightChars="0"/>
              <w:jc w:val="both"/>
              <w:rPr>
                <w:rStyle w:val="10"/>
                <w:rFonts w:hint="default" w:ascii="宋体" w:hAnsi="宋体" w:cs="宋体"/>
                <w:sz w:val="24"/>
                <w:szCs w:val="24"/>
                <w:highlight w:val="none"/>
                <w:lang w:val="en-US" w:eastAsia="zh-CN"/>
              </w:rPr>
            </w:pPr>
            <w:r>
              <w:rPr>
                <w:rStyle w:val="10"/>
                <w:rFonts w:hint="eastAsia" w:ascii="宋体" w:hAnsi="宋体" w:cs="宋体"/>
                <w:sz w:val="24"/>
                <w:szCs w:val="24"/>
                <w:highlight w:val="none"/>
                <w:lang w:val="en-US" w:eastAsia="zh-CN"/>
              </w:rPr>
              <w:t>4</w:t>
            </w:r>
          </w:p>
        </w:tc>
        <w:tc>
          <w:tcPr>
            <w:tcW w:w="2824" w:type="dxa"/>
            <w:noWrap w:val="0"/>
            <w:tcMar>
              <w:top w:w="0" w:type="dxa"/>
              <w:left w:w="90" w:type="dxa"/>
              <w:bottom w:w="0" w:type="dxa"/>
              <w:right w:w="90" w:type="dxa"/>
            </w:tcMar>
            <w:vAlign w:val="center"/>
          </w:tcPr>
          <w:p>
            <w:pPr>
              <w:pStyle w:val="6"/>
              <w:keepNext w:val="0"/>
              <w:keepLines w:val="0"/>
              <w:widowControl/>
              <w:suppressLineNumbers w:val="0"/>
              <w:spacing w:before="100" w:beforeAutospacing="0" w:after="100" w:afterAutospacing="0" w:line="420" w:lineRule="exact"/>
              <w:ind w:left="0" w:leftChars="0" w:right="0" w:rightChars="0"/>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公厕清洁管理</w:t>
            </w:r>
          </w:p>
        </w:tc>
        <w:tc>
          <w:tcPr>
            <w:tcW w:w="1814" w:type="dxa"/>
            <w:noWrap w:val="0"/>
            <w:tcMar>
              <w:top w:w="0" w:type="dxa"/>
              <w:left w:w="90" w:type="dxa"/>
              <w:bottom w:w="0" w:type="dxa"/>
              <w:right w:w="90" w:type="dxa"/>
            </w:tcMar>
            <w:vAlign w:val="center"/>
          </w:tcPr>
          <w:p>
            <w:pPr>
              <w:pStyle w:val="6"/>
              <w:keepNext w:val="0"/>
              <w:keepLines w:val="0"/>
              <w:widowControl/>
              <w:suppressLineNumbers w:val="0"/>
              <w:spacing w:before="100" w:beforeAutospacing="0" w:after="100" w:afterAutospacing="0" w:line="420" w:lineRule="exact"/>
              <w:ind w:left="0" w:leftChars="0" w:right="0" w:rightChars="0"/>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37座</w:t>
            </w:r>
          </w:p>
        </w:tc>
        <w:tc>
          <w:tcPr>
            <w:tcW w:w="3253" w:type="dxa"/>
            <w:noWrap w:val="0"/>
            <w:tcMar>
              <w:top w:w="0" w:type="dxa"/>
              <w:left w:w="90" w:type="dxa"/>
              <w:bottom w:w="0" w:type="dxa"/>
              <w:right w:w="90" w:type="dxa"/>
            </w:tcMar>
            <w:vAlign w:val="center"/>
          </w:tcPr>
          <w:p>
            <w:pPr>
              <w:pStyle w:val="6"/>
              <w:keepNext w:val="0"/>
              <w:keepLines w:val="0"/>
              <w:widowControl/>
              <w:suppressLineNumbers w:val="0"/>
              <w:spacing w:before="100" w:beforeAutospacing="0" w:after="100" w:afterAutospacing="0" w:line="420" w:lineRule="exact"/>
              <w:ind w:left="0" w:leftChars="0" w:right="0" w:rightChars="0"/>
              <w:jc w:val="left"/>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其中</w:t>
            </w:r>
            <w:r>
              <w:rPr>
                <w:rFonts w:hint="eastAsia" w:ascii="宋体" w:hAnsi="宋体" w:eastAsia="宋体" w:cs="宋体"/>
                <w:sz w:val="24"/>
                <w:szCs w:val="24"/>
                <w:highlight w:val="none"/>
              </w:rPr>
              <w:t>含6座移动式公厕</w:t>
            </w:r>
            <w:r>
              <w:rPr>
                <w:rFonts w:hint="eastAsia" w:ascii="宋体" w:hAnsi="宋体" w:eastAsia="宋体" w:cs="宋体"/>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95" w:hRule="atLeast"/>
          <w:tblCellSpacing w:w="15" w:type="dxa"/>
        </w:trPr>
        <w:tc>
          <w:tcPr>
            <w:tcW w:w="698" w:type="dxa"/>
            <w:shd w:val="clear" w:color="auto" w:fill="FFFFFF"/>
            <w:noWrap w:val="0"/>
            <w:tcMar>
              <w:top w:w="0" w:type="dxa"/>
              <w:left w:w="90" w:type="dxa"/>
              <w:bottom w:w="0" w:type="dxa"/>
              <w:right w:w="90" w:type="dxa"/>
            </w:tcMar>
            <w:vAlign w:val="center"/>
          </w:tcPr>
          <w:p>
            <w:pPr>
              <w:spacing w:line="420" w:lineRule="exact"/>
              <w:rPr>
                <w:rStyle w:val="10"/>
                <w:rFonts w:hint="eastAsia" w:ascii="宋体" w:hAnsi="宋体" w:eastAsia="宋体" w:cs="宋体"/>
                <w:sz w:val="24"/>
                <w:szCs w:val="24"/>
                <w:highlight w:val="none"/>
                <w:lang w:val="en-US" w:eastAsia="zh-CN"/>
              </w:rPr>
            </w:pPr>
            <w:r>
              <w:rPr>
                <w:rStyle w:val="10"/>
                <w:rFonts w:hint="eastAsia" w:ascii="宋体" w:hAnsi="宋体" w:cs="宋体"/>
                <w:sz w:val="24"/>
                <w:szCs w:val="24"/>
                <w:highlight w:val="none"/>
                <w:lang w:val="en-US" w:eastAsia="zh-CN"/>
              </w:rPr>
              <w:t>5</w:t>
            </w:r>
          </w:p>
        </w:tc>
        <w:tc>
          <w:tcPr>
            <w:tcW w:w="2824" w:type="dxa"/>
            <w:noWrap w:val="0"/>
            <w:tcMar>
              <w:top w:w="0" w:type="dxa"/>
              <w:left w:w="90" w:type="dxa"/>
              <w:bottom w:w="0" w:type="dxa"/>
              <w:right w:w="90" w:type="dxa"/>
            </w:tcMar>
            <w:vAlign w:val="center"/>
          </w:tcPr>
          <w:p>
            <w:pPr>
              <w:pStyle w:val="6"/>
              <w:keepNext w:val="0"/>
              <w:keepLines w:val="0"/>
              <w:widowControl/>
              <w:suppressLineNumbers w:val="0"/>
              <w:spacing w:before="100" w:beforeAutospacing="0" w:after="100" w:afterAutospacing="0" w:line="420" w:lineRule="exact"/>
              <w:ind w:left="0" w:leftChars="0" w:right="0" w:rightChars="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河道保洁</w:t>
            </w:r>
          </w:p>
        </w:tc>
        <w:tc>
          <w:tcPr>
            <w:tcW w:w="1814" w:type="dxa"/>
            <w:noWrap w:val="0"/>
            <w:tcMar>
              <w:top w:w="0" w:type="dxa"/>
              <w:left w:w="90" w:type="dxa"/>
              <w:bottom w:w="0" w:type="dxa"/>
              <w:right w:w="90" w:type="dxa"/>
            </w:tcMar>
            <w:vAlign w:val="center"/>
          </w:tcPr>
          <w:p>
            <w:pPr>
              <w:pStyle w:val="6"/>
              <w:keepNext w:val="0"/>
              <w:keepLines w:val="0"/>
              <w:widowControl/>
              <w:suppressLineNumbers w:val="0"/>
              <w:spacing w:before="100" w:beforeAutospacing="0" w:after="100" w:afterAutospacing="0" w:line="420" w:lineRule="exact"/>
              <w:ind w:left="0" w:leftChars="0" w:right="0" w:rightChars="0"/>
              <w:jc w:val="center"/>
              <w:rPr>
                <w:rFonts w:hint="eastAsia" w:ascii="宋体" w:hAnsi="宋体" w:eastAsia="宋体" w:cs="宋体"/>
                <w:sz w:val="24"/>
                <w:szCs w:val="24"/>
                <w:highlight w:val="none"/>
                <w:lang w:val="en-US" w:eastAsia="zh-CN"/>
              </w:rPr>
            </w:pPr>
            <w:r>
              <w:rPr>
                <w:rFonts w:hint="eastAsia" w:ascii="宋体" w:hAnsi="宋体" w:eastAsia="宋体" w:cs="宋体"/>
                <w:i w:val="0"/>
                <w:color w:val="000000"/>
                <w:sz w:val="24"/>
                <w:szCs w:val="24"/>
                <w:highlight w:val="none"/>
              </w:rPr>
              <w:t>/</w:t>
            </w:r>
          </w:p>
        </w:tc>
        <w:tc>
          <w:tcPr>
            <w:tcW w:w="3253" w:type="dxa"/>
            <w:noWrap w:val="0"/>
            <w:tcMar>
              <w:top w:w="0" w:type="dxa"/>
              <w:left w:w="90" w:type="dxa"/>
              <w:bottom w:w="0" w:type="dxa"/>
              <w:right w:w="90" w:type="dxa"/>
            </w:tcMar>
            <w:vAlign w:val="center"/>
          </w:tcPr>
          <w:p>
            <w:pPr>
              <w:pStyle w:val="6"/>
              <w:keepNext w:val="0"/>
              <w:keepLines w:val="0"/>
              <w:widowControl/>
              <w:suppressLineNumbers w:val="0"/>
              <w:spacing w:before="100" w:beforeAutospacing="0" w:after="100" w:afterAutospacing="0" w:line="420" w:lineRule="exact"/>
              <w:ind w:left="0" w:leftChars="0" w:right="0" w:rightChars="0"/>
              <w:jc w:val="left"/>
              <w:rPr>
                <w:rFonts w:hint="eastAsia" w:ascii="宋体" w:hAnsi="宋体" w:eastAsia="宋体" w:cs="宋体"/>
                <w:kern w:val="0"/>
                <w:sz w:val="24"/>
                <w:szCs w:val="24"/>
                <w:highlight w:val="none"/>
                <w:lang w:val="en-US" w:eastAsia="zh-CN" w:bidi="ar"/>
              </w:rPr>
            </w:pPr>
            <w:r>
              <w:rPr>
                <w:rFonts w:hint="eastAsia" w:ascii="宋体" w:hAnsi="宋体" w:eastAsia="宋体" w:cs="宋体"/>
                <w:sz w:val="24"/>
                <w:szCs w:val="24"/>
                <w:highlight w:val="none"/>
              </w:rPr>
              <w:t>主要包括西溪河客属橡皮坝至西门桥、小溪河东门桥至国道356线早禾排涵洞。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35" w:hRule="atLeast"/>
          <w:tblCellSpacing w:w="15" w:type="dxa"/>
        </w:trPr>
        <w:tc>
          <w:tcPr>
            <w:tcW w:w="698" w:type="dxa"/>
            <w:shd w:val="clear" w:color="auto" w:fill="FFFFFF"/>
            <w:noWrap w:val="0"/>
            <w:tcMar>
              <w:top w:w="0" w:type="dxa"/>
              <w:left w:w="90" w:type="dxa"/>
              <w:bottom w:w="0" w:type="dxa"/>
              <w:right w:w="90" w:type="dxa"/>
            </w:tcMar>
            <w:vAlign w:val="center"/>
          </w:tcPr>
          <w:p>
            <w:pPr>
              <w:spacing w:line="420" w:lineRule="exact"/>
              <w:rPr>
                <w:rFonts w:hint="eastAsia" w:ascii="宋体" w:hAnsi="宋体" w:eastAsia="宋体" w:cs="宋体"/>
                <w:kern w:val="0"/>
                <w:sz w:val="24"/>
                <w:szCs w:val="24"/>
                <w:highlight w:val="none"/>
                <w:lang w:val="en-US" w:eastAsia="zh-CN" w:bidi="ar"/>
              </w:rPr>
            </w:pPr>
            <w:r>
              <w:rPr>
                <w:rFonts w:hint="eastAsia" w:ascii="宋体" w:hAnsi="宋体" w:cs="宋体"/>
                <w:kern w:val="0"/>
                <w:sz w:val="24"/>
                <w:szCs w:val="24"/>
                <w:highlight w:val="none"/>
                <w:lang w:val="en-US" w:eastAsia="zh-CN" w:bidi="ar"/>
              </w:rPr>
              <w:t>6</w:t>
            </w:r>
          </w:p>
        </w:tc>
        <w:tc>
          <w:tcPr>
            <w:tcW w:w="2824" w:type="dxa"/>
            <w:shd w:val="clear" w:color="auto" w:fill="FFFFFF"/>
            <w:noWrap w:val="0"/>
            <w:tcMar>
              <w:top w:w="0" w:type="dxa"/>
              <w:left w:w="90" w:type="dxa"/>
              <w:bottom w:w="0" w:type="dxa"/>
              <w:right w:w="90" w:type="dxa"/>
            </w:tcMar>
            <w:vAlign w:val="center"/>
          </w:tcPr>
          <w:p>
            <w:pPr>
              <w:pStyle w:val="6"/>
              <w:keepNext w:val="0"/>
              <w:keepLines w:val="0"/>
              <w:widowControl/>
              <w:suppressLineNumbers w:val="0"/>
              <w:spacing w:before="100" w:beforeAutospacing="0" w:after="100" w:afterAutospacing="0" w:line="420" w:lineRule="exact"/>
              <w:ind w:left="0" w:leftChars="0" w:right="0" w:rightChars="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城市立面“牛皮癣”清理</w:t>
            </w:r>
          </w:p>
        </w:tc>
        <w:tc>
          <w:tcPr>
            <w:tcW w:w="1814" w:type="dxa"/>
            <w:noWrap w:val="0"/>
            <w:tcMar>
              <w:top w:w="0" w:type="dxa"/>
              <w:left w:w="90" w:type="dxa"/>
              <w:bottom w:w="0" w:type="dxa"/>
              <w:right w:w="90" w:type="dxa"/>
            </w:tcMar>
            <w:vAlign w:val="center"/>
          </w:tcPr>
          <w:p>
            <w:pPr>
              <w:pStyle w:val="6"/>
              <w:keepNext w:val="0"/>
              <w:keepLines w:val="0"/>
              <w:widowControl/>
              <w:suppressLineNumbers w:val="0"/>
              <w:spacing w:before="100" w:beforeAutospacing="0" w:after="100" w:afterAutospacing="0" w:line="420" w:lineRule="exact"/>
              <w:ind w:left="0" w:leftChars="0" w:right="0" w:rightChars="0"/>
              <w:jc w:val="center"/>
              <w:rPr>
                <w:rFonts w:hint="eastAsia" w:ascii="宋体" w:hAnsi="宋体" w:eastAsia="宋体" w:cs="宋体"/>
                <w:sz w:val="24"/>
                <w:szCs w:val="24"/>
                <w:highlight w:val="none"/>
                <w:lang w:val="en-US" w:eastAsia="zh-CN"/>
              </w:rPr>
            </w:pPr>
            <w:r>
              <w:rPr>
                <w:rFonts w:hint="eastAsia" w:ascii="宋体" w:hAnsi="宋体" w:eastAsia="宋体" w:cs="宋体"/>
                <w:i w:val="0"/>
                <w:color w:val="000000"/>
                <w:sz w:val="24"/>
                <w:szCs w:val="24"/>
                <w:highlight w:val="none"/>
              </w:rPr>
              <w:t>/</w:t>
            </w:r>
          </w:p>
        </w:tc>
        <w:tc>
          <w:tcPr>
            <w:tcW w:w="3253" w:type="dxa"/>
            <w:noWrap w:val="0"/>
            <w:tcMar>
              <w:top w:w="0" w:type="dxa"/>
              <w:left w:w="90" w:type="dxa"/>
              <w:bottom w:w="0" w:type="dxa"/>
              <w:right w:w="90" w:type="dxa"/>
            </w:tcMar>
            <w:vAlign w:val="center"/>
          </w:tcPr>
          <w:p>
            <w:pPr>
              <w:pStyle w:val="6"/>
              <w:keepNext w:val="0"/>
              <w:keepLines w:val="0"/>
              <w:widowControl/>
              <w:suppressLineNumbers w:val="0"/>
              <w:spacing w:before="100" w:beforeAutospacing="0" w:after="100" w:afterAutospacing="0" w:line="420" w:lineRule="exact"/>
              <w:ind w:left="0" w:leftChars="0" w:right="0" w:rightChars="0"/>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本服务项目作业区域范围内的所有市政道路及公共设施。</w:t>
            </w:r>
          </w:p>
          <w:p>
            <w:pPr>
              <w:pStyle w:val="6"/>
              <w:keepNext w:val="0"/>
              <w:keepLines w:val="0"/>
              <w:widowControl/>
              <w:suppressLineNumbers w:val="0"/>
              <w:spacing w:before="100" w:beforeAutospacing="0" w:after="100" w:afterAutospacing="0" w:line="420" w:lineRule="exact"/>
              <w:ind w:left="0" w:leftChars="0" w:right="0" w:rightChars="0"/>
              <w:jc w:val="left"/>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35" w:hRule="atLeast"/>
          <w:tblCellSpacing w:w="15" w:type="dxa"/>
        </w:trPr>
        <w:tc>
          <w:tcPr>
            <w:tcW w:w="698" w:type="dxa"/>
            <w:shd w:val="clear" w:color="auto" w:fill="FFFFFF"/>
            <w:noWrap w:val="0"/>
            <w:tcMar>
              <w:top w:w="0" w:type="dxa"/>
              <w:left w:w="90" w:type="dxa"/>
              <w:bottom w:w="0" w:type="dxa"/>
              <w:right w:w="90" w:type="dxa"/>
            </w:tcMar>
            <w:vAlign w:val="center"/>
          </w:tcPr>
          <w:p>
            <w:pPr>
              <w:pStyle w:val="6"/>
              <w:keepNext w:val="0"/>
              <w:keepLines w:val="0"/>
              <w:widowControl/>
              <w:suppressLineNumbers w:val="0"/>
              <w:spacing w:before="100" w:beforeAutospacing="0" w:after="100" w:afterAutospacing="0" w:line="420" w:lineRule="exact"/>
              <w:ind w:left="0" w:leftChars="0" w:right="0" w:rightChars="0"/>
              <w:jc w:val="center"/>
              <w:rPr>
                <w:rFonts w:hint="eastAsia" w:ascii="宋体" w:hAnsi="宋体" w:eastAsia="宋体" w:cs="宋体"/>
                <w:sz w:val="24"/>
                <w:szCs w:val="24"/>
                <w:highlight w:val="none"/>
                <w:lang w:val="en-US" w:eastAsia="zh-CN"/>
              </w:rPr>
            </w:pPr>
          </w:p>
        </w:tc>
        <w:tc>
          <w:tcPr>
            <w:tcW w:w="2824" w:type="dxa"/>
            <w:shd w:val="clear" w:color="auto" w:fill="FFFFFF"/>
            <w:noWrap w:val="0"/>
            <w:tcMar>
              <w:top w:w="0" w:type="dxa"/>
              <w:left w:w="90" w:type="dxa"/>
              <w:bottom w:w="0" w:type="dxa"/>
              <w:right w:w="90" w:type="dxa"/>
            </w:tcMar>
            <w:vAlign w:val="center"/>
          </w:tcPr>
          <w:p>
            <w:pPr>
              <w:pStyle w:val="6"/>
              <w:keepNext w:val="0"/>
              <w:keepLines w:val="0"/>
              <w:widowControl/>
              <w:suppressLineNumbers w:val="0"/>
              <w:spacing w:before="100" w:beforeAutospacing="0" w:after="100" w:afterAutospacing="0" w:line="420" w:lineRule="exact"/>
              <w:ind w:left="0" w:leftChars="0" w:right="0" w:rightChars="0"/>
              <w:jc w:val="both"/>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果皮箱清理</w:t>
            </w:r>
          </w:p>
        </w:tc>
        <w:tc>
          <w:tcPr>
            <w:tcW w:w="1814" w:type="dxa"/>
            <w:noWrap w:val="0"/>
            <w:tcMar>
              <w:top w:w="0" w:type="dxa"/>
              <w:left w:w="90" w:type="dxa"/>
              <w:bottom w:w="0" w:type="dxa"/>
              <w:right w:w="90" w:type="dxa"/>
            </w:tcMar>
            <w:vAlign w:val="center"/>
          </w:tcPr>
          <w:p>
            <w:pPr>
              <w:pStyle w:val="6"/>
              <w:keepNext w:val="0"/>
              <w:keepLines w:val="0"/>
              <w:widowControl/>
              <w:suppressLineNumbers w:val="0"/>
              <w:spacing w:before="100" w:beforeAutospacing="0" w:after="100" w:afterAutospacing="0" w:line="420" w:lineRule="exact"/>
              <w:ind w:left="0" w:leftChars="0" w:right="0" w:rightChars="0"/>
              <w:jc w:val="center"/>
              <w:rPr>
                <w:rFonts w:hint="eastAsia" w:ascii="宋体" w:hAnsi="宋体" w:eastAsia="宋体" w:cs="宋体"/>
                <w:sz w:val="24"/>
                <w:szCs w:val="24"/>
                <w:highlight w:val="none"/>
                <w:lang w:val="en-US" w:eastAsia="zh-CN"/>
              </w:rPr>
            </w:pPr>
            <w:r>
              <w:rPr>
                <w:rFonts w:hint="eastAsia" w:ascii="宋体" w:hAnsi="宋体" w:eastAsia="宋体" w:cs="宋体"/>
                <w:i w:val="0"/>
                <w:color w:val="000000"/>
                <w:sz w:val="24"/>
                <w:szCs w:val="24"/>
                <w:highlight w:val="none"/>
              </w:rPr>
              <w:t>/</w:t>
            </w:r>
          </w:p>
        </w:tc>
        <w:tc>
          <w:tcPr>
            <w:tcW w:w="3253" w:type="dxa"/>
            <w:noWrap w:val="0"/>
            <w:tcMar>
              <w:top w:w="0" w:type="dxa"/>
              <w:left w:w="90" w:type="dxa"/>
              <w:bottom w:w="0" w:type="dxa"/>
              <w:right w:w="90" w:type="dxa"/>
            </w:tcMar>
            <w:vAlign w:val="center"/>
          </w:tcPr>
          <w:p>
            <w:pPr>
              <w:pStyle w:val="6"/>
              <w:keepNext w:val="0"/>
              <w:keepLines w:val="0"/>
              <w:widowControl/>
              <w:suppressLineNumbers w:val="0"/>
              <w:spacing w:before="100" w:after="100" w:line="4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本服务项目作业区域范围内的</w:t>
            </w:r>
            <w:r>
              <w:rPr>
                <w:rFonts w:hint="eastAsia" w:ascii="宋体" w:hAnsi="宋体" w:eastAsia="宋体" w:cs="宋体"/>
                <w:kern w:val="0"/>
                <w:sz w:val="24"/>
                <w:szCs w:val="24"/>
                <w:highlight w:val="none"/>
                <w:lang w:val="en-US" w:eastAsia="zh-CN" w:bidi="ar"/>
              </w:rPr>
              <w:t>所有果皮箱</w:t>
            </w:r>
            <w:r>
              <w:rPr>
                <w:rFonts w:hint="eastAsia" w:ascii="宋体" w:hAnsi="宋体" w:cs="宋体"/>
                <w:kern w:val="0"/>
                <w:sz w:val="24"/>
                <w:szCs w:val="24"/>
                <w:highlight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blCellSpacing w:w="15" w:type="dxa"/>
        </w:trPr>
        <w:tc>
          <w:tcPr>
            <w:tcW w:w="698" w:type="dxa"/>
            <w:shd w:val="clear" w:color="auto" w:fill="FFFFFF"/>
            <w:noWrap w:val="0"/>
            <w:tcMar>
              <w:top w:w="0" w:type="dxa"/>
              <w:left w:w="90" w:type="dxa"/>
              <w:bottom w:w="0" w:type="dxa"/>
              <w:right w:w="90" w:type="dxa"/>
            </w:tcMar>
            <w:vAlign w:val="center"/>
          </w:tcPr>
          <w:p>
            <w:pPr>
              <w:pStyle w:val="6"/>
              <w:keepNext w:val="0"/>
              <w:keepLines w:val="0"/>
              <w:widowControl/>
              <w:suppressLineNumbers w:val="0"/>
              <w:spacing w:before="100" w:beforeAutospacing="0" w:after="100" w:afterAutospacing="0" w:line="420" w:lineRule="exact"/>
              <w:jc w:val="left"/>
              <w:rPr>
                <w:rStyle w:val="10"/>
                <w:rFonts w:hint="eastAsia" w:ascii="宋体" w:hAnsi="宋体" w:eastAsia="宋体" w:cs="宋体"/>
                <w:sz w:val="24"/>
                <w:szCs w:val="24"/>
                <w:highlight w:val="none"/>
                <w:lang w:val="en-US" w:eastAsia="zh-CN"/>
              </w:rPr>
            </w:pPr>
            <w:r>
              <w:rPr>
                <w:rStyle w:val="10"/>
                <w:rFonts w:hint="eastAsia" w:ascii="宋体" w:hAnsi="宋体" w:cs="宋体"/>
                <w:sz w:val="24"/>
                <w:szCs w:val="24"/>
                <w:highlight w:val="none"/>
                <w:lang w:val="en-US" w:eastAsia="zh-CN"/>
              </w:rPr>
              <w:t>7</w:t>
            </w:r>
          </w:p>
        </w:tc>
        <w:tc>
          <w:tcPr>
            <w:tcW w:w="2824" w:type="dxa"/>
            <w:shd w:val="clear" w:color="auto" w:fill="FFFFFF"/>
            <w:noWrap w:val="0"/>
            <w:tcMar>
              <w:top w:w="0" w:type="dxa"/>
              <w:left w:w="90" w:type="dxa"/>
              <w:bottom w:w="0" w:type="dxa"/>
              <w:right w:w="90" w:type="dxa"/>
            </w:tcMar>
            <w:vAlign w:val="center"/>
          </w:tcPr>
          <w:p>
            <w:pPr>
              <w:pStyle w:val="6"/>
              <w:keepNext w:val="0"/>
              <w:keepLines w:val="0"/>
              <w:widowControl/>
              <w:suppressLineNumbers w:val="0"/>
              <w:spacing w:before="100" w:beforeAutospacing="0" w:after="100" w:afterAutospacing="0" w:line="4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智慧环卫管理平台</w:t>
            </w:r>
          </w:p>
        </w:tc>
        <w:tc>
          <w:tcPr>
            <w:tcW w:w="1814" w:type="dxa"/>
            <w:noWrap w:val="0"/>
            <w:tcMar>
              <w:top w:w="0" w:type="dxa"/>
              <w:left w:w="90" w:type="dxa"/>
              <w:bottom w:w="0" w:type="dxa"/>
              <w:right w:w="90" w:type="dxa"/>
            </w:tcMar>
            <w:vAlign w:val="center"/>
          </w:tcPr>
          <w:p>
            <w:pPr>
              <w:pStyle w:val="6"/>
              <w:keepNext w:val="0"/>
              <w:keepLines w:val="0"/>
              <w:widowControl/>
              <w:suppressLineNumbers w:val="0"/>
              <w:spacing w:before="100" w:beforeAutospacing="0" w:after="100" w:afterAutospacing="0" w:line="420" w:lineRule="exact"/>
              <w:jc w:val="left"/>
              <w:rPr>
                <w:rFonts w:hint="eastAsia" w:ascii="宋体" w:hAnsi="宋体" w:eastAsia="宋体" w:cs="宋体"/>
                <w:i w:val="0"/>
                <w:color w:val="000000"/>
                <w:sz w:val="24"/>
                <w:szCs w:val="24"/>
                <w:highlight w:val="none"/>
              </w:rPr>
            </w:pPr>
          </w:p>
        </w:tc>
        <w:tc>
          <w:tcPr>
            <w:tcW w:w="3253" w:type="dxa"/>
            <w:noWrap w:val="0"/>
            <w:tcMar>
              <w:top w:w="0" w:type="dxa"/>
              <w:left w:w="90" w:type="dxa"/>
              <w:bottom w:w="0" w:type="dxa"/>
              <w:right w:w="90" w:type="dxa"/>
            </w:tcMar>
            <w:vAlign w:val="center"/>
          </w:tcPr>
          <w:p>
            <w:pPr>
              <w:pStyle w:val="6"/>
              <w:keepNext w:val="0"/>
              <w:keepLines w:val="0"/>
              <w:widowControl/>
              <w:suppressLineNumbers w:val="0"/>
              <w:spacing w:before="100" w:after="100" w:line="420" w:lineRule="exact"/>
              <w:jc w:val="left"/>
              <w:rPr>
                <w:rFonts w:hint="eastAsia" w:ascii="宋体" w:hAnsi="宋体" w:eastAsia="宋体" w:cs="宋体"/>
                <w:kern w:val="0"/>
                <w:sz w:val="24"/>
                <w:szCs w:val="24"/>
                <w:highlight w:val="none"/>
                <w:lang w:val="en-US" w:eastAsia="zh-CN" w:bidi="ar"/>
              </w:rPr>
            </w:pPr>
            <w:r>
              <w:rPr>
                <w:rFonts w:hint="eastAsia" w:ascii="宋体" w:hAnsi="宋体" w:eastAsia="宋体" w:cs="宋体"/>
                <w:kern w:val="0"/>
                <w:sz w:val="24"/>
                <w:szCs w:val="24"/>
                <w:highlight w:val="none"/>
                <w:lang w:val="en-US" w:eastAsia="zh-CN" w:bidi="ar"/>
              </w:rPr>
              <w:t>智慧环卫设备及系统</w:t>
            </w:r>
            <w:r>
              <w:rPr>
                <w:rFonts w:hint="eastAsia" w:ascii="宋体" w:hAnsi="宋体" w:cs="宋体"/>
                <w:kern w:val="0"/>
                <w:sz w:val="24"/>
                <w:szCs w:val="24"/>
                <w:highlight w:val="none"/>
                <w:lang w:val="en-US" w:eastAsia="zh-CN" w:bidi="ar"/>
              </w:rPr>
              <w:t>建设、运行维护管理</w:t>
            </w:r>
            <w:r>
              <w:rPr>
                <w:rFonts w:hint="eastAsia" w:ascii="宋体" w:hAnsi="宋体" w:eastAsia="宋体" w:cs="宋体"/>
                <w:kern w:val="0"/>
                <w:sz w:val="24"/>
                <w:szCs w:val="24"/>
                <w:highlight w:val="none"/>
                <w:lang w:val="en-US" w:eastAsia="zh-CN" w:bidi="ar"/>
              </w:rPr>
              <w:t>等</w:t>
            </w:r>
          </w:p>
        </w:tc>
      </w:tr>
    </w:tbl>
    <w:p>
      <w:pPr>
        <w:pStyle w:val="6"/>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70" w:lineRule="exact"/>
        <w:ind w:right="0" w:rightChars="0" w:firstLine="361" w:firstLineChars="150"/>
        <w:jc w:val="both"/>
        <w:textAlignment w:val="auto"/>
        <w:rPr>
          <w:rStyle w:val="10"/>
          <w:rFonts w:hint="eastAsia" w:ascii="宋体" w:hAnsi="宋体" w:cs="宋体"/>
          <w:b/>
          <w:bCs w:val="0"/>
          <w:sz w:val="24"/>
          <w:szCs w:val="24"/>
          <w:highlight w:val="none"/>
          <w:lang w:val="en-US" w:eastAsia="zh-CN"/>
        </w:rPr>
      </w:pPr>
      <w:r>
        <w:rPr>
          <w:rStyle w:val="10"/>
          <w:rFonts w:hint="eastAsia" w:ascii="宋体" w:hAnsi="宋体" w:cs="宋体"/>
          <w:b/>
          <w:bCs w:val="0"/>
          <w:sz w:val="24"/>
          <w:szCs w:val="24"/>
          <w:highlight w:val="none"/>
          <w:lang w:val="en-US" w:eastAsia="zh-CN"/>
        </w:rPr>
        <w:t>（二）目标任务</w:t>
      </w:r>
    </w:p>
    <w:p>
      <w:pPr>
        <w:pStyle w:val="6"/>
        <w:keepNext w:val="0"/>
        <w:keepLines w:val="0"/>
        <w:pageBreakBefore w:val="0"/>
        <w:widowControl/>
        <w:suppressLineNumbers w:val="0"/>
        <w:kinsoku/>
        <w:wordWrap/>
        <w:overflowPunct/>
        <w:topLinePunct w:val="0"/>
        <w:autoSpaceDE/>
        <w:autoSpaceDN/>
        <w:bidi w:val="0"/>
        <w:adjustRightInd/>
        <w:snapToGrid/>
        <w:spacing w:before="100" w:beforeAutospacing="0" w:after="100" w:afterAutospacing="0" w:line="37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按照国家、省、市相关政策和技术规范，本项目目标如下：</w:t>
      </w:r>
    </w:p>
    <w:p>
      <w:pPr>
        <w:pStyle w:val="6"/>
        <w:keepNext w:val="0"/>
        <w:keepLines w:val="0"/>
        <w:pageBreakBefore w:val="0"/>
        <w:widowControl/>
        <w:suppressLineNumbers w:val="0"/>
        <w:kinsoku/>
        <w:wordWrap/>
        <w:overflowPunct/>
        <w:topLinePunct w:val="0"/>
        <w:autoSpaceDE/>
        <w:autoSpaceDN/>
        <w:bidi w:val="0"/>
        <w:adjustRightInd/>
        <w:snapToGrid/>
        <w:spacing w:before="100" w:beforeAutospacing="0" w:after="100" w:afterAutospacing="0" w:line="37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cs="宋体"/>
          <w:sz w:val="24"/>
          <w:szCs w:val="24"/>
          <w:lang w:val="en-US" w:eastAsia="zh-CN"/>
        </w:rPr>
        <w:t>1.</w:t>
      </w:r>
      <w:r>
        <w:rPr>
          <w:rFonts w:hint="eastAsia" w:ascii="宋体" w:hAnsi="宋体" w:eastAsia="宋体" w:cs="宋体"/>
          <w:sz w:val="24"/>
          <w:szCs w:val="24"/>
          <w:lang w:val="en-US" w:eastAsia="zh-CN"/>
        </w:rPr>
        <w:t>环境卫生必须达到国家、省、市卫生城市、文明城市标准要求。</w:t>
      </w:r>
    </w:p>
    <w:p>
      <w:pPr>
        <w:pStyle w:val="6"/>
        <w:keepNext w:val="0"/>
        <w:keepLines w:val="0"/>
        <w:pageBreakBefore w:val="0"/>
        <w:widowControl/>
        <w:suppressLineNumbers w:val="0"/>
        <w:kinsoku/>
        <w:wordWrap/>
        <w:overflowPunct/>
        <w:topLinePunct w:val="0"/>
        <w:autoSpaceDE/>
        <w:autoSpaceDN/>
        <w:bidi w:val="0"/>
        <w:adjustRightInd/>
        <w:snapToGrid/>
        <w:spacing w:before="100" w:beforeAutospacing="0" w:after="100" w:afterAutospacing="0" w:line="37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cs="宋体"/>
          <w:sz w:val="24"/>
          <w:szCs w:val="24"/>
          <w:lang w:val="en-US" w:eastAsia="zh-CN"/>
        </w:rPr>
        <w:t>2.</w:t>
      </w:r>
      <w:r>
        <w:rPr>
          <w:rFonts w:hint="eastAsia" w:ascii="宋体" w:hAnsi="宋体" w:eastAsia="宋体" w:cs="宋体"/>
          <w:sz w:val="24"/>
          <w:szCs w:val="24"/>
          <w:lang w:val="en-US" w:eastAsia="zh-CN"/>
        </w:rPr>
        <w:t>在国家相关法律、法规及政策指导下，提高从业人员综合素质和工资福利待遇，实现环卫服务产业化、规范化。解决现有环卫从业人员老龄化问题，改善队伍年龄结构。</w:t>
      </w:r>
    </w:p>
    <w:p>
      <w:pPr>
        <w:pStyle w:val="6"/>
        <w:keepNext w:val="0"/>
        <w:keepLines w:val="0"/>
        <w:pageBreakBefore w:val="0"/>
        <w:widowControl/>
        <w:suppressLineNumbers w:val="0"/>
        <w:kinsoku/>
        <w:wordWrap/>
        <w:overflowPunct/>
        <w:topLinePunct w:val="0"/>
        <w:autoSpaceDE/>
        <w:autoSpaceDN/>
        <w:bidi w:val="0"/>
        <w:adjustRightInd/>
        <w:snapToGrid/>
        <w:spacing w:before="100" w:beforeAutospacing="0" w:after="100" w:afterAutospacing="0" w:line="37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cs="宋体"/>
          <w:sz w:val="24"/>
          <w:szCs w:val="24"/>
          <w:lang w:val="en-US" w:eastAsia="zh-CN"/>
        </w:rPr>
        <w:t>3.</w:t>
      </w:r>
      <w:r>
        <w:rPr>
          <w:rFonts w:hint="eastAsia" w:ascii="宋体" w:hAnsi="宋体" w:eastAsia="宋体" w:cs="宋体"/>
          <w:sz w:val="24"/>
          <w:szCs w:val="24"/>
          <w:lang w:val="en-US" w:eastAsia="zh-CN"/>
        </w:rPr>
        <w:t>提升环卫作业及环卫设施设备装备水平，满足项目安全作业及质量要求；实现城区主干道机扫率达到80%以上，次干道机扫率达60%以上；环卫设施干净整洁，数量满足需要，完好率不低于98%。</w:t>
      </w:r>
    </w:p>
    <w:p>
      <w:pPr>
        <w:pStyle w:val="6"/>
        <w:keepNext w:val="0"/>
        <w:keepLines w:val="0"/>
        <w:pageBreakBefore w:val="0"/>
        <w:widowControl/>
        <w:suppressLineNumbers w:val="0"/>
        <w:kinsoku/>
        <w:wordWrap/>
        <w:overflowPunct/>
        <w:topLinePunct w:val="0"/>
        <w:autoSpaceDE/>
        <w:autoSpaceDN/>
        <w:bidi w:val="0"/>
        <w:adjustRightInd/>
        <w:snapToGrid/>
        <w:spacing w:before="100" w:beforeAutospacing="0" w:after="100" w:afterAutospacing="0" w:line="37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cs="宋体"/>
          <w:sz w:val="24"/>
          <w:szCs w:val="24"/>
          <w:lang w:val="en-US" w:eastAsia="zh-CN"/>
        </w:rPr>
        <w:t>4.</w:t>
      </w:r>
      <w:r>
        <w:rPr>
          <w:rFonts w:hint="eastAsia" w:ascii="宋体" w:hAnsi="宋体" w:eastAsia="宋体" w:cs="宋体"/>
          <w:sz w:val="24"/>
          <w:szCs w:val="24"/>
          <w:lang w:val="en-US" w:eastAsia="zh-CN"/>
        </w:rPr>
        <w:t>城区清扫保洁标准提档升级。</w:t>
      </w:r>
    </w:p>
    <w:p>
      <w:pPr>
        <w:pStyle w:val="6"/>
        <w:keepNext w:val="0"/>
        <w:keepLines w:val="0"/>
        <w:pageBreakBefore w:val="0"/>
        <w:widowControl/>
        <w:suppressLineNumbers w:val="0"/>
        <w:kinsoku/>
        <w:wordWrap/>
        <w:overflowPunct/>
        <w:topLinePunct w:val="0"/>
        <w:autoSpaceDE/>
        <w:autoSpaceDN/>
        <w:bidi w:val="0"/>
        <w:adjustRightInd/>
        <w:snapToGrid/>
        <w:spacing w:before="100" w:beforeAutospacing="0" w:after="100" w:afterAutospacing="0" w:line="37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cs="宋体"/>
          <w:sz w:val="24"/>
          <w:szCs w:val="24"/>
          <w:lang w:val="en-US" w:eastAsia="zh-CN"/>
        </w:rPr>
        <w:t>5.</w:t>
      </w:r>
      <w:r>
        <w:rPr>
          <w:rFonts w:hint="eastAsia" w:ascii="宋体" w:hAnsi="宋体" w:eastAsia="宋体" w:cs="宋体"/>
          <w:sz w:val="24"/>
          <w:szCs w:val="24"/>
          <w:lang w:val="en-US" w:eastAsia="zh-CN"/>
        </w:rPr>
        <w:t>提高生活垃圾收集清运能力和作业质量，清运模式合理，实现中转压缩，密闭收运，合理运转，日产日清，不留死角；逐步淘汰落后的露天生活垃圾收集方式，改为设置240升密封式垃圾桶由垃圾压缩车收运方式，做到垃圾定点投放、不落地、无二次污染。</w:t>
      </w:r>
    </w:p>
    <w:p>
      <w:pPr>
        <w:pStyle w:val="6"/>
        <w:keepNext w:val="0"/>
        <w:keepLines w:val="0"/>
        <w:pageBreakBefore w:val="0"/>
        <w:widowControl/>
        <w:suppressLineNumbers w:val="0"/>
        <w:kinsoku/>
        <w:wordWrap/>
        <w:overflowPunct/>
        <w:topLinePunct w:val="0"/>
        <w:autoSpaceDE/>
        <w:autoSpaceDN/>
        <w:bidi w:val="0"/>
        <w:adjustRightInd/>
        <w:snapToGrid/>
        <w:spacing w:before="100" w:beforeAutospacing="0" w:after="100" w:afterAutospacing="0" w:line="37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cs="宋体"/>
          <w:sz w:val="24"/>
          <w:szCs w:val="24"/>
          <w:lang w:val="en-US" w:eastAsia="zh-CN"/>
        </w:rPr>
        <w:t>6.</w:t>
      </w:r>
      <w:r>
        <w:rPr>
          <w:rFonts w:hint="eastAsia" w:ascii="宋体" w:hAnsi="宋体" w:eastAsia="宋体" w:cs="宋体"/>
          <w:sz w:val="24"/>
          <w:szCs w:val="24"/>
          <w:lang w:val="en-US" w:eastAsia="zh-CN"/>
        </w:rPr>
        <w:t>制定完善的环卫应急预案，提高应急处理能力。</w:t>
      </w:r>
    </w:p>
    <w:p>
      <w:pPr>
        <w:pStyle w:val="6"/>
        <w:keepNext w:val="0"/>
        <w:keepLines w:val="0"/>
        <w:pageBreakBefore w:val="0"/>
        <w:widowControl/>
        <w:suppressLineNumbers w:val="0"/>
        <w:kinsoku/>
        <w:wordWrap/>
        <w:overflowPunct/>
        <w:topLinePunct w:val="0"/>
        <w:autoSpaceDE/>
        <w:autoSpaceDN/>
        <w:bidi w:val="0"/>
        <w:adjustRightInd/>
        <w:snapToGrid/>
        <w:spacing w:before="100" w:beforeAutospacing="0" w:after="100" w:afterAutospacing="0" w:line="37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cs="宋体"/>
          <w:sz w:val="24"/>
          <w:szCs w:val="24"/>
          <w:lang w:val="en-US" w:eastAsia="zh-CN"/>
        </w:rPr>
        <w:t>7.</w:t>
      </w:r>
      <w:r>
        <w:rPr>
          <w:rFonts w:hint="eastAsia" w:ascii="宋体" w:hAnsi="宋体" w:eastAsia="宋体" w:cs="宋体"/>
          <w:sz w:val="24"/>
          <w:szCs w:val="24"/>
          <w:lang w:val="en-US" w:eastAsia="zh-CN"/>
        </w:rPr>
        <w:t>建立智慧环卫信息化管理平台，实现环卫服务精细化。</w:t>
      </w:r>
    </w:p>
    <w:p>
      <w:pPr>
        <w:pStyle w:val="6"/>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70" w:lineRule="exact"/>
        <w:ind w:right="0" w:rightChars="0" w:firstLine="361" w:firstLineChars="150"/>
        <w:jc w:val="both"/>
        <w:textAlignment w:val="auto"/>
        <w:rPr>
          <w:rStyle w:val="10"/>
          <w:rFonts w:hint="default" w:ascii="宋体" w:hAnsi="宋体" w:cs="宋体"/>
          <w:b/>
          <w:bCs w:val="0"/>
          <w:sz w:val="24"/>
          <w:szCs w:val="24"/>
          <w:highlight w:val="none"/>
          <w:lang w:val="en-US" w:eastAsia="zh-CN"/>
        </w:rPr>
      </w:pPr>
      <w:r>
        <w:rPr>
          <w:rStyle w:val="10"/>
          <w:rFonts w:hint="eastAsia" w:ascii="宋体" w:hAnsi="宋体" w:cs="宋体"/>
          <w:b/>
          <w:bCs w:val="0"/>
          <w:sz w:val="24"/>
          <w:szCs w:val="24"/>
          <w:highlight w:val="none"/>
          <w:lang w:val="en-US" w:eastAsia="zh-CN"/>
        </w:rPr>
        <w:t>（三）标准规范</w:t>
      </w:r>
    </w:p>
    <w:p>
      <w:pPr>
        <w:pStyle w:val="6"/>
        <w:keepNext w:val="0"/>
        <w:keepLines w:val="0"/>
        <w:pageBreakBefore w:val="0"/>
        <w:widowControl/>
        <w:suppressLineNumbers w:val="0"/>
        <w:kinsoku/>
        <w:wordWrap/>
        <w:overflowPunct/>
        <w:topLinePunct w:val="0"/>
        <w:autoSpaceDE/>
        <w:autoSpaceDN/>
        <w:bidi w:val="0"/>
        <w:adjustRightInd/>
        <w:snapToGrid/>
        <w:spacing w:before="100" w:beforeAutospacing="0" w:after="100" w:afterAutospacing="0" w:line="37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除本招标文件条款另有规定的要求外，本次招标服务标准应符合下列标准规范，同时还应符合国家和省市、区行业相关的标准及有关规定。如</w:t>
      </w:r>
      <w:r>
        <w:rPr>
          <w:rFonts w:hint="eastAsia" w:ascii="宋体" w:hAnsi="宋体" w:eastAsia="宋体" w:cs="宋体"/>
          <w:sz w:val="24"/>
          <w:szCs w:val="24"/>
          <w:lang w:val="en-US" w:eastAsia="zh-CN"/>
        </w:rPr>
        <w:t>所</w:t>
      </w:r>
      <w:r>
        <w:rPr>
          <w:rFonts w:hint="eastAsia" w:ascii="宋体" w:hAnsi="宋体" w:eastAsia="宋体" w:cs="宋体"/>
          <w:sz w:val="24"/>
          <w:szCs w:val="24"/>
        </w:rPr>
        <w:t>述标准及规定有矛盾的，则以较严格的现行标准、规定为准。</w:t>
      </w:r>
    </w:p>
    <w:p>
      <w:pPr>
        <w:pStyle w:val="6"/>
        <w:keepNext w:val="0"/>
        <w:keepLines w:val="0"/>
        <w:pageBreakBefore w:val="0"/>
        <w:widowControl/>
        <w:suppressLineNumbers w:val="0"/>
        <w:kinsoku/>
        <w:wordWrap/>
        <w:overflowPunct/>
        <w:topLinePunct w:val="0"/>
        <w:autoSpaceDE/>
        <w:autoSpaceDN/>
        <w:bidi w:val="0"/>
        <w:adjustRightInd/>
        <w:snapToGrid/>
        <w:spacing w:before="100" w:beforeAutospacing="0" w:after="100" w:afterAutospacing="0" w:line="370" w:lineRule="exact"/>
        <w:ind w:firstLine="480"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w:t>
      </w:r>
      <w:r>
        <w:rPr>
          <w:rFonts w:hint="eastAsia" w:ascii="宋体" w:hAnsi="宋体" w:eastAsia="宋体" w:cs="宋体"/>
          <w:sz w:val="24"/>
          <w:szCs w:val="24"/>
        </w:rPr>
        <w:t>《城市生活垃圾管理办法》；</w:t>
      </w:r>
    </w:p>
    <w:p>
      <w:pPr>
        <w:pStyle w:val="6"/>
        <w:keepNext w:val="0"/>
        <w:keepLines w:val="0"/>
        <w:pageBreakBefore w:val="0"/>
        <w:widowControl/>
        <w:suppressLineNumbers w:val="0"/>
        <w:kinsoku/>
        <w:wordWrap/>
        <w:overflowPunct/>
        <w:topLinePunct w:val="0"/>
        <w:autoSpaceDE/>
        <w:autoSpaceDN/>
        <w:bidi w:val="0"/>
        <w:adjustRightInd/>
        <w:snapToGrid/>
        <w:spacing w:before="100" w:beforeAutospacing="0" w:after="100" w:afterAutospacing="0" w:line="370" w:lineRule="exact"/>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《城市市容和环境卫生管理条例》；</w:t>
      </w:r>
    </w:p>
    <w:p>
      <w:pPr>
        <w:pStyle w:val="6"/>
        <w:keepNext w:val="0"/>
        <w:keepLines w:val="0"/>
        <w:pageBreakBefore w:val="0"/>
        <w:widowControl/>
        <w:suppressLineNumbers w:val="0"/>
        <w:kinsoku/>
        <w:wordWrap/>
        <w:overflowPunct/>
        <w:topLinePunct w:val="0"/>
        <w:autoSpaceDE/>
        <w:autoSpaceDN/>
        <w:bidi w:val="0"/>
        <w:adjustRightInd/>
        <w:snapToGrid/>
        <w:spacing w:before="100" w:beforeAutospacing="0" w:after="100" w:afterAutospacing="0" w:line="370" w:lineRule="exact"/>
        <w:ind w:firstLine="480" w:firstLineChars="200"/>
        <w:jc w:val="both"/>
        <w:textAlignment w:val="auto"/>
        <w:rPr>
          <w:rFonts w:hint="eastAsia" w:ascii="宋体" w:hAnsi="宋体" w:eastAsia="宋体" w:cs="宋体"/>
          <w:sz w:val="24"/>
          <w:szCs w:val="24"/>
        </w:rPr>
      </w:pPr>
      <w:r>
        <w:rPr>
          <w:rFonts w:hint="eastAsia" w:ascii="宋体" w:hAnsi="宋体" w:cs="宋体"/>
          <w:sz w:val="24"/>
          <w:szCs w:val="24"/>
          <w:lang w:val="en-US" w:eastAsia="zh-CN"/>
        </w:rPr>
        <w:t>3</w:t>
      </w:r>
      <w:r>
        <w:rPr>
          <w:rFonts w:hint="eastAsia" w:ascii="宋体" w:hAnsi="宋体" w:eastAsia="宋体" w:cs="宋体"/>
          <w:sz w:val="24"/>
          <w:szCs w:val="24"/>
          <w:lang w:val="en-US" w:eastAsia="zh-CN"/>
        </w:rPr>
        <w:t>、</w:t>
      </w:r>
      <w:r>
        <w:rPr>
          <w:rFonts w:hint="eastAsia" w:ascii="宋体" w:hAnsi="宋体" w:eastAsia="宋体" w:cs="宋体"/>
          <w:sz w:val="24"/>
          <w:szCs w:val="24"/>
        </w:rPr>
        <w:t>《福建省环境卫生作业服务监管办法》；</w:t>
      </w:r>
    </w:p>
    <w:p>
      <w:pPr>
        <w:pStyle w:val="6"/>
        <w:keepNext w:val="0"/>
        <w:keepLines w:val="0"/>
        <w:pageBreakBefore w:val="0"/>
        <w:widowControl/>
        <w:suppressLineNumbers w:val="0"/>
        <w:kinsoku/>
        <w:wordWrap/>
        <w:overflowPunct/>
        <w:topLinePunct w:val="0"/>
        <w:autoSpaceDE/>
        <w:autoSpaceDN/>
        <w:bidi w:val="0"/>
        <w:adjustRightInd/>
        <w:snapToGrid/>
        <w:spacing w:before="100" w:beforeAutospacing="0" w:after="100" w:afterAutospacing="0" w:line="370" w:lineRule="exact"/>
        <w:ind w:firstLine="480" w:firstLineChars="200"/>
        <w:jc w:val="both"/>
        <w:textAlignment w:val="auto"/>
        <w:rPr>
          <w:rFonts w:hint="eastAsia" w:ascii="宋体" w:hAnsi="宋体" w:eastAsia="宋体" w:cs="宋体"/>
          <w:sz w:val="24"/>
          <w:szCs w:val="24"/>
        </w:rPr>
      </w:pPr>
      <w:r>
        <w:rPr>
          <w:rFonts w:hint="eastAsia" w:ascii="宋体" w:hAnsi="宋体" w:cs="宋体"/>
          <w:sz w:val="24"/>
          <w:szCs w:val="24"/>
          <w:lang w:val="en-US" w:eastAsia="zh-CN"/>
        </w:rPr>
        <w:t>4</w:t>
      </w:r>
      <w:r>
        <w:rPr>
          <w:rFonts w:hint="eastAsia" w:ascii="宋体" w:hAnsi="宋体" w:eastAsia="宋体" w:cs="宋体"/>
          <w:sz w:val="24"/>
          <w:szCs w:val="24"/>
        </w:rPr>
        <w:t>、福建省住房和城乡建设厅，《福建省城镇道路清扫保洁作业指导价》（试行）</w:t>
      </w:r>
    </w:p>
    <w:p>
      <w:pPr>
        <w:pStyle w:val="6"/>
        <w:keepNext w:val="0"/>
        <w:keepLines w:val="0"/>
        <w:pageBreakBefore w:val="0"/>
        <w:widowControl/>
        <w:suppressLineNumbers w:val="0"/>
        <w:kinsoku/>
        <w:wordWrap/>
        <w:overflowPunct/>
        <w:topLinePunct w:val="0"/>
        <w:autoSpaceDE/>
        <w:autoSpaceDN/>
        <w:bidi w:val="0"/>
        <w:adjustRightInd/>
        <w:snapToGrid/>
        <w:spacing w:before="100" w:beforeAutospacing="0" w:after="100" w:afterAutospacing="0" w:line="370" w:lineRule="exact"/>
        <w:ind w:firstLine="480" w:firstLineChars="200"/>
        <w:jc w:val="both"/>
        <w:textAlignment w:val="auto"/>
        <w:rPr>
          <w:rFonts w:hint="eastAsia" w:ascii="宋体" w:hAnsi="宋体" w:eastAsia="宋体" w:cs="宋体"/>
          <w:sz w:val="24"/>
          <w:szCs w:val="24"/>
        </w:rPr>
      </w:pPr>
      <w:r>
        <w:rPr>
          <w:rFonts w:hint="eastAsia" w:ascii="宋体" w:hAnsi="宋体" w:cs="宋体"/>
          <w:sz w:val="24"/>
          <w:szCs w:val="24"/>
          <w:lang w:val="en-US" w:eastAsia="zh-CN"/>
        </w:rPr>
        <w:t>5</w:t>
      </w:r>
      <w:r>
        <w:rPr>
          <w:rFonts w:hint="eastAsia" w:ascii="宋体" w:hAnsi="宋体" w:eastAsia="宋体" w:cs="宋体"/>
          <w:sz w:val="24"/>
          <w:szCs w:val="24"/>
        </w:rPr>
        <w:t>、《生活垃圾收集运输技术规程》（CJJ205-2013）</w:t>
      </w:r>
    </w:p>
    <w:p>
      <w:pPr>
        <w:pStyle w:val="6"/>
        <w:keepNext w:val="0"/>
        <w:keepLines w:val="0"/>
        <w:pageBreakBefore w:val="0"/>
        <w:widowControl/>
        <w:suppressLineNumbers w:val="0"/>
        <w:kinsoku/>
        <w:wordWrap/>
        <w:overflowPunct/>
        <w:topLinePunct w:val="0"/>
        <w:autoSpaceDE/>
        <w:autoSpaceDN/>
        <w:bidi w:val="0"/>
        <w:adjustRightInd/>
        <w:snapToGrid/>
        <w:spacing w:before="100" w:beforeAutospacing="0" w:after="100" w:afterAutospacing="0" w:line="370" w:lineRule="exact"/>
        <w:ind w:firstLine="480" w:firstLineChars="200"/>
        <w:jc w:val="both"/>
        <w:textAlignment w:val="auto"/>
        <w:rPr>
          <w:rFonts w:hint="eastAsia" w:ascii="宋体" w:hAnsi="宋体" w:eastAsia="宋体" w:cs="宋体"/>
          <w:sz w:val="24"/>
          <w:szCs w:val="24"/>
        </w:rPr>
      </w:pPr>
      <w:r>
        <w:rPr>
          <w:rFonts w:hint="eastAsia" w:ascii="宋体" w:hAnsi="宋体" w:cs="宋体"/>
          <w:sz w:val="24"/>
          <w:szCs w:val="24"/>
          <w:lang w:val="en-US" w:eastAsia="zh-CN"/>
        </w:rPr>
        <w:t>6</w:t>
      </w:r>
      <w:r>
        <w:rPr>
          <w:rFonts w:hint="eastAsia" w:ascii="宋体" w:hAnsi="宋体" w:eastAsia="宋体" w:cs="宋体"/>
          <w:sz w:val="24"/>
          <w:szCs w:val="24"/>
        </w:rPr>
        <w:t>、《生活垃圾转运站运行维护技术规程》（CJJ109-2006）</w:t>
      </w:r>
    </w:p>
    <w:p>
      <w:pPr>
        <w:pStyle w:val="6"/>
        <w:keepNext w:val="0"/>
        <w:keepLines w:val="0"/>
        <w:pageBreakBefore w:val="0"/>
        <w:widowControl/>
        <w:suppressLineNumbers w:val="0"/>
        <w:kinsoku/>
        <w:wordWrap/>
        <w:overflowPunct/>
        <w:topLinePunct w:val="0"/>
        <w:autoSpaceDE/>
        <w:autoSpaceDN/>
        <w:bidi w:val="0"/>
        <w:adjustRightInd/>
        <w:snapToGrid/>
        <w:spacing w:before="100" w:beforeAutospacing="0" w:after="100" w:afterAutospacing="0" w:line="370" w:lineRule="exact"/>
        <w:ind w:firstLine="480" w:firstLineChars="200"/>
        <w:jc w:val="both"/>
        <w:textAlignment w:val="auto"/>
        <w:rPr>
          <w:rFonts w:hint="eastAsia" w:ascii="宋体" w:hAnsi="宋体" w:eastAsia="宋体" w:cs="宋体"/>
          <w:sz w:val="24"/>
          <w:szCs w:val="24"/>
        </w:rPr>
      </w:pPr>
      <w:r>
        <w:rPr>
          <w:rFonts w:hint="eastAsia" w:ascii="宋体" w:hAnsi="宋体" w:cs="宋体"/>
          <w:sz w:val="24"/>
          <w:szCs w:val="24"/>
          <w:lang w:val="en-US" w:eastAsia="zh-CN"/>
        </w:rPr>
        <w:t>7、</w:t>
      </w:r>
      <w:r>
        <w:rPr>
          <w:rFonts w:hint="eastAsia" w:ascii="宋体" w:hAnsi="宋体" w:eastAsia="宋体" w:cs="宋体"/>
          <w:sz w:val="24"/>
          <w:szCs w:val="24"/>
        </w:rPr>
        <w:t>其他有关法律、法规规定。</w:t>
      </w:r>
    </w:p>
    <w:p>
      <w:pPr>
        <w:pStyle w:val="6"/>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70" w:lineRule="exact"/>
        <w:ind w:right="0" w:rightChars="0" w:firstLine="361" w:firstLineChars="150"/>
        <w:jc w:val="both"/>
        <w:textAlignment w:val="auto"/>
        <w:rPr>
          <w:rStyle w:val="10"/>
          <w:rFonts w:hint="eastAsia" w:ascii="宋体" w:hAnsi="宋体" w:cs="宋体"/>
          <w:b/>
          <w:bCs w:val="0"/>
          <w:sz w:val="24"/>
          <w:szCs w:val="24"/>
          <w:highlight w:val="none"/>
          <w:lang w:val="en-US" w:eastAsia="zh-CN"/>
        </w:rPr>
      </w:pPr>
      <w:r>
        <w:rPr>
          <w:rStyle w:val="10"/>
          <w:rFonts w:hint="eastAsia" w:ascii="宋体" w:hAnsi="宋体" w:cs="宋体"/>
          <w:b/>
          <w:bCs w:val="0"/>
          <w:sz w:val="24"/>
          <w:szCs w:val="24"/>
          <w:highlight w:val="none"/>
          <w:lang w:val="en-US" w:eastAsia="zh-CN"/>
        </w:rPr>
        <w:t>（四）项目要求</w:t>
      </w:r>
    </w:p>
    <w:p>
      <w:pPr>
        <w:pStyle w:val="6"/>
        <w:keepNext w:val="0"/>
        <w:keepLines w:val="0"/>
        <w:pageBreakBefore w:val="0"/>
        <w:widowControl/>
        <w:suppressLineNumbers w:val="0"/>
        <w:kinsoku/>
        <w:wordWrap/>
        <w:overflowPunct/>
        <w:topLinePunct w:val="0"/>
        <w:autoSpaceDE/>
        <w:autoSpaceDN/>
        <w:bidi w:val="0"/>
        <w:adjustRightInd/>
        <w:snapToGrid/>
        <w:spacing w:before="100" w:beforeAutospacing="0" w:after="100" w:afterAutospacing="0" w:line="370" w:lineRule="exact"/>
        <w:jc w:val="left"/>
        <w:textAlignment w:val="auto"/>
        <w:rPr>
          <w:rFonts w:hint="eastAsia" w:ascii="宋体" w:hAnsi="宋体" w:eastAsia="宋体" w:cs="宋体"/>
          <w:sz w:val="24"/>
          <w:szCs w:val="24"/>
        </w:rPr>
      </w:pPr>
      <w:r>
        <w:rPr>
          <w:rStyle w:val="10"/>
          <w:rFonts w:hint="eastAsia" w:ascii="宋体" w:hAnsi="宋体" w:eastAsia="宋体" w:cs="宋体"/>
          <w:sz w:val="24"/>
          <w:szCs w:val="24"/>
        </w:rPr>
        <w:t>1、</w:t>
      </w:r>
      <w:r>
        <w:rPr>
          <w:rStyle w:val="10"/>
          <w:rFonts w:hint="eastAsia" w:ascii="宋体" w:hAnsi="宋体" w:eastAsia="宋体" w:cs="宋体"/>
          <w:sz w:val="24"/>
          <w:szCs w:val="24"/>
          <w:lang w:val="en-US" w:eastAsia="zh-CN"/>
        </w:rPr>
        <w:t>宁化县城区道路</w:t>
      </w:r>
      <w:r>
        <w:rPr>
          <w:rStyle w:val="10"/>
          <w:rFonts w:hint="eastAsia" w:ascii="宋体" w:hAnsi="宋体" w:eastAsia="宋体" w:cs="宋体"/>
          <w:sz w:val="24"/>
          <w:szCs w:val="24"/>
        </w:rPr>
        <w:t>清扫保洁</w:t>
      </w:r>
    </w:p>
    <w:p>
      <w:pPr>
        <w:pStyle w:val="6"/>
        <w:keepNext w:val="0"/>
        <w:keepLines w:val="0"/>
        <w:pageBreakBefore w:val="0"/>
        <w:widowControl/>
        <w:suppressLineNumbers w:val="0"/>
        <w:kinsoku/>
        <w:wordWrap/>
        <w:overflowPunct/>
        <w:topLinePunct w:val="0"/>
        <w:autoSpaceDE/>
        <w:autoSpaceDN/>
        <w:bidi w:val="0"/>
        <w:adjustRightInd/>
        <w:snapToGrid/>
        <w:spacing w:before="100" w:beforeAutospacing="0" w:after="100" w:afterAutospacing="0" w:line="370" w:lineRule="exact"/>
        <w:jc w:val="left"/>
        <w:textAlignment w:val="auto"/>
        <w:rPr>
          <w:rStyle w:val="10"/>
          <w:rFonts w:hint="eastAsia" w:ascii="宋体" w:hAnsi="宋体" w:eastAsia="宋体" w:cs="宋体"/>
          <w:sz w:val="24"/>
          <w:szCs w:val="24"/>
          <w:lang w:val="en-US" w:eastAsia="zh-CN"/>
        </w:rPr>
      </w:pPr>
      <w:r>
        <w:rPr>
          <w:rStyle w:val="10"/>
          <w:rFonts w:hint="eastAsia" w:ascii="宋体" w:hAnsi="宋体" w:eastAsia="宋体" w:cs="宋体"/>
          <w:sz w:val="24"/>
          <w:szCs w:val="24"/>
          <w:lang w:val="en-US" w:eastAsia="zh-CN"/>
        </w:rPr>
        <w:t>1.1、道路</w:t>
      </w:r>
      <w:r>
        <w:rPr>
          <w:rStyle w:val="10"/>
          <w:rFonts w:hint="eastAsia" w:ascii="宋体" w:hAnsi="宋体" w:eastAsia="宋体" w:cs="宋体"/>
          <w:sz w:val="24"/>
          <w:szCs w:val="24"/>
        </w:rPr>
        <w:t>清扫保洁</w:t>
      </w:r>
      <w:r>
        <w:rPr>
          <w:rStyle w:val="10"/>
          <w:rFonts w:hint="eastAsia" w:ascii="宋体" w:hAnsi="宋体" w:eastAsia="宋体" w:cs="宋体"/>
          <w:sz w:val="24"/>
          <w:szCs w:val="24"/>
          <w:lang w:val="en-US" w:eastAsia="zh-CN"/>
        </w:rPr>
        <w:t>作业范围</w:t>
      </w:r>
    </w:p>
    <w:p>
      <w:pPr>
        <w:pStyle w:val="6"/>
        <w:keepNext w:val="0"/>
        <w:keepLines w:val="0"/>
        <w:pageBreakBefore w:val="0"/>
        <w:widowControl/>
        <w:suppressLineNumbers w:val="0"/>
        <w:kinsoku/>
        <w:wordWrap/>
        <w:overflowPunct/>
        <w:topLinePunct w:val="0"/>
        <w:autoSpaceDE/>
        <w:autoSpaceDN/>
        <w:bidi w:val="0"/>
        <w:adjustRightInd/>
        <w:snapToGrid/>
        <w:spacing w:before="100" w:beforeAutospacing="0" w:after="100" w:afterAutospacing="0" w:line="370" w:lineRule="exact"/>
        <w:ind w:firstLine="360" w:firstLineChars="150"/>
        <w:jc w:val="both"/>
        <w:textAlignment w:val="auto"/>
        <w:rPr>
          <w:rFonts w:hint="eastAsia" w:ascii="宋体" w:hAnsi="宋体" w:eastAsia="宋体" w:cs="宋体"/>
          <w:sz w:val="24"/>
          <w:szCs w:val="24"/>
          <w:lang w:val="en-US" w:eastAsia="zh-CN"/>
        </w:rPr>
        <w:sectPr>
          <w:footerReference r:id="rId3" w:type="default"/>
          <w:pgSz w:w="11906" w:h="16838"/>
          <w:pgMar w:top="1440" w:right="1800" w:bottom="1440" w:left="1800" w:header="851" w:footer="992" w:gutter="0"/>
          <w:pgBorders w:offsetFrom="page">
            <w:top w:val="none" w:sz="0" w:space="0"/>
            <w:left w:val="none" w:sz="0" w:space="0"/>
            <w:bottom w:val="none" w:sz="0" w:space="0"/>
            <w:right w:val="none" w:sz="0" w:space="0"/>
          </w:pgBorders>
          <w:cols w:space="720" w:num="1"/>
          <w:docGrid w:type="lines" w:linePitch="312" w:charSpace="0"/>
        </w:sectPr>
      </w:pPr>
      <w:r>
        <w:rPr>
          <w:rFonts w:hint="eastAsia" w:ascii="宋体" w:hAnsi="宋体" w:cs="宋体"/>
          <w:sz w:val="24"/>
          <w:szCs w:val="24"/>
          <w:lang w:val="en-US" w:eastAsia="zh-CN"/>
        </w:rPr>
        <w:t>（</w:t>
      </w:r>
      <w:r>
        <w:rPr>
          <w:rFonts w:hint="eastAsia" w:ascii="宋体" w:hAnsi="宋体" w:eastAsia="宋体" w:cs="宋体"/>
          <w:sz w:val="24"/>
          <w:szCs w:val="24"/>
          <w:lang w:val="en-US" w:eastAsia="zh-CN"/>
        </w:rPr>
        <w:t xml:space="preserve">1）清扫范围：①城区规划区内经县城市管理局、住建局、财政局和翠江镇、城郊镇、城南镇确认的所有的城市主次干道、支路、背街小巷等所有市政道路及公共区域；②已列为市政道路的205线过境公路（不含华侨工业园区内其余道路）；③小区与小区间或小区已对外面向市民开放的道路。 </w:t>
      </w:r>
    </w:p>
    <w:p>
      <w:pPr>
        <w:pStyle w:val="6"/>
        <w:keepNext w:val="0"/>
        <w:keepLines w:val="0"/>
        <w:pageBreakBefore w:val="0"/>
        <w:widowControl/>
        <w:suppressLineNumbers w:val="0"/>
        <w:kinsoku/>
        <w:wordWrap/>
        <w:overflowPunct/>
        <w:topLinePunct w:val="0"/>
        <w:autoSpaceDE/>
        <w:autoSpaceDN/>
        <w:bidi w:val="0"/>
        <w:adjustRightInd/>
        <w:snapToGrid/>
        <w:spacing w:before="100" w:beforeAutospacing="0" w:after="100" w:afterAutospacing="0" w:line="360" w:lineRule="exact"/>
        <w:jc w:val="both"/>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1.2、服务范围</w:t>
      </w:r>
    </w:p>
    <w:p/>
    <w:tbl>
      <w:tblPr>
        <w:tblStyle w:val="7"/>
        <w:tblW w:w="137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061"/>
        <w:gridCol w:w="2659"/>
        <w:gridCol w:w="1972"/>
        <w:gridCol w:w="2012"/>
        <w:gridCol w:w="2180"/>
        <w:gridCol w:w="3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80" w:hRule="atLeast"/>
        </w:trPr>
        <w:tc>
          <w:tcPr>
            <w:tcW w:w="13704" w:type="dxa"/>
            <w:gridSpan w:val="6"/>
            <w:noWrap w:val="0"/>
            <w:vAlign w:val="center"/>
          </w:tcPr>
          <w:p>
            <w:pPr>
              <w:widowControl/>
              <w:jc w:val="center"/>
              <w:textAlignment w:val="center"/>
              <w:rPr>
                <w:rFonts w:hint="eastAsia" w:ascii="宋体" w:hAnsi="宋体" w:eastAsia="宋体" w:cs="宋体"/>
                <w:b/>
                <w:sz w:val="24"/>
                <w:szCs w:val="24"/>
              </w:rPr>
            </w:pPr>
            <w:r>
              <w:rPr>
                <w:rFonts w:hint="eastAsia" w:ascii="宋体" w:hAnsi="宋体" w:eastAsia="宋体" w:cs="宋体"/>
                <w:b/>
                <w:color w:val="000000"/>
                <w:kern w:val="0"/>
                <w:sz w:val="24"/>
                <w:szCs w:val="24"/>
              </w:rPr>
              <w:t>宁化县</w:t>
            </w:r>
            <w:r>
              <w:rPr>
                <w:rFonts w:hint="eastAsia" w:ascii="宋体" w:hAnsi="宋体" w:eastAsia="宋体" w:cs="宋体"/>
                <w:b/>
                <w:color w:val="000000"/>
                <w:kern w:val="0"/>
                <w:sz w:val="24"/>
                <w:szCs w:val="24"/>
                <w:lang w:val="en-US" w:eastAsia="zh-CN"/>
              </w:rPr>
              <w:t>现有</w:t>
            </w:r>
            <w:r>
              <w:rPr>
                <w:rFonts w:hint="eastAsia" w:ascii="宋体" w:hAnsi="宋体" w:eastAsia="宋体" w:cs="宋体"/>
                <w:b/>
                <w:color w:val="000000"/>
                <w:kern w:val="0"/>
                <w:sz w:val="24"/>
                <w:szCs w:val="24"/>
              </w:rPr>
              <w:t>一级环卫道路保洁面积统计表（不含绿化面积）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92" w:hRule="atLeast"/>
        </w:trPr>
        <w:tc>
          <w:tcPr>
            <w:tcW w:w="1061" w:type="dxa"/>
            <w:noWrap w:val="0"/>
            <w:vAlign w:val="center"/>
          </w:tcPr>
          <w:p>
            <w:pPr>
              <w:widowControl/>
              <w:jc w:val="center"/>
              <w:textAlignment w:val="center"/>
              <w:rPr>
                <w:rFonts w:hint="eastAsia" w:ascii="宋体" w:hAnsi="宋体" w:eastAsia="宋体" w:cs="宋体"/>
                <w:b/>
                <w:sz w:val="24"/>
                <w:szCs w:val="24"/>
              </w:rPr>
            </w:pPr>
            <w:r>
              <w:rPr>
                <w:rFonts w:hint="eastAsia" w:ascii="宋体" w:hAnsi="宋体" w:eastAsia="宋体" w:cs="宋体"/>
                <w:b/>
                <w:kern w:val="0"/>
                <w:sz w:val="24"/>
                <w:szCs w:val="24"/>
              </w:rPr>
              <w:t>序号</w:t>
            </w:r>
          </w:p>
        </w:tc>
        <w:tc>
          <w:tcPr>
            <w:tcW w:w="2659" w:type="dxa"/>
            <w:noWrap w:val="0"/>
            <w:vAlign w:val="center"/>
          </w:tcPr>
          <w:p>
            <w:pPr>
              <w:widowControl/>
              <w:jc w:val="center"/>
              <w:textAlignment w:val="center"/>
              <w:rPr>
                <w:rFonts w:hint="eastAsia" w:ascii="宋体" w:hAnsi="宋体" w:eastAsia="宋体" w:cs="宋体"/>
                <w:b/>
                <w:sz w:val="24"/>
                <w:szCs w:val="24"/>
              </w:rPr>
            </w:pPr>
            <w:r>
              <w:rPr>
                <w:rFonts w:hint="eastAsia" w:ascii="宋体" w:hAnsi="宋体" w:eastAsia="宋体" w:cs="宋体"/>
                <w:b/>
                <w:kern w:val="0"/>
                <w:sz w:val="24"/>
                <w:szCs w:val="24"/>
              </w:rPr>
              <w:t>道路名称</w:t>
            </w:r>
          </w:p>
        </w:tc>
        <w:tc>
          <w:tcPr>
            <w:tcW w:w="1972" w:type="dxa"/>
            <w:noWrap w:val="0"/>
            <w:vAlign w:val="center"/>
          </w:tcPr>
          <w:p>
            <w:pPr>
              <w:widowControl/>
              <w:jc w:val="center"/>
              <w:textAlignment w:val="center"/>
              <w:rPr>
                <w:rFonts w:hint="eastAsia" w:ascii="宋体" w:hAnsi="宋体" w:eastAsia="宋体" w:cs="宋体"/>
                <w:b/>
                <w:sz w:val="24"/>
                <w:szCs w:val="24"/>
              </w:rPr>
            </w:pPr>
            <w:r>
              <w:rPr>
                <w:rFonts w:hint="eastAsia" w:ascii="宋体" w:hAnsi="宋体" w:eastAsia="宋体" w:cs="宋体"/>
                <w:b/>
                <w:kern w:val="0"/>
                <w:sz w:val="24"/>
                <w:szCs w:val="24"/>
              </w:rPr>
              <w:t>起点</w:t>
            </w:r>
          </w:p>
        </w:tc>
        <w:tc>
          <w:tcPr>
            <w:tcW w:w="2012" w:type="dxa"/>
            <w:noWrap w:val="0"/>
            <w:vAlign w:val="center"/>
          </w:tcPr>
          <w:p>
            <w:pPr>
              <w:widowControl/>
              <w:jc w:val="center"/>
              <w:textAlignment w:val="center"/>
              <w:rPr>
                <w:rFonts w:hint="eastAsia" w:ascii="宋体" w:hAnsi="宋体" w:eastAsia="宋体" w:cs="宋体"/>
                <w:b/>
                <w:sz w:val="24"/>
                <w:szCs w:val="24"/>
              </w:rPr>
            </w:pPr>
            <w:r>
              <w:rPr>
                <w:rFonts w:hint="eastAsia" w:ascii="宋体" w:hAnsi="宋体" w:eastAsia="宋体" w:cs="宋体"/>
                <w:b/>
                <w:kern w:val="0"/>
                <w:sz w:val="24"/>
                <w:szCs w:val="24"/>
              </w:rPr>
              <w:t>终点</w:t>
            </w:r>
          </w:p>
        </w:tc>
        <w:tc>
          <w:tcPr>
            <w:tcW w:w="2180" w:type="dxa"/>
            <w:noWrap w:val="0"/>
            <w:vAlign w:val="center"/>
          </w:tcPr>
          <w:p>
            <w:pPr>
              <w:widowControl/>
              <w:jc w:val="center"/>
              <w:textAlignment w:val="center"/>
              <w:rPr>
                <w:rFonts w:hint="eastAsia" w:ascii="宋体" w:hAnsi="宋体" w:eastAsia="宋体" w:cs="宋体"/>
                <w:b/>
                <w:sz w:val="24"/>
                <w:szCs w:val="24"/>
              </w:rPr>
            </w:pPr>
            <w:r>
              <w:rPr>
                <w:rFonts w:hint="eastAsia" w:ascii="宋体" w:hAnsi="宋体" w:eastAsia="宋体" w:cs="宋体"/>
                <w:b/>
                <w:kern w:val="0"/>
                <w:sz w:val="24"/>
                <w:szCs w:val="24"/>
              </w:rPr>
              <w:t xml:space="preserve">道路面积(㎡) </w:t>
            </w:r>
          </w:p>
        </w:tc>
        <w:tc>
          <w:tcPr>
            <w:tcW w:w="3820" w:type="dxa"/>
            <w:noWrap w:val="0"/>
            <w:vAlign w:val="center"/>
          </w:tcPr>
          <w:p>
            <w:pPr>
              <w:widowControl/>
              <w:jc w:val="center"/>
              <w:textAlignment w:val="center"/>
              <w:rPr>
                <w:rFonts w:hint="eastAsia" w:ascii="宋体" w:hAnsi="宋体" w:eastAsia="宋体" w:cs="宋体"/>
                <w:b/>
                <w:sz w:val="24"/>
                <w:szCs w:val="24"/>
              </w:rPr>
            </w:pPr>
            <w:r>
              <w:rPr>
                <w:rFonts w:hint="eastAsia" w:ascii="宋体" w:hAnsi="宋体" w:eastAsia="宋体" w:cs="宋体"/>
                <w:b/>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5" w:hRule="atLeast"/>
        </w:trPr>
        <w:tc>
          <w:tcPr>
            <w:tcW w:w="1061" w:type="dxa"/>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1</w:t>
            </w:r>
          </w:p>
        </w:tc>
        <w:tc>
          <w:tcPr>
            <w:tcW w:w="2659" w:type="dxa"/>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北大街</w:t>
            </w:r>
          </w:p>
        </w:tc>
        <w:tc>
          <w:tcPr>
            <w:tcW w:w="1972" w:type="dxa"/>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北街口</w:t>
            </w:r>
          </w:p>
        </w:tc>
        <w:tc>
          <w:tcPr>
            <w:tcW w:w="2012" w:type="dxa"/>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无线电厂</w:t>
            </w:r>
          </w:p>
        </w:tc>
        <w:tc>
          <w:tcPr>
            <w:tcW w:w="2180" w:type="dxa"/>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59495.5</w:t>
            </w:r>
          </w:p>
        </w:tc>
        <w:tc>
          <w:tcPr>
            <w:tcW w:w="3820" w:type="dxa"/>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北大街包含五星路、花心街一路、花心街二路、红色巷、宁化一中等路段的面积。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37" w:hRule="atLeast"/>
        </w:trPr>
        <w:tc>
          <w:tcPr>
            <w:tcW w:w="1061" w:type="dxa"/>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2</w:t>
            </w:r>
          </w:p>
        </w:tc>
        <w:tc>
          <w:tcPr>
            <w:tcW w:w="2659" w:type="dxa"/>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北山—翠华西路连接线</w:t>
            </w:r>
          </w:p>
        </w:tc>
        <w:tc>
          <w:tcPr>
            <w:tcW w:w="1972" w:type="dxa"/>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北山社区</w:t>
            </w:r>
          </w:p>
        </w:tc>
        <w:tc>
          <w:tcPr>
            <w:tcW w:w="2012" w:type="dxa"/>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翠华西路</w:t>
            </w:r>
          </w:p>
        </w:tc>
        <w:tc>
          <w:tcPr>
            <w:tcW w:w="2180" w:type="dxa"/>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4140</w:t>
            </w:r>
          </w:p>
        </w:tc>
        <w:tc>
          <w:tcPr>
            <w:tcW w:w="3820" w:type="dxa"/>
            <w:noWrap w:val="0"/>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25" w:hRule="atLeast"/>
        </w:trPr>
        <w:tc>
          <w:tcPr>
            <w:tcW w:w="1061" w:type="dxa"/>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3</w:t>
            </w:r>
          </w:p>
        </w:tc>
        <w:tc>
          <w:tcPr>
            <w:tcW w:w="2659" w:type="dxa"/>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北山—中环北路连接线</w:t>
            </w:r>
          </w:p>
        </w:tc>
        <w:tc>
          <w:tcPr>
            <w:tcW w:w="1972" w:type="dxa"/>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五中后门</w:t>
            </w:r>
          </w:p>
        </w:tc>
        <w:tc>
          <w:tcPr>
            <w:tcW w:w="2012" w:type="dxa"/>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中环北路</w:t>
            </w:r>
          </w:p>
        </w:tc>
        <w:tc>
          <w:tcPr>
            <w:tcW w:w="2180" w:type="dxa"/>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156</w:t>
            </w:r>
          </w:p>
        </w:tc>
        <w:tc>
          <w:tcPr>
            <w:tcW w:w="3820" w:type="dxa"/>
            <w:noWrap w:val="0"/>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25" w:hRule="atLeast"/>
        </w:trPr>
        <w:tc>
          <w:tcPr>
            <w:tcW w:w="1061" w:type="dxa"/>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4</w:t>
            </w:r>
          </w:p>
        </w:tc>
        <w:tc>
          <w:tcPr>
            <w:tcW w:w="2659" w:type="dxa"/>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中山路</w:t>
            </w:r>
          </w:p>
        </w:tc>
        <w:tc>
          <w:tcPr>
            <w:tcW w:w="1972" w:type="dxa"/>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金叶大厦</w:t>
            </w:r>
          </w:p>
        </w:tc>
        <w:tc>
          <w:tcPr>
            <w:tcW w:w="2012" w:type="dxa"/>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西门桥</w:t>
            </w:r>
          </w:p>
        </w:tc>
        <w:tc>
          <w:tcPr>
            <w:tcW w:w="2180" w:type="dxa"/>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43667</w:t>
            </w:r>
          </w:p>
        </w:tc>
        <w:tc>
          <w:tcPr>
            <w:tcW w:w="3820" w:type="dxa"/>
            <w:noWrap w:val="0"/>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75" w:hRule="atLeast"/>
        </w:trPr>
        <w:tc>
          <w:tcPr>
            <w:tcW w:w="1061" w:type="dxa"/>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5</w:t>
            </w:r>
          </w:p>
        </w:tc>
        <w:tc>
          <w:tcPr>
            <w:tcW w:w="2659" w:type="dxa"/>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西门路</w:t>
            </w:r>
          </w:p>
        </w:tc>
        <w:tc>
          <w:tcPr>
            <w:tcW w:w="1972" w:type="dxa"/>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西门桥</w:t>
            </w:r>
          </w:p>
        </w:tc>
        <w:tc>
          <w:tcPr>
            <w:tcW w:w="2012" w:type="dxa"/>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翠华西桥</w:t>
            </w:r>
          </w:p>
        </w:tc>
        <w:tc>
          <w:tcPr>
            <w:tcW w:w="2180" w:type="dxa"/>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5555</w:t>
            </w:r>
          </w:p>
        </w:tc>
        <w:tc>
          <w:tcPr>
            <w:tcW w:w="3820" w:type="dxa"/>
            <w:noWrap w:val="0"/>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5" w:hRule="exact"/>
        </w:trPr>
        <w:tc>
          <w:tcPr>
            <w:tcW w:w="1061" w:type="dxa"/>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6</w:t>
            </w:r>
          </w:p>
        </w:tc>
        <w:tc>
          <w:tcPr>
            <w:tcW w:w="2659" w:type="dxa"/>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翠园、黄慎园</w:t>
            </w:r>
          </w:p>
        </w:tc>
        <w:tc>
          <w:tcPr>
            <w:tcW w:w="1972" w:type="dxa"/>
            <w:noWrap w:val="0"/>
            <w:vAlign w:val="center"/>
          </w:tcPr>
          <w:p>
            <w:pPr>
              <w:jc w:val="center"/>
              <w:rPr>
                <w:rFonts w:hint="eastAsia" w:ascii="宋体" w:hAnsi="宋体" w:eastAsia="宋体" w:cs="宋体"/>
                <w:sz w:val="24"/>
                <w:szCs w:val="24"/>
                <w:lang w:val="en-US" w:eastAsia="zh-CN"/>
              </w:rPr>
            </w:pPr>
            <w:r>
              <w:rPr>
                <w:rFonts w:hint="eastAsia" w:ascii="宋体" w:hAnsi="宋体" w:cs="宋体"/>
                <w:sz w:val="24"/>
                <w:szCs w:val="24"/>
                <w:lang w:val="en-US" w:eastAsia="zh-CN"/>
              </w:rPr>
              <w:t>/</w:t>
            </w:r>
          </w:p>
        </w:tc>
        <w:tc>
          <w:tcPr>
            <w:tcW w:w="2012" w:type="dxa"/>
            <w:noWrap w:val="0"/>
            <w:vAlign w:val="center"/>
          </w:tcPr>
          <w:p>
            <w:pPr>
              <w:jc w:val="center"/>
              <w:rPr>
                <w:rFonts w:hint="eastAsia" w:ascii="宋体" w:hAnsi="宋体" w:eastAsia="宋体" w:cs="宋体"/>
                <w:sz w:val="24"/>
                <w:szCs w:val="24"/>
              </w:rPr>
            </w:pPr>
            <w:r>
              <w:rPr>
                <w:rFonts w:hint="eastAsia" w:ascii="宋体" w:hAnsi="宋体" w:cs="宋体"/>
                <w:sz w:val="24"/>
                <w:szCs w:val="24"/>
                <w:lang w:val="en-US" w:eastAsia="zh-CN"/>
              </w:rPr>
              <w:t>/</w:t>
            </w:r>
          </w:p>
        </w:tc>
        <w:tc>
          <w:tcPr>
            <w:tcW w:w="2180" w:type="dxa"/>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11355</w:t>
            </w:r>
          </w:p>
        </w:tc>
        <w:tc>
          <w:tcPr>
            <w:tcW w:w="3820" w:type="dxa"/>
            <w:noWrap w:val="0"/>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32" w:hRule="atLeast"/>
        </w:trPr>
        <w:tc>
          <w:tcPr>
            <w:tcW w:w="1061" w:type="dxa"/>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7</w:t>
            </w:r>
          </w:p>
        </w:tc>
        <w:tc>
          <w:tcPr>
            <w:tcW w:w="2659" w:type="dxa"/>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西门桥</w:t>
            </w:r>
          </w:p>
        </w:tc>
        <w:tc>
          <w:tcPr>
            <w:tcW w:w="1972" w:type="dxa"/>
            <w:noWrap w:val="0"/>
            <w:vAlign w:val="center"/>
          </w:tcPr>
          <w:p>
            <w:pPr>
              <w:jc w:val="center"/>
              <w:rPr>
                <w:rFonts w:hint="eastAsia" w:ascii="宋体" w:hAnsi="宋体" w:eastAsia="宋体" w:cs="宋体"/>
                <w:sz w:val="24"/>
                <w:szCs w:val="24"/>
              </w:rPr>
            </w:pPr>
            <w:r>
              <w:rPr>
                <w:rFonts w:hint="eastAsia" w:ascii="宋体" w:hAnsi="宋体" w:cs="宋体"/>
                <w:sz w:val="24"/>
                <w:szCs w:val="24"/>
                <w:lang w:val="en-US" w:eastAsia="zh-CN"/>
              </w:rPr>
              <w:t>/</w:t>
            </w:r>
          </w:p>
        </w:tc>
        <w:tc>
          <w:tcPr>
            <w:tcW w:w="2012" w:type="dxa"/>
            <w:noWrap w:val="0"/>
            <w:vAlign w:val="center"/>
          </w:tcPr>
          <w:p>
            <w:pPr>
              <w:jc w:val="center"/>
              <w:rPr>
                <w:rFonts w:hint="eastAsia" w:ascii="宋体" w:hAnsi="宋体" w:eastAsia="宋体" w:cs="宋体"/>
                <w:sz w:val="24"/>
                <w:szCs w:val="24"/>
              </w:rPr>
            </w:pPr>
            <w:r>
              <w:rPr>
                <w:rFonts w:hint="eastAsia" w:ascii="宋体" w:hAnsi="宋体" w:cs="宋体"/>
                <w:sz w:val="24"/>
                <w:szCs w:val="24"/>
                <w:lang w:val="en-US" w:eastAsia="zh-CN"/>
              </w:rPr>
              <w:t>/</w:t>
            </w:r>
          </w:p>
        </w:tc>
        <w:tc>
          <w:tcPr>
            <w:tcW w:w="2180" w:type="dxa"/>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1729</w:t>
            </w:r>
          </w:p>
        </w:tc>
        <w:tc>
          <w:tcPr>
            <w:tcW w:w="3820" w:type="dxa"/>
            <w:noWrap w:val="0"/>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25" w:hRule="atLeast"/>
        </w:trPr>
        <w:tc>
          <w:tcPr>
            <w:tcW w:w="1061" w:type="dxa"/>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8</w:t>
            </w:r>
          </w:p>
        </w:tc>
        <w:tc>
          <w:tcPr>
            <w:tcW w:w="2659" w:type="dxa"/>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鸡山路</w:t>
            </w:r>
          </w:p>
        </w:tc>
        <w:tc>
          <w:tcPr>
            <w:tcW w:w="1972" w:type="dxa"/>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中环北路</w:t>
            </w:r>
          </w:p>
        </w:tc>
        <w:tc>
          <w:tcPr>
            <w:tcW w:w="2012" w:type="dxa"/>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锦秀华庭</w:t>
            </w:r>
          </w:p>
        </w:tc>
        <w:tc>
          <w:tcPr>
            <w:tcW w:w="2180" w:type="dxa"/>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14000</w:t>
            </w:r>
          </w:p>
        </w:tc>
        <w:tc>
          <w:tcPr>
            <w:tcW w:w="3820" w:type="dxa"/>
            <w:noWrap w:val="0"/>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00" w:hRule="atLeast"/>
        </w:trPr>
        <w:tc>
          <w:tcPr>
            <w:tcW w:w="1061" w:type="dxa"/>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9</w:t>
            </w:r>
          </w:p>
        </w:tc>
        <w:tc>
          <w:tcPr>
            <w:tcW w:w="2659" w:type="dxa"/>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翠华西路</w:t>
            </w:r>
          </w:p>
        </w:tc>
        <w:tc>
          <w:tcPr>
            <w:tcW w:w="1972" w:type="dxa"/>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中环北路</w:t>
            </w:r>
          </w:p>
        </w:tc>
        <w:tc>
          <w:tcPr>
            <w:tcW w:w="2012" w:type="dxa"/>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西大路</w:t>
            </w:r>
          </w:p>
        </w:tc>
        <w:tc>
          <w:tcPr>
            <w:tcW w:w="2180" w:type="dxa"/>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42781.91</w:t>
            </w:r>
          </w:p>
        </w:tc>
        <w:tc>
          <w:tcPr>
            <w:tcW w:w="3820" w:type="dxa"/>
            <w:noWrap w:val="0"/>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12" w:hRule="atLeast"/>
        </w:trPr>
        <w:tc>
          <w:tcPr>
            <w:tcW w:w="1061" w:type="dxa"/>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10</w:t>
            </w:r>
          </w:p>
        </w:tc>
        <w:tc>
          <w:tcPr>
            <w:tcW w:w="2659" w:type="dxa"/>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中环北路</w:t>
            </w:r>
          </w:p>
        </w:tc>
        <w:tc>
          <w:tcPr>
            <w:tcW w:w="1972" w:type="dxa"/>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朝阳路口</w:t>
            </w:r>
          </w:p>
        </w:tc>
        <w:tc>
          <w:tcPr>
            <w:tcW w:w="2012" w:type="dxa"/>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老205公路线接头</w:t>
            </w:r>
          </w:p>
        </w:tc>
        <w:tc>
          <w:tcPr>
            <w:tcW w:w="2180" w:type="dxa"/>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51312</w:t>
            </w:r>
          </w:p>
        </w:tc>
        <w:tc>
          <w:tcPr>
            <w:tcW w:w="3820" w:type="dxa"/>
            <w:noWrap w:val="0"/>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13" w:hRule="atLeast"/>
        </w:trPr>
        <w:tc>
          <w:tcPr>
            <w:tcW w:w="1061" w:type="dxa"/>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11</w:t>
            </w:r>
          </w:p>
        </w:tc>
        <w:tc>
          <w:tcPr>
            <w:tcW w:w="2659" w:type="dxa"/>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新桥一路</w:t>
            </w:r>
          </w:p>
        </w:tc>
        <w:tc>
          <w:tcPr>
            <w:tcW w:w="1972" w:type="dxa"/>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岗   亭</w:t>
            </w:r>
          </w:p>
        </w:tc>
        <w:tc>
          <w:tcPr>
            <w:tcW w:w="2012" w:type="dxa"/>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中环路口</w:t>
            </w:r>
          </w:p>
        </w:tc>
        <w:tc>
          <w:tcPr>
            <w:tcW w:w="2180" w:type="dxa"/>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36476</w:t>
            </w:r>
          </w:p>
        </w:tc>
        <w:tc>
          <w:tcPr>
            <w:tcW w:w="3820" w:type="dxa"/>
            <w:noWrap w:val="0"/>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25" w:hRule="atLeast"/>
        </w:trPr>
        <w:tc>
          <w:tcPr>
            <w:tcW w:w="1061" w:type="dxa"/>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12</w:t>
            </w:r>
          </w:p>
        </w:tc>
        <w:tc>
          <w:tcPr>
            <w:tcW w:w="2659" w:type="dxa"/>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新桥二路</w:t>
            </w:r>
          </w:p>
        </w:tc>
        <w:tc>
          <w:tcPr>
            <w:tcW w:w="1972" w:type="dxa"/>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岗   亭</w:t>
            </w:r>
          </w:p>
        </w:tc>
        <w:tc>
          <w:tcPr>
            <w:tcW w:w="2012" w:type="dxa"/>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307线</w:t>
            </w:r>
          </w:p>
        </w:tc>
        <w:tc>
          <w:tcPr>
            <w:tcW w:w="2180" w:type="dxa"/>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33360</w:t>
            </w:r>
          </w:p>
        </w:tc>
        <w:tc>
          <w:tcPr>
            <w:tcW w:w="3820" w:type="dxa"/>
            <w:noWrap w:val="0"/>
            <w:vAlign w:val="center"/>
          </w:tcPr>
          <w:p>
            <w:pPr>
              <w:jc w:val="center"/>
              <w:rPr>
                <w:rFonts w:hint="eastAsia" w:ascii="宋体" w:hAnsi="宋体" w:eastAsia="宋体" w:cs="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33" w:hRule="atLeast"/>
        </w:trPr>
        <w:tc>
          <w:tcPr>
            <w:tcW w:w="1061" w:type="dxa"/>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13</w:t>
            </w:r>
          </w:p>
        </w:tc>
        <w:tc>
          <w:tcPr>
            <w:tcW w:w="2659" w:type="dxa"/>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东大路</w:t>
            </w:r>
          </w:p>
        </w:tc>
        <w:tc>
          <w:tcPr>
            <w:tcW w:w="1972" w:type="dxa"/>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天鹅酒店平面交叉</w:t>
            </w:r>
          </w:p>
        </w:tc>
        <w:tc>
          <w:tcPr>
            <w:tcW w:w="2012" w:type="dxa"/>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新东山桥</w:t>
            </w:r>
          </w:p>
        </w:tc>
        <w:tc>
          <w:tcPr>
            <w:tcW w:w="2180" w:type="dxa"/>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85875</w:t>
            </w:r>
          </w:p>
        </w:tc>
        <w:tc>
          <w:tcPr>
            <w:tcW w:w="3820" w:type="dxa"/>
            <w:noWrap w:val="0"/>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80" w:hRule="atLeast"/>
        </w:trPr>
        <w:tc>
          <w:tcPr>
            <w:tcW w:w="1061" w:type="dxa"/>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14</w:t>
            </w:r>
          </w:p>
        </w:tc>
        <w:tc>
          <w:tcPr>
            <w:tcW w:w="2659" w:type="dxa"/>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迎宾大道</w:t>
            </w:r>
          </w:p>
        </w:tc>
        <w:tc>
          <w:tcPr>
            <w:tcW w:w="1972" w:type="dxa"/>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新东山桥</w:t>
            </w:r>
          </w:p>
        </w:tc>
        <w:tc>
          <w:tcPr>
            <w:tcW w:w="2012" w:type="dxa"/>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危家坑路口</w:t>
            </w:r>
          </w:p>
        </w:tc>
        <w:tc>
          <w:tcPr>
            <w:tcW w:w="2180" w:type="dxa"/>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85020</w:t>
            </w:r>
          </w:p>
        </w:tc>
        <w:tc>
          <w:tcPr>
            <w:tcW w:w="3820" w:type="dxa"/>
            <w:noWrap w:val="0"/>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80" w:hRule="atLeast"/>
        </w:trPr>
        <w:tc>
          <w:tcPr>
            <w:tcW w:w="1061" w:type="dxa"/>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15</w:t>
            </w:r>
          </w:p>
        </w:tc>
        <w:tc>
          <w:tcPr>
            <w:tcW w:w="2659" w:type="dxa"/>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205线</w:t>
            </w:r>
          </w:p>
        </w:tc>
        <w:tc>
          <w:tcPr>
            <w:tcW w:w="1972" w:type="dxa"/>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工业园转盘</w:t>
            </w:r>
          </w:p>
        </w:tc>
        <w:tc>
          <w:tcPr>
            <w:tcW w:w="2012" w:type="dxa"/>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往中沙道路变窄处</w:t>
            </w:r>
          </w:p>
        </w:tc>
        <w:tc>
          <w:tcPr>
            <w:tcW w:w="2180" w:type="dxa"/>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143250.56</w:t>
            </w:r>
          </w:p>
        </w:tc>
        <w:tc>
          <w:tcPr>
            <w:tcW w:w="3820" w:type="dxa"/>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工业路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80" w:hRule="atLeast"/>
        </w:trPr>
        <w:tc>
          <w:tcPr>
            <w:tcW w:w="1061" w:type="dxa"/>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16</w:t>
            </w:r>
          </w:p>
        </w:tc>
        <w:tc>
          <w:tcPr>
            <w:tcW w:w="2659" w:type="dxa"/>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南大街</w:t>
            </w:r>
          </w:p>
        </w:tc>
        <w:tc>
          <w:tcPr>
            <w:tcW w:w="1972" w:type="dxa"/>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寿宁桥</w:t>
            </w:r>
          </w:p>
        </w:tc>
        <w:tc>
          <w:tcPr>
            <w:tcW w:w="2012" w:type="dxa"/>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南门转盘</w:t>
            </w:r>
          </w:p>
        </w:tc>
        <w:tc>
          <w:tcPr>
            <w:tcW w:w="2180" w:type="dxa"/>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63240.4</w:t>
            </w:r>
          </w:p>
        </w:tc>
        <w:tc>
          <w:tcPr>
            <w:tcW w:w="3820" w:type="dxa"/>
            <w:noWrap w:val="0"/>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80" w:hRule="atLeast"/>
        </w:trPr>
        <w:tc>
          <w:tcPr>
            <w:tcW w:w="1061" w:type="dxa"/>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17</w:t>
            </w:r>
          </w:p>
        </w:tc>
        <w:tc>
          <w:tcPr>
            <w:tcW w:w="2659" w:type="dxa"/>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横  街</w:t>
            </w:r>
          </w:p>
        </w:tc>
        <w:tc>
          <w:tcPr>
            <w:tcW w:w="1972" w:type="dxa"/>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寿宁桥</w:t>
            </w:r>
          </w:p>
        </w:tc>
        <w:tc>
          <w:tcPr>
            <w:tcW w:w="2012" w:type="dxa"/>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西门桥</w:t>
            </w:r>
          </w:p>
        </w:tc>
        <w:tc>
          <w:tcPr>
            <w:tcW w:w="2180" w:type="dxa"/>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6126.5</w:t>
            </w:r>
          </w:p>
        </w:tc>
        <w:tc>
          <w:tcPr>
            <w:tcW w:w="3820" w:type="dxa"/>
            <w:noWrap w:val="0"/>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80" w:hRule="atLeast"/>
        </w:trPr>
        <w:tc>
          <w:tcPr>
            <w:tcW w:w="1061" w:type="dxa"/>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18</w:t>
            </w:r>
          </w:p>
        </w:tc>
        <w:tc>
          <w:tcPr>
            <w:tcW w:w="2659" w:type="dxa"/>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南横街</w:t>
            </w:r>
          </w:p>
        </w:tc>
        <w:tc>
          <w:tcPr>
            <w:tcW w:w="1972" w:type="dxa"/>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寿宁桥</w:t>
            </w:r>
          </w:p>
        </w:tc>
        <w:tc>
          <w:tcPr>
            <w:tcW w:w="2012" w:type="dxa"/>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新桥</w:t>
            </w:r>
          </w:p>
        </w:tc>
        <w:tc>
          <w:tcPr>
            <w:tcW w:w="2180" w:type="dxa"/>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6667</w:t>
            </w:r>
          </w:p>
        </w:tc>
        <w:tc>
          <w:tcPr>
            <w:tcW w:w="3820" w:type="dxa"/>
            <w:noWrap w:val="0"/>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80" w:hRule="atLeast"/>
        </w:trPr>
        <w:tc>
          <w:tcPr>
            <w:tcW w:w="1061" w:type="dxa"/>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19</w:t>
            </w:r>
          </w:p>
        </w:tc>
        <w:tc>
          <w:tcPr>
            <w:tcW w:w="2659" w:type="dxa"/>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小溪边</w:t>
            </w:r>
          </w:p>
        </w:tc>
        <w:tc>
          <w:tcPr>
            <w:tcW w:w="1972" w:type="dxa"/>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六中坡底</w:t>
            </w:r>
          </w:p>
        </w:tc>
        <w:tc>
          <w:tcPr>
            <w:tcW w:w="2012" w:type="dxa"/>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新桥</w:t>
            </w:r>
          </w:p>
        </w:tc>
        <w:tc>
          <w:tcPr>
            <w:tcW w:w="2180" w:type="dxa"/>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14433.1</w:t>
            </w:r>
          </w:p>
        </w:tc>
        <w:tc>
          <w:tcPr>
            <w:tcW w:w="3820" w:type="dxa"/>
            <w:noWrap w:val="0"/>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80" w:hRule="atLeast"/>
        </w:trPr>
        <w:tc>
          <w:tcPr>
            <w:tcW w:w="1061" w:type="dxa"/>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20</w:t>
            </w:r>
          </w:p>
        </w:tc>
        <w:tc>
          <w:tcPr>
            <w:tcW w:w="2659" w:type="dxa"/>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西大路</w:t>
            </w:r>
          </w:p>
        </w:tc>
        <w:tc>
          <w:tcPr>
            <w:tcW w:w="1972" w:type="dxa"/>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新桥二路</w:t>
            </w:r>
          </w:p>
        </w:tc>
        <w:tc>
          <w:tcPr>
            <w:tcW w:w="2012" w:type="dxa"/>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翠华西路</w:t>
            </w:r>
          </w:p>
        </w:tc>
        <w:tc>
          <w:tcPr>
            <w:tcW w:w="2180" w:type="dxa"/>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39330</w:t>
            </w:r>
          </w:p>
        </w:tc>
        <w:tc>
          <w:tcPr>
            <w:tcW w:w="3820" w:type="dxa"/>
            <w:noWrap w:val="0"/>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80" w:hRule="atLeast"/>
        </w:trPr>
        <w:tc>
          <w:tcPr>
            <w:tcW w:w="1061" w:type="dxa"/>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21</w:t>
            </w:r>
          </w:p>
        </w:tc>
        <w:tc>
          <w:tcPr>
            <w:tcW w:w="2659" w:type="dxa"/>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东街路</w:t>
            </w:r>
          </w:p>
        </w:tc>
        <w:tc>
          <w:tcPr>
            <w:tcW w:w="1972" w:type="dxa"/>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新   桥</w:t>
            </w:r>
          </w:p>
        </w:tc>
        <w:tc>
          <w:tcPr>
            <w:tcW w:w="2012" w:type="dxa"/>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龙门桥</w:t>
            </w:r>
          </w:p>
        </w:tc>
        <w:tc>
          <w:tcPr>
            <w:tcW w:w="2180" w:type="dxa"/>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2975</w:t>
            </w:r>
          </w:p>
        </w:tc>
        <w:tc>
          <w:tcPr>
            <w:tcW w:w="3820" w:type="dxa"/>
            <w:noWrap w:val="0"/>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80" w:hRule="atLeast"/>
        </w:trPr>
        <w:tc>
          <w:tcPr>
            <w:tcW w:w="1061" w:type="dxa"/>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22</w:t>
            </w:r>
          </w:p>
        </w:tc>
        <w:tc>
          <w:tcPr>
            <w:tcW w:w="2659" w:type="dxa"/>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龙门路</w:t>
            </w:r>
          </w:p>
        </w:tc>
        <w:tc>
          <w:tcPr>
            <w:tcW w:w="1972" w:type="dxa"/>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电力公司</w:t>
            </w:r>
          </w:p>
        </w:tc>
        <w:tc>
          <w:tcPr>
            <w:tcW w:w="2012" w:type="dxa"/>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江下路口</w:t>
            </w:r>
          </w:p>
        </w:tc>
        <w:tc>
          <w:tcPr>
            <w:tcW w:w="2180" w:type="dxa"/>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40025</w:t>
            </w:r>
          </w:p>
        </w:tc>
        <w:tc>
          <w:tcPr>
            <w:tcW w:w="3820" w:type="dxa"/>
            <w:noWrap w:val="0"/>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80" w:hRule="atLeast"/>
        </w:trPr>
        <w:tc>
          <w:tcPr>
            <w:tcW w:w="1061" w:type="dxa"/>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23</w:t>
            </w:r>
          </w:p>
        </w:tc>
        <w:tc>
          <w:tcPr>
            <w:tcW w:w="2659" w:type="dxa"/>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翠江明珠辅道</w:t>
            </w:r>
          </w:p>
        </w:tc>
        <w:tc>
          <w:tcPr>
            <w:tcW w:w="1972" w:type="dxa"/>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中环桥头</w:t>
            </w:r>
          </w:p>
        </w:tc>
        <w:tc>
          <w:tcPr>
            <w:tcW w:w="2012" w:type="dxa"/>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龙门桥头</w:t>
            </w:r>
          </w:p>
        </w:tc>
        <w:tc>
          <w:tcPr>
            <w:tcW w:w="2180" w:type="dxa"/>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9500</w:t>
            </w:r>
          </w:p>
        </w:tc>
        <w:tc>
          <w:tcPr>
            <w:tcW w:w="3820" w:type="dxa"/>
            <w:noWrap w:val="0"/>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80" w:hRule="atLeast"/>
        </w:trPr>
        <w:tc>
          <w:tcPr>
            <w:tcW w:w="1061" w:type="dxa"/>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24</w:t>
            </w:r>
          </w:p>
        </w:tc>
        <w:tc>
          <w:tcPr>
            <w:tcW w:w="2659" w:type="dxa"/>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江滨北路</w:t>
            </w:r>
          </w:p>
        </w:tc>
        <w:tc>
          <w:tcPr>
            <w:tcW w:w="1972" w:type="dxa"/>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翠江明珠南门前沿河景观</w:t>
            </w:r>
          </w:p>
        </w:tc>
        <w:tc>
          <w:tcPr>
            <w:tcW w:w="2012" w:type="dxa"/>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新东山桥北匝道</w:t>
            </w:r>
          </w:p>
        </w:tc>
        <w:tc>
          <w:tcPr>
            <w:tcW w:w="2180" w:type="dxa"/>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110010</w:t>
            </w:r>
          </w:p>
        </w:tc>
        <w:tc>
          <w:tcPr>
            <w:tcW w:w="3820" w:type="dxa"/>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含翠江明珠前景观及新东山桥匝道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80" w:hRule="atLeast"/>
        </w:trPr>
        <w:tc>
          <w:tcPr>
            <w:tcW w:w="1061" w:type="dxa"/>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25</w:t>
            </w:r>
          </w:p>
        </w:tc>
        <w:tc>
          <w:tcPr>
            <w:tcW w:w="2659" w:type="dxa"/>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江滨南路</w:t>
            </w:r>
          </w:p>
        </w:tc>
        <w:tc>
          <w:tcPr>
            <w:tcW w:w="1972" w:type="dxa"/>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新   桥</w:t>
            </w:r>
          </w:p>
        </w:tc>
        <w:tc>
          <w:tcPr>
            <w:tcW w:w="2012" w:type="dxa"/>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锦州酒家</w:t>
            </w:r>
          </w:p>
        </w:tc>
        <w:tc>
          <w:tcPr>
            <w:tcW w:w="2180" w:type="dxa"/>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48349</w:t>
            </w:r>
          </w:p>
        </w:tc>
        <w:tc>
          <w:tcPr>
            <w:tcW w:w="3820" w:type="dxa"/>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含边贸城、移动旁道路及沿河景观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80" w:hRule="atLeast"/>
        </w:trPr>
        <w:tc>
          <w:tcPr>
            <w:tcW w:w="1061" w:type="dxa"/>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26</w:t>
            </w:r>
          </w:p>
        </w:tc>
        <w:tc>
          <w:tcPr>
            <w:tcW w:w="2659" w:type="dxa"/>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城东路</w:t>
            </w:r>
          </w:p>
        </w:tc>
        <w:tc>
          <w:tcPr>
            <w:tcW w:w="1972" w:type="dxa"/>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东大路</w:t>
            </w:r>
          </w:p>
        </w:tc>
        <w:tc>
          <w:tcPr>
            <w:tcW w:w="2012" w:type="dxa"/>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江滨北路</w:t>
            </w:r>
          </w:p>
        </w:tc>
        <w:tc>
          <w:tcPr>
            <w:tcW w:w="2180" w:type="dxa"/>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11880</w:t>
            </w:r>
          </w:p>
        </w:tc>
        <w:tc>
          <w:tcPr>
            <w:tcW w:w="3820" w:type="dxa"/>
            <w:noWrap w:val="0"/>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80" w:hRule="atLeast"/>
        </w:trPr>
        <w:tc>
          <w:tcPr>
            <w:tcW w:w="1061" w:type="dxa"/>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27</w:t>
            </w:r>
          </w:p>
        </w:tc>
        <w:tc>
          <w:tcPr>
            <w:tcW w:w="2659" w:type="dxa"/>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江下路</w:t>
            </w:r>
          </w:p>
        </w:tc>
        <w:tc>
          <w:tcPr>
            <w:tcW w:w="1972" w:type="dxa"/>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城东小学后门</w:t>
            </w:r>
          </w:p>
        </w:tc>
        <w:tc>
          <w:tcPr>
            <w:tcW w:w="2012" w:type="dxa"/>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江滨北路</w:t>
            </w:r>
          </w:p>
        </w:tc>
        <w:tc>
          <w:tcPr>
            <w:tcW w:w="2180" w:type="dxa"/>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13800</w:t>
            </w:r>
          </w:p>
        </w:tc>
        <w:tc>
          <w:tcPr>
            <w:tcW w:w="3820" w:type="dxa"/>
            <w:noWrap w:val="0"/>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80" w:hRule="atLeast"/>
        </w:trPr>
        <w:tc>
          <w:tcPr>
            <w:tcW w:w="1061" w:type="dxa"/>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28</w:t>
            </w:r>
          </w:p>
        </w:tc>
        <w:tc>
          <w:tcPr>
            <w:tcW w:w="2659" w:type="dxa"/>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客源路</w:t>
            </w:r>
          </w:p>
        </w:tc>
        <w:tc>
          <w:tcPr>
            <w:tcW w:w="1972" w:type="dxa"/>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城东小学正门</w:t>
            </w:r>
          </w:p>
        </w:tc>
        <w:tc>
          <w:tcPr>
            <w:tcW w:w="2012" w:type="dxa"/>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松树园新村</w:t>
            </w:r>
          </w:p>
        </w:tc>
        <w:tc>
          <w:tcPr>
            <w:tcW w:w="2180" w:type="dxa"/>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11000</w:t>
            </w:r>
          </w:p>
        </w:tc>
        <w:tc>
          <w:tcPr>
            <w:tcW w:w="3820" w:type="dxa"/>
            <w:noWrap w:val="0"/>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80" w:hRule="atLeast"/>
        </w:trPr>
        <w:tc>
          <w:tcPr>
            <w:tcW w:w="1061" w:type="dxa"/>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29</w:t>
            </w:r>
          </w:p>
        </w:tc>
        <w:tc>
          <w:tcPr>
            <w:tcW w:w="2659" w:type="dxa"/>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东山路</w:t>
            </w:r>
          </w:p>
        </w:tc>
        <w:tc>
          <w:tcPr>
            <w:tcW w:w="1972" w:type="dxa"/>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东大路</w:t>
            </w:r>
          </w:p>
        </w:tc>
        <w:tc>
          <w:tcPr>
            <w:tcW w:w="2012" w:type="dxa"/>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江滨北路</w:t>
            </w:r>
          </w:p>
        </w:tc>
        <w:tc>
          <w:tcPr>
            <w:tcW w:w="2180" w:type="dxa"/>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2387</w:t>
            </w:r>
          </w:p>
        </w:tc>
        <w:tc>
          <w:tcPr>
            <w:tcW w:w="3820" w:type="dxa"/>
            <w:noWrap w:val="0"/>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80" w:hRule="atLeast"/>
        </w:trPr>
        <w:tc>
          <w:tcPr>
            <w:tcW w:w="1061" w:type="dxa"/>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30</w:t>
            </w:r>
          </w:p>
        </w:tc>
        <w:tc>
          <w:tcPr>
            <w:tcW w:w="2659" w:type="dxa"/>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中环中路</w:t>
            </w:r>
          </w:p>
        </w:tc>
        <w:tc>
          <w:tcPr>
            <w:tcW w:w="1972" w:type="dxa"/>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天鹅路口</w:t>
            </w:r>
          </w:p>
        </w:tc>
        <w:tc>
          <w:tcPr>
            <w:tcW w:w="2012" w:type="dxa"/>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中环桥头</w:t>
            </w:r>
          </w:p>
        </w:tc>
        <w:tc>
          <w:tcPr>
            <w:tcW w:w="2180" w:type="dxa"/>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33860</w:t>
            </w:r>
          </w:p>
        </w:tc>
        <w:tc>
          <w:tcPr>
            <w:tcW w:w="3820" w:type="dxa"/>
            <w:noWrap w:val="0"/>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80" w:hRule="atLeast"/>
        </w:trPr>
        <w:tc>
          <w:tcPr>
            <w:tcW w:w="1061" w:type="dxa"/>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31</w:t>
            </w:r>
          </w:p>
        </w:tc>
        <w:tc>
          <w:tcPr>
            <w:tcW w:w="2659" w:type="dxa"/>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中环南路</w:t>
            </w:r>
          </w:p>
        </w:tc>
        <w:tc>
          <w:tcPr>
            <w:tcW w:w="1972" w:type="dxa"/>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中环桥</w:t>
            </w:r>
          </w:p>
        </w:tc>
        <w:tc>
          <w:tcPr>
            <w:tcW w:w="2012" w:type="dxa"/>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南门转盘</w:t>
            </w:r>
          </w:p>
        </w:tc>
        <w:tc>
          <w:tcPr>
            <w:tcW w:w="2180" w:type="dxa"/>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43188</w:t>
            </w:r>
          </w:p>
        </w:tc>
        <w:tc>
          <w:tcPr>
            <w:tcW w:w="3820" w:type="dxa"/>
            <w:noWrap w:val="0"/>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80" w:hRule="atLeast"/>
        </w:trPr>
        <w:tc>
          <w:tcPr>
            <w:tcW w:w="1061" w:type="dxa"/>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32</w:t>
            </w:r>
          </w:p>
        </w:tc>
        <w:tc>
          <w:tcPr>
            <w:tcW w:w="2659" w:type="dxa"/>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慈恩路</w:t>
            </w:r>
          </w:p>
        </w:tc>
        <w:tc>
          <w:tcPr>
            <w:tcW w:w="1972" w:type="dxa"/>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边贸桥</w:t>
            </w:r>
          </w:p>
        </w:tc>
        <w:tc>
          <w:tcPr>
            <w:tcW w:w="2012" w:type="dxa"/>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福宁桥</w:t>
            </w:r>
          </w:p>
        </w:tc>
        <w:tc>
          <w:tcPr>
            <w:tcW w:w="2180" w:type="dxa"/>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26400</w:t>
            </w:r>
          </w:p>
        </w:tc>
        <w:tc>
          <w:tcPr>
            <w:tcW w:w="3820" w:type="dxa"/>
            <w:noWrap w:val="0"/>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80" w:hRule="atLeast"/>
        </w:trPr>
        <w:tc>
          <w:tcPr>
            <w:tcW w:w="1061" w:type="dxa"/>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33</w:t>
            </w:r>
          </w:p>
        </w:tc>
        <w:tc>
          <w:tcPr>
            <w:tcW w:w="2659" w:type="dxa"/>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边贸西路</w:t>
            </w:r>
          </w:p>
        </w:tc>
        <w:tc>
          <w:tcPr>
            <w:tcW w:w="1972" w:type="dxa"/>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307线</w:t>
            </w:r>
          </w:p>
        </w:tc>
        <w:tc>
          <w:tcPr>
            <w:tcW w:w="2012" w:type="dxa"/>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中环南路</w:t>
            </w:r>
          </w:p>
        </w:tc>
        <w:tc>
          <w:tcPr>
            <w:tcW w:w="2180" w:type="dxa"/>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34450</w:t>
            </w:r>
          </w:p>
        </w:tc>
        <w:tc>
          <w:tcPr>
            <w:tcW w:w="3820" w:type="dxa"/>
            <w:noWrap w:val="0"/>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80" w:hRule="atLeast"/>
        </w:trPr>
        <w:tc>
          <w:tcPr>
            <w:tcW w:w="1061" w:type="dxa"/>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34</w:t>
            </w:r>
          </w:p>
        </w:tc>
        <w:tc>
          <w:tcPr>
            <w:tcW w:w="2659" w:type="dxa"/>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边贸东路部份</w:t>
            </w:r>
          </w:p>
        </w:tc>
        <w:tc>
          <w:tcPr>
            <w:tcW w:w="1972" w:type="dxa"/>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中环南路</w:t>
            </w:r>
          </w:p>
        </w:tc>
        <w:tc>
          <w:tcPr>
            <w:tcW w:w="2012" w:type="dxa"/>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边贸桥</w:t>
            </w:r>
          </w:p>
        </w:tc>
        <w:tc>
          <w:tcPr>
            <w:tcW w:w="2180" w:type="dxa"/>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4962</w:t>
            </w:r>
          </w:p>
        </w:tc>
        <w:tc>
          <w:tcPr>
            <w:tcW w:w="3820" w:type="dxa"/>
            <w:noWrap w:val="0"/>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80" w:hRule="atLeast"/>
        </w:trPr>
        <w:tc>
          <w:tcPr>
            <w:tcW w:w="1061" w:type="dxa"/>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35</w:t>
            </w:r>
          </w:p>
        </w:tc>
        <w:tc>
          <w:tcPr>
            <w:tcW w:w="2659" w:type="dxa"/>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福宁桥</w:t>
            </w:r>
          </w:p>
        </w:tc>
        <w:tc>
          <w:tcPr>
            <w:tcW w:w="1972" w:type="dxa"/>
            <w:noWrap w:val="0"/>
            <w:vAlign w:val="center"/>
          </w:tcPr>
          <w:p>
            <w:pPr>
              <w:jc w:val="center"/>
              <w:rPr>
                <w:rFonts w:hint="eastAsia" w:ascii="宋体" w:hAnsi="宋体" w:eastAsia="宋体" w:cs="宋体"/>
                <w:sz w:val="24"/>
                <w:szCs w:val="24"/>
              </w:rPr>
            </w:pPr>
            <w:r>
              <w:rPr>
                <w:rFonts w:hint="eastAsia" w:ascii="宋体" w:hAnsi="宋体" w:cs="宋体"/>
                <w:sz w:val="24"/>
                <w:szCs w:val="24"/>
                <w:lang w:val="en-US" w:eastAsia="zh-CN"/>
              </w:rPr>
              <w:t>/</w:t>
            </w:r>
          </w:p>
        </w:tc>
        <w:tc>
          <w:tcPr>
            <w:tcW w:w="2012" w:type="dxa"/>
            <w:noWrap w:val="0"/>
            <w:vAlign w:val="center"/>
          </w:tcPr>
          <w:p>
            <w:pPr>
              <w:jc w:val="center"/>
              <w:rPr>
                <w:rFonts w:hint="eastAsia" w:ascii="宋体" w:hAnsi="宋体" w:eastAsia="宋体" w:cs="宋体"/>
                <w:sz w:val="24"/>
                <w:szCs w:val="24"/>
              </w:rPr>
            </w:pPr>
            <w:r>
              <w:rPr>
                <w:rFonts w:hint="eastAsia" w:ascii="宋体" w:hAnsi="宋体" w:cs="宋体"/>
                <w:sz w:val="24"/>
                <w:szCs w:val="24"/>
                <w:lang w:val="en-US" w:eastAsia="zh-CN"/>
              </w:rPr>
              <w:t>/</w:t>
            </w:r>
          </w:p>
        </w:tc>
        <w:tc>
          <w:tcPr>
            <w:tcW w:w="2180" w:type="dxa"/>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3700</w:t>
            </w:r>
          </w:p>
        </w:tc>
        <w:tc>
          <w:tcPr>
            <w:tcW w:w="3820" w:type="dxa"/>
            <w:noWrap w:val="0"/>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80" w:hRule="atLeast"/>
        </w:trPr>
        <w:tc>
          <w:tcPr>
            <w:tcW w:w="1061" w:type="dxa"/>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36</w:t>
            </w:r>
          </w:p>
        </w:tc>
        <w:tc>
          <w:tcPr>
            <w:tcW w:w="2659" w:type="dxa"/>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江下桥</w:t>
            </w:r>
          </w:p>
        </w:tc>
        <w:tc>
          <w:tcPr>
            <w:tcW w:w="1972" w:type="dxa"/>
            <w:noWrap w:val="0"/>
            <w:vAlign w:val="center"/>
          </w:tcPr>
          <w:p>
            <w:pPr>
              <w:jc w:val="center"/>
              <w:rPr>
                <w:rFonts w:hint="eastAsia" w:ascii="宋体" w:hAnsi="宋体" w:eastAsia="宋体" w:cs="宋体"/>
                <w:sz w:val="24"/>
                <w:szCs w:val="24"/>
              </w:rPr>
            </w:pPr>
            <w:r>
              <w:rPr>
                <w:rFonts w:hint="eastAsia" w:ascii="宋体" w:hAnsi="宋体" w:cs="宋体"/>
                <w:sz w:val="24"/>
                <w:szCs w:val="24"/>
                <w:lang w:val="en-US" w:eastAsia="zh-CN"/>
              </w:rPr>
              <w:t>/</w:t>
            </w:r>
          </w:p>
        </w:tc>
        <w:tc>
          <w:tcPr>
            <w:tcW w:w="2012" w:type="dxa"/>
            <w:noWrap w:val="0"/>
            <w:vAlign w:val="center"/>
          </w:tcPr>
          <w:p>
            <w:pPr>
              <w:jc w:val="center"/>
              <w:rPr>
                <w:rFonts w:hint="eastAsia" w:ascii="宋体" w:hAnsi="宋体" w:eastAsia="宋体" w:cs="宋体"/>
                <w:sz w:val="24"/>
                <w:szCs w:val="24"/>
              </w:rPr>
            </w:pPr>
            <w:r>
              <w:rPr>
                <w:rFonts w:hint="eastAsia" w:ascii="宋体" w:hAnsi="宋体" w:cs="宋体"/>
                <w:sz w:val="24"/>
                <w:szCs w:val="24"/>
                <w:lang w:val="en-US" w:eastAsia="zh-CN"/>
              </w:rPr>
              <w:t>/</w:t>
            </w:r>
          </w:p>
        </w:tc>
        <w:tc>
          <w:tcPr>
            <w:tcW w:w="2180" w:type="dxa"/>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4308</w:t>
            </w:r>
          </w:p>
        </w:tc>
        <w:tc>
          <w:tcPr>
            <w:tcW w:w="3820" w:type="dxa"/>
            <w:noWrap w:val="0"/>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80" w:hRule="atLeast"/>
        </w:trPr>
        <w:tc>
          <w:tcPr>
            <w:tcW w:w="1061" w:type="dxa"/>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37</w:t>
            </w:r>
          </w:p>
        </w:tc>
        <w:tc>
          <w:tcPr>
            <w:tcW w:w="2659" w:type="dxa"/>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红土地广场</w:t>
            </w:r>
          </w:p>
        </w:tc>
        <w:tc>
          <w:tcPr>
            <w:tcW w:w="1972" w:type="dxa"/>
            <w:noWrap w:val="0"/>
            <w:vAlign w:val="center"/>
          </w:tcPr>
          <w:p>
            <w:pPr>
              <w:jc w:val="center"/>
              <w:rPr>
                <w:rFonts w:hint="eastAsia" w:ascii="宋体" w:hAnsi="宋体" w:eastAsia="宋体" w:cs="宋体"/>
                <w:sz w:val="24"/>
                <w:szCs w:val="24"/>
              </w:rPr>
            </w:pPr>
            <w:r>
              <w:rPr>
                <w:rFonts w:hint="eastAsia" w:ascii="宋体" w:hAnsi="宋体" w:cs="宋体"/>
                <w:sz w:val="24"/>
                <w:szCs w:val="24"/>
                <w:lang w:val="en-US" w:eastAsia="zh-CN"/>
              </w:rPr>
              <w:t>/</w:t>
            </w:r>
          </w:p>
        </w:tc>
        <w:tc>
          <w:tcPr>
            <w:tcW w:w="2012" w:type="dxa"/>
            <w:noWrap w:val="0"/>
            <w:vAlign w:val="center"/>
          </w:tcPr>
          <w:p>
            <w:pPr>
              <w:jc w:val="center"/>
              <w:rPr>
                <w:rFonts w:hint="eastAsia" w:ascii="宋体" w:hAnsi="宋体" w:eastAsia="宋体" w:cs="宋体"/>
                <w:sz w:val="24"/>
                <w:szCs w:val="24"/>
              </w:rPr>
            </w:pPr>
            <w:r>
              <w:rPr>
                <w:rFonts w:hint="eastAsia" w:ascii="宋体" w:hAnsi="宋体" w:cs="宋体"/>
                <w:sz w:val="24"/>
                <w:szCs w:val="24"/>
                <w:lang w:val="en-US" w:eastAsia="zh-CN"/>
              </w:rPr>
              <w:t>/</w:t>
            </w:r>
          </w:p>
        </w:tc>
        <w:tc>
          <w:tcPr>
            <w:tcW w:w="2180" w:type="dxa"/>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11285.56</w:t>
            </w:r>
          </w:p>
        </w:tc>
        <w:tc>
          <w:tcPr>
            <w:tcW w:w="3820" w:type="dxa"/>
            <w:noWrap w:val="0"/>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80" w:hRule="atLeast"/>
        </w:trPr>
        <w:tc>
          <w:tcPr>
            <w:tcW w:w="1061" w:type="dxa"/>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38</w:t>
            </w:r>
          </w:p>
        </w:tc>
        <w:tc>
          <w:tcPr>
            <w:tcW w:w="2659" w:type="dxa"/>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翠江大道</w:t>
            </w:r>
          </w:p>
        </w:tc>
        <w:tc>
          <w:tcPr>
            <w:tcW w:w="1972" w:type="dxa"/>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南门转盘</w:t>
            </w:r>
          </w:p>
        </w:tc>
        <w:tc>
          <w:tcPr>
            <w:tcW w:w="2012" w:type="dxa"/>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红色大桥</w:t>
            </w:r>
          </w:p>
        </w:tc>
        <w:tc>
          <w:tcPr>
            <w:tcW w:w="2180" w:type="dxa"/>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21000</w:t>
            </w:r>
          </w:p>
        </w:tc>
        <w:tc>
          <w:tcPr>
            <w:tcW w:w="3820" w:type="dxa"/>
            <w:noWrap w:val="0"/>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80" w:hRule="atLeast"/>
        </w:trPr>
        <w:tc>
          <w:tcPr>
            <w:tcW w:w="1061" w:type="dxa"/>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39</w:t>
            </w:r>
          </w:p>
        </w:tc>
        <w:tc>
          <w:tcPr>
            <w:tcW w:w="2659" w:type="dxa"/>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金刚亭路</w:t>
            </w:r>
          </w:p>
        </w:tc>
        <w:tc>
          <w:tcPr>
            <w:tcW w:w="1972" w:type="dxa"/>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307线</w:t>
            </w:r>
          </w:p>
        </w:tc>
        <w:tc>
          <w:tcPr>
            <w:tcW w:w="2012" w:type="dxa"/>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江滨南路</w:t>
            </w:r>
          </w:p>
        </w:tc>
        <w:tc>
          <w:tcPr>
            <w:tcW w:w="2180" w:type="dxa"/>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16687.8</w:t>
            </w:r>
          </w:p>
        </w:tc>
        <w:tc>
          <w:tcPr>
            <w:tcW w:w="3820" w:type="dxa"/>
            <w:noWrap w:val="0"/>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80" w:hRule="atLeast"/>
        </w:trPr>
        <w:tc>
          <w:tcPr>
            <w:tcW w:w="1061" w:type="dxa"/>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40</w:t>
            </w:r>
          </w:p>
        </w:tc>
        <w:tc>
          <w:tcPr>
            <w:tcW w:w="2659" w:type="dxa"/>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东方花园路</w:t>
            </w:r>
          </w:p>
        </w:tc>
        <w:tc>
          <w:tcPr>
            <w:tcW w:w="1972" w:type="dxa"/>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金钢亭路</w:t>
            </w:r>
          </w:p>
        </w:tc>
        <w:tc>
          <w:tcPr>
            <w:tcW w:w="2012" w:type="dxa"/>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边贸西路</w:t>
            </w:r>
          </w:p>
        </w:tc>
        <w:tc>
          <w:tcPr>
            <w:tcW w:w="2180" w:type="dxa"/>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14853.2</w:t>
            </w:r>
          </w:p>
        </w:tc>
        <w:tc>
          <w:tcPr>
            <w:tcW w:w="3820" w:type="dxa"/>
            <w:noWrap w:val="0"/>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80" w:hRule="atLeast"/>
        </w:trPr>
        <w:tc>
          <w:tcPr>
            <w:tcW w:w="1061" w:type="dxa"/>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41</w:t>
            </w:r>
          </w:p>
        </w:tc>
        <w:tc>
          <w:tcPr>
            <w:tcW w:w="2659" w:type="dxa"/>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瑶上路</w:t>
            </w:r>
          </w:p>
        </w:tc>
        <w:tc>
          <w:tcPr>
            <w:tcW w:w="1972" w:type="dxa"/>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瑶上路口</w:t>
            </w:r>
          </w:p>
        </w:tc>
        <w:tc>
          <w:tcPr>
            <w:tcW w:w="2012" w:type="dxa"/>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中环南路</w:t>
            </w:r>
          </w:p>
        </w:tc>
        <w:tc>
          <w:tcPr>
            <w:tcW w:w="2180" w:type="dxa"/>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12708.8</w:t>
            </w:r>
          </w:p>
        </w:tc>
        <w:tc>
          <w:tcPr>
            <w:tcW w:w="3820" w:type="dxa"/>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含客属与金城花园辅道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80" w:hRule="atLeast"/>
        </w:trPr>
        <w:tc>
          <w:tcPr>
            <w:tcW w:w="13704" w:type="dxa"/>
            <w:gridSpan w:val="6"/>
            <w:noWrap w:val="0"/>
            <w:vAlign w:val="center"/>
          </w:tcPr>
          <w:p>
            <w:r>
              <w:rPr>
                <w:rFonts w:hint="eastAsia" w:ascii="宋体" w:hAnsi="宋体" w:eastAsia="宋体" w:cs="宋体"/>
                <w:kern w:val="0"/>
                <w:sz w:val="24"/>
                <w:szCs w:val="24"/>
              </w:rPr>
              <w:t>合计：</w:t>
            </w:r>
          </w:p>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1225299.33</w:t>
            </w:r>
          </w:p>
        </w:tc>
      </w:tr>
    </w:tbl>
    <w:p>
      <w:pPr>
        <w:pStyle w:val="2"/>
        <w:ind w:firstLine="0"/>
        <w:rPr>
          <w:rStyle w:val="13"/>
          <w:rFonts w:hint="eastAsia" w:ascii="宋体" w:hAnsi="宋体" w:eastAsia="宋体" w:cs="宋体"/>
          <w:b/>
          <w:bCs/>
          <w:sz w:val="24"/>
          <w:szCs w:val="24"/>
        </w:rPr>
      </w:pPr>
    </w:p>
    <w:tbl>
      <w:tblPr>
        <w:tblStyle w:val="7"/>
        <w:tblW w:w="263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019"/>
        <w:gridCol w:w="61"/>
        <w:gridCol w:w="1750"/>
        <w:gridCol w:w="410"/>
        <w:gridCol w:w="2060"/>
        <w:gridCol w:w="431"/>
        <w:gridCol w:w="2269"/>
        <w:gridCol w:w="323"/>
        <w:gridCol w:w="1625"/>
        <w:gridCol w:w="282"/>
        <w:gridCol w:w="1351"/>
        <w:gridCol w:w="879"/>
        <w:gridCol w:w="1244"/>
        <w:gridCol w:w="126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12635" w:type="dxa"/>
          <w:trHeight w:val="580" w:hRule="atLeast"/>
        </w:trPr>
        <w:tc>
          <w:tcPr>
            <w:tcW w:w="13704" w:type="dxa"/>
            <w:gridSpan w:val="13"/>
            <w:noWrap w:val="0"/>
            <w:vAlign w:val="center"/>
          </w:tcPr>
          <w:p>
            <w:pPr>
              <w:widowControl/>
              <w:jc w:val="center"/>
              <w:textAlignment w:val="center"/>
              <w:rPr>
                <w:rFonts w:hint="eastAsia" w:ascii="宋体" w:hAnsi="宋体" w:eastAsia="宋体" w:cs="宋体"/>
                <w:b/>
                <w:sz w:val="24"/>
                <w:szCs w:val="24"/>
              </w:rPr>
            </w:pPr>
            <w:r>
              <w:rPr>
                <w:rFonts w:hint="eastAsia" w:ascii="宋体" w:hAnsi="宋体" w:eastAsia="宋体" w:cs="宋体"/>
                <w:b/>
                <w:color w:val="000000"/>
                <w:kern w:val="0"/>
                <w:sz w:val="24"/>
                <w:szCs w:val="24"/>
              </w:rPr>
              <w:t>翠江镇现有作业道路清扫保洁面积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12635" w:type="dxa"/>
          <w:trHeight w:val="610" w:hRule="atLeast"/>
        </w:trPr>
        <w:tc>
          <w:tcPr>
            <w:tcW w:w="1019" w:type="dxa"/>
            <w:vMerge w:val="restart"/>
            <w:noWrap w:val="0"/>
            <w:vAlign w:val="center"/>
          </w:tcPr>
          <w:p>
            <w:pPr>
              <w:widowControl/>
              <w:jc w:val="center"/>
              <w:textAlignment w:val="center"/>
              <w:rPr>
                <w:rFonts w:hint="eastAsia" w:ascii="宋体" w:hAnsi="宋体" w:eastAsia="宋体" w:cs="宋体"/>
                <w:b/>
                <w:bCs/>
                <w:color w:val="FF0000"/>
                <w:sz w:val="24"/>
                <w:szCs w:val="24"/>
              </w:rPr>
            </w:pPr>
            <w:r>
              <w:rPr>
                <w:rFonts w:hint="eastAsia" w:ascii="宋体" w:hAnsi="宋体" w:eastAsia="宋体" w:cs="宋体"/>
                <w:b/>
                <w:bCs/>
                <w:kern w:val="0"/>
                <w:sz w:val="24"/>
                <w:szCs w:val="24"/>
              </w:rPr>
              <w:t>社区</w:t>
            </w:r>
          </w:p>
        </w:tc>
        <w:tc>
          <w:tcPr>
            <w:tcW w:w="2221" w:type="dxa"/>
            <w:gridSpan w:val="3"/>
            <w:vMerge w:val="restart"/>
            <w:noWrap w:val="0"/>
            <w:vAlign w:val="center"/>
          </w:tcPr>
          <w:p>
            <w:pPr>
              <w:widowControl/>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rPr>
              <w:t>道路名称</w:t>
            </w:r>
          </w:p>
        </w:tc>
        <w:tc>
          <w:tcPr>
            <w:tcW w:w="2491" w:type="dxa"/>
            <w:gridSpan w:val="2"/>
            <w:vMerge w:val="restart"/>
            <w:noWrap w:val="0"/>
            <w:vAlign w:val="center"/>
          </w:tcPr>
          <w:p>
            <w:pPr>
              <w:widowControl/>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rPr>
              <w:t>起点</w:t>
            </w:r>
          </w:p>
        </w:tc>
        <w:tc>
          <w:tcPr>
            <w:tcW w:w="2592" w:type="dxa"/>
            <w:gridSpan w:val="2"/>
            <w:vMerge w:val="restart"/>
            <w:noWrap w:val="0"/>
            <w:vAlign w:val="center"/>
          </w:tcPr>
          <w:p>
            <w:pPr>
              <w:widowControl/>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rPr>
              <w:t>终点</w:t>
            </w:r>
          </w:p>
        </w:tc>
        <w:tc>
          <w:tcPr>
            <w:tcW w:w="3258" w:type="dxa"/>
            <w:gridSpan w:val="3"/>
            <w:noWrap w:val="0"/>
            <w:vAlign w:val="center"/>
          </w:tcPr>
          <w:p>
            <w:pPr>
              <w:widowControl/>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rPr>
              <w:t xml:space="preserve">道路面积(㎡) </w:t>
            </w:r>
          </w:p>
        </w:tc>
        <w:tc>
          <w:tcPr>
            <w:tcW w:w="2123" w:type="dxa"/>
            <w:gridSpan w:val="2"/>
            <w:noWrap w:val="0"/>
            <w:vAlign w:val="center"/>
          </w:tcPr>
          <w:p>
            <w:pPr>
              <w:widowControl/>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12635" w:type="dxa"/>
          <w:trHeight w:val="490" w:hRule="atLeast"/>
        </w:trPr>
        <w:tc>
          <w:tcPr>
            <w:tcW w:w="1019" w:type="dxa"/>
            <w:vMerge w:val="continue"/>
            <w:noWrap w:val="0"/>
            <w:vAlign w:val="center"/>
          </w:tcPr>
          <w:p>
            <w:pPr>
              <w:jc w:val="center"/>
              <w:rPr>
                <w:rFonts w:hint="eastAsia" w:ascii="宋体" w:hAnsi="宋体" w:eastAsia="宋体" w:cs="宋体"/>
                <w:b/>
                <w:bCs/>
                <w:color w:val="FF0000"/>
                <w:sz w:val="24"/>
                <w:szCs w:val="24"/>
              </w:rPr>
            </w:pPr>
          </w:p>
        </w:tc>
        <w:tc>
          <w:tcPr>
            <w:tcW w:w="2221" w:type="dxa"/>
            <w:gridSpan w:val="3"/>
            <w:vMerge w:val="continue"/>
            <w:noWrap w:val="0"/>
            <w:vAlign w:val="center"/>
          </w:tcPr>
          <w:p>
            <w:pPr>
              <w:jc w:val="center"/>
              <w:rPr>
                <w:rFonts w:hint="eastAsia" w:ascii="宋体" w:hAnsi="宋体" w:eastAsia="宋体" w:cs="宋体"/>
                <w:b/>
                <w:bCs/>
                <w:sz w:val="24"/>
                <w:szCs w:val="24"/>
              </w:rPr>
            </w:pPr>
          </w:p>
        </w:tc>
        <w:tc>
          <w:tcPr>
            <w:tcW w:w="2491" w:type="dxa"/>
            <w:gridSpan w:val="2"/>
            <w:vMerge w:val="continue"/>
            <w:noWrap w:val="0"/>
            <w:vAlign w:val="center"/>
          </w:tcPr>
          <w:p>
            <w:pPr>
              <w:jc w:val="center"/>
              <w:rPr>
                <w:rFonts w:hint="eastAsia" w:ascii="宋体" w:hAnsi="宋体" w:eastAsia="宋体" w:cs="宋体"/>
                <w:b/>
                <w:bCs/>
                <w:sz w:val="24"/>
                <w:szCs w:val="24"/>
              </w:rPr>
            </w:pPr>
          </w:p>
        </w:tc>
        <w:tc>
          <w:tcPr>
            <w:tcW w:w="2592" w:type="dxa"/>
            <w:gridSpan w:val="2"/>
            <w:vMerge w:val="continue"/>
            <w:noWrap w:val="0"/>
            <w:vAlign w:val="center"/>
          </w:tcPr>
          <w:p>
            <w:pPr>
              <w:jc w:val="center"/>
              <w:rPr>
                <w:rFonts w:hint="eastAsia" w:ascii="宋体" w:hAnsi="宋体" w:eastAsia="宋体" w:cs="宋体"/>
                <w:b/>
                <w:bCs/>
                <w:sz w:val="24"/>
                <w:szCs w:val="24"/>
              </w:rPr>
            </w:pPr>
          </w:p>
        </w:tc>
        <w:tc>
          <w:tcPr>
            <w:tcW w:w="1625" w:type="dxa"/>
            <w:noWrap w:val="0"/>
            <w:vAlign w:val="center"/>
          </w:tcPr>
          <w:p>
            <w:pPr>
              <w:widowControl/>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rPr>
              <w:t>长</w:t>
            </w:r>
          </w:p>
        </w:tc>
        <w:tc>
          <w:tcPr>
            <w:tcW w:w="1633" w:type="dxa"/>
            <w:gridSpan w:val="2"/>
            <w:noWrap w:val="0"/>
            <w:vAlign w:val="center"/>
          </w:tcPr>
          <w:p>
            <w:pPr>
              <w:widowControl/>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rPr>
              <w:t>宽</w:t>
            </w:r>
          </w:p>
        </w:tc>
        <w:tc>
          <w:tcPr>
            <w:tcW w:w="2123" w:type="dxa"/>
            <w:gridSpan w:val="2"/>
            <w:noWrap w:val="0"/>
            <w:vAlign w:val="center"/>
          </w:tcPr>
          <w:p>
            <w:pPr>
              <w:jc w:val="center"/>
              <w:rPr>
                <w:rFonts w:hint="eastAsia" w:ascii="宋体" w:hAnsi="宋体" w:eastAsia="宋体" w:cs="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12635" w:type="dxa"/>
          <w:trHeight w:val="480" w:hRule="atLeast"/>
        </w:trPr>
        <w:tc>
          <w:tcPr>
            <w:tcW w:w="1019" w:type="dxa"/>
            <w:vMerge w:val="restart"/>
            <w:noWrap w:val="0"/>
            <w:textDirection w:val="tbRlV"/>
            <w:vAlign w:val="center"/>
          </w:tcPr>
          <w:p>
            <w:pPr>
              <w:widowControl/>
              <w:jc w:val="center"/>
              <w:textAlignment w:val="center"/>
              <w:rPr>
                <w:rFonts w:hint="eastAsia" w:ascii="宋体" w:hAnsi="宋体" w:eastAsia="宋体" w:cs="宋体"/>
                <w:color w:val="FF0000"/>
                <w:sz w:val="24"/>
                <w:szCs w:val="24"/>
              </w:rPr>
            </w:pPr>
            <w:r>
              <w:rPr>
                <w:rFonts w:hint="eastAsia" w:ascii="宋体" w:hAnsi="宋体" w:eastAsia="宋体" w:cs="宋体"/>
                <w:kern w:val="0"/>
                <w:sz w:val="24"/>
                <w:szCs w:val="24"/>
              </w:rPr>
              <w:t>北山社区</w:t>
            </w:r>
          </w:p>
        </w:tc>
        <w:tc>
          <w:tcPr>
            <w:tcW w:w="2221" w:type="dxa"/>
            <w:gridSpan w:val="3"/>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西门路</w:t>
            </w:r>
          </w:p>
        </w:tc>
        <w:tc>
          <w:tcPr>
            <w:tcW w:w="2491" w:type="dxa"/>
            <w:gridSpan w:val="2"/>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干休所</w:t>
            </w:r>
          </w:p>
        </w:tc>
        <w:tc>
          <w:tcPr>
            <w:tcW w:w="2592" w:type="dxa"/>
            <w:gridSpan w:val="2"/>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西门大桥头</w:t>
            </w:r>
          </w:p>
        </w:tc>
        <w:tc>
          <w:tcPr>
            <w:tcW w:w="1625" w:type="dxa"/>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1084</w:t>
            </w:r>
          </w:p>
        </w:tc>
        <w:tc>
          <w:tcPr>
            <w:tcW w:w="1633" w:type="dxa"/>
            <w:gridSpan w:val="2"/>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6</w:t>
            </w:r>
          </w:p>
        </w:tc>
        <w:tc>
          <w:tcPr>
            <w:tcW w:w="2123" w:type="dxa"/>
            <w:gridSpan w:val="2"/>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6504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12635" w:type="dxa"/>
          <w:trHeight w:val="480" w:hRule="atLeast"/>
        </w:trPr>
        <w:tc>
          <w:tcPr>
            <w:tcW w:w="1019" w:type="dxa"/>
            <w:vMerge w:val="continue"/>
            <w:noWrap w:val="0"/>
            <w:textDirection w:val="tbRlV"/>
            <w:vAlign w:val="center"/>
          </w:tcPr>
          <w:p>
            <w:pPr>
              <w:jc w:val="center"/>
              <w:rPr>
                <w:rFonts w:hint="eastAsia" w:ascii="宋体" w:hAnsi="宋体" w:eastAsia="宋体" w:cs="宋体"/>
                <w:sz w:val="24"/>
                <w:szCs w:val="24"/>
              </w:rPr>
            </w:pPr>
          </w:p>
        </w:tc>
        <w:tc>
          <w:tcPr>
            <w:tcW w:w="2221" w:type="dxa"/>
            <w:gridSpan w:val="3"/>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西山路</w:t>
            </w:r>
          </w:p>
        </w:tc>
        <w:tc>
          <w:tcPr>
            <w:tcW w:w="2491" w:type="dxa"/>
            <w:gridSpan w:val="2"/>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翠华小区后面</w:t>
            </w:r>
          </w:p>
        </w:tc>
        <w:tc>
          <w:tcPr>
            <w:tcW w:w="2592" w:type="dxa"/>
            <w:gridSpan w:val="2"/>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西山路坡顶</w:t>
            </w:r>
          </w:p>
        </w:tc>
        <w:tc>
          <w:tcPr>
            <w:tcW w:w="1625" w:type="dxa"/>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1142</w:t>
            </w:r>
          </w:p>
        </w:tc>
        <w:tc>
          <w:tcPr>
            <w:tcW w:w="1633" w:type="dxa"/>
            <w:gridSpan w:val="2"/>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7</w:t>
            </w:r>
          </w:p>
        </w:tc>
        <w:tc>
          <w:tcPr>
            <w:tcW w:w="2123" w:type="dxa"/>
            <w:gridSpan w:val="2"/>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7994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12635" w:type="dxa"/>
          <w:trHeight w:val="480" w:hRule="atLeast"/>
        </w:trPr>
        <w:tc>
          <w:tcPr>
            <w:tcW w:w="1019" w:type="dxa"/>
            <w:vMerge w:val="continue"/>
            <w:noWrap w:val="0"/>
            <w:textDirection w:val="tbRlV"/>
            <w:vAlign w:val="center"/>
          </w:tcPr>
          <w:p>
            <w:pPr>
              <w:jc w:val="center"/>
              <w:rPr>
                <w:rFonts w:hint="eastAsia" w:ascii="宋体" w:hAnsi="宋体" w:eastAsia="宋体" w:cs="宋体"/>
                <w:sz w:val="24"/>
                <w:szCs w:val="24"/>
              </w:rPr>
            </w:pPr>
          </w:p>
        </w:tc>
        <w:tc>
          <w:tcPr>
            <w:tcW w:w="2221" w:type="dxa"/>
            <w:gridSpan w:val="3"/>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鸡山新村下段</w:t>
            </w:r>
          </w:p>
        </w:tc>
        <w:tc>
          <w:tcPr>
            <w:tcW w:w="2491" w:type="dxa"/>
            <w:gridSpan w:val="2"/>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西山路口</w:t>
            </w:r>
          </w:p>
        </w:tc>
        <w:tc>
          <w:tcPr>
            <w:tcW w:w="2592" w:type="dxa"/>
            <w:gridSpan w:val="2"/>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西山路小卖部门口</w:t>
            </w:r>
          </w:p>
        </w:tc>
        <w:tc>
          <w:tcPr>
            <w:tcW w:w="1625" w:type="dxa"/>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1350</w:t>
            </w:r>
          </w:p>
        </w:tc>
        <w:tc>
          <w:tcPr>
            <w:tcW w:w="1633" w:type="dxa"/>
            <w:gridSpan w:val="2"/>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7</w:t>
            </w:r>
          </w:p>
        </w:tc>
        <w:tc>
          <w:tcPr>
            <w:tcW w:w="2123" w:type="dxa"/>
            <w:gridSpan w:val="2"/>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9450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12635" w:type="dxa"/>
          <w:trHeight w:val="540" w:hRule="atLeast"/>
        </w:trPr>
        <w:tc>
          <w:tcPr>
            <w:tcW w:w="1019" w:type="dxa"/>
            <w:vMerge w:val="continue"/>
            <w:noWrap w:val="0"/>
            <w:textDirection w:val="tbRlV"/>
            <w:vAlign w:val="center"/>
          </w:tcPr>
          <w:p>
            <w:pPr>
              <w:jc w:val="center"/>
              <w:rPr>
                <w:rFonts w:hint="eastAsia" w:ascii="宋体" w:hAnsi="宋体" w:eastAsia="宋体" w:cs="宋体"/>
                <w:sz w:val="24"/>
                <w:szCs w:val="24"/>
              </w:rPr>
            </w:pPr>
          </w:p>
        </w:tc>
        <w:tc>
          <w:tcPr>
            <w:tcW w:w="2221" w:type="dxa"/>
            <w:gridSpan w:val="3"/>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鸡山新村上段</w:t>
            </w:r>
          </w:p>
        </w:tc>
        <w:tc>
          <w:tcPr>
            <w:tcW w:w="2491" w:type="dxa"/>
            <w:gridSpan w:val="2"/>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西山路小卖部门口</w:t>
            </w:r>
          </w:p>
        </w:tc>
        <w:tc>
          <w:tcPr>
            <w:tcW w:w="2592" w:type="dxa"/>
            <w:gridSpan w:val="2"/>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鸡山新村111号</w:t>
            </w:r>
          </w:p>
        </w:tc>
        <w:tc>
          <w:tcPr>
            <w:tcW w:w="1625" w:type="dxa"/>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1357</w:t>
            </w:r>
          </w:p>
        </w:tc>
        <w:tc>
          <w:tcPr>
            <w:tcW w:w="1633" w:type="dxa"/>
            <w:gridSpan w:val="2"/>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7</w:t>
            </w:r>
          </w:p>
        </w:tc>
        <w:tc>
          <w:tcPr>
            <w:tcW w:w="2123" w:type="dxa"/>
            <w:gridSpan w:val="2"/>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9499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12635" w:type="dxa"/>
          <w:trHeight w:val="480" w:hRule="atLeast"/>
        </w:trPr>
        <w:tc>
          <w:tcPr>
            <w:tcW w:w="1019" w:type="dxa"/>
            <w:vMerge w:val="continue"/>
            <w:noWrap w:val="0"/>
            <w:textDirection w:val="tbRlV"/>
            <w:vAlign w:val="center"/>
          </w:tcPr>
          <w:p>
            <w:pPr>
              <w:jc w:val="center"/>
              <w:rPr>
                <w:rFonts w:hint="eastAsia" w:ascii="宋体" w:hAnsi="宋体" w:eastAsia="宋体" w:cs="宋体"/>
                <w:sz w:val="24"/>
                <w:szCs w:val="24"/>
              </w:rPr>
            </w:pPr>
          </w:p>
        </w:tc>
        <w:tc>
          <w:tcPr>
            <w:tcW w:w="2221" w:type="dxa"/>
            <w:gridSpan w:val="3"/>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城北新村</w:t>
            </w:r>
          </w:p>
        </w:tc>
        <w:tc>
          <w:tcPr>
            <w:tcW w:w="2491" w:type="dxa"/>
            <w:gridSpan w:val="2"/>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城北新村第一排</w:t>
            </w:r>
          </w:p>
        </w:tc>
        <w:tc>
          <w:tcPr>
            <w:tcW w:w="2592" w:type="dxa"/>
            <w:gridSpan w:val="2"/>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城北新村坡顶</w:t>
            </w:r>
          </w:p>
        </w:tc>
        <w:tc>
          <w:tcPr>
            <w:tcW w:w="1625" w:type="dxa"/>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1476</w:t>
            </w:r>
          </w:p>
        </w:tc>
        <w:tc>
          <w:tcPr>
            <w:tcW w:w="1633" w:type="dxa"/>
            <w:gridSpan w:val="2"/>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7</w:t>
            </w:r>
          </w:p>
        </w:tc>
        <w:tc>
          <w:tcPr>
            <w:tcW w:w="2123" w:type="dxa"/>
            <w:gridSpan w:val="2"/>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10332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12635" w:type="dxa"/>
          <w:trHeight w:val="480" w:hRule="atLeast"/>
        </w:trPr>
        <w:tc>
          <w:tcPr>
            <w:tcW w:w="1019" w:type="dxa"/>
            <w:vMerge w:val="continue"/>
            <w:noWrap w:val="0"/>
            <w:textDirection w:val="tbRlV"/>
            <w:vAlign w:val="center"/>
          </w:tcPr>
          <w:p>
            <w:pPr>
              <w:jc w:val="center"/>
              <w:rPr>
                <w:rFonts w:hint="eastAsia" w:ascii="宋体" w:hAnsi="宋体" w:eastAsia="宋体" w:cs="宋体"/>
                <w:sz w:val="24"/>
                <w:szCs w:val="24"/>
              </w:rPr>
            </w:pPr>
          </w:p>
        </w:tc>
        <w:tc>
          <w:tcPr>
            <w:tcW w:w="2221" w:type="dxa"/>
            <w:gridSpan w:val="3"/>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北山一路</w:t>
            </w:r>
          </w:p>
        </w:tc>
        <w:tc>
          <w:tcPr>
            <w:tcW w:w="2491" w:type="dxa"/>
            <w:gridSpan w:val="2"/>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社区门口</w:t>
            </w:r>
          </w:p>
        </w:tc>
        <w:tc>
          <w:tcPr>
            <w:tcW w:w="2592" w:type="dxa"/>
            <w:gridSpan w:val="2"/>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北山一路48号</w:t>
            </w:r>
          </w:p>
        </w:tc>
        <w:tc>
          <w:tcPr>
            <w:tcW w:w="1625" w:type="dxa"/>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897</w:t>
            </w:r>
          </w:p>
        </w:tc>
        <w:tc>
          <w:tcPr>
            <w:tcW w:w="1633" w:type="dxa"/>
            <w:gridSpan w:val="2"/>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7</w:t>
            </w:r>
          </w:p>
        </w:tc>
        <w:tc>
          <w:tcPr>
            <w:tcW w:w="2123" w:type="dxa"/>
            <w:gridSpan w:val="2"/>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6279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12635" w:type="dxa"/>
          <w:trHeight w:val="480" w:hRule="atLeast"/>
        </w:trPr>
        <w:tc>
          <w:tcPr>
            <w:tcW w:w="1019" w:type="dxa"/>
            <w:vMerge w:val="continue"/>
            <w:noWrap w:val="0"/>
            <w:textDirection w:val="tbRlV"/>
            <w:vAlign w:val="center"/>
          </w:tcPr>
          <w:p>
            <w:pPr>
              <w:jc w:val="center"/>
              <w:rPr>
                <w:rFonts w:hint="eastAsia" w:ascii="宋体" w:hAnsi="宋体" w:eastAsia="宋体" w:cs="宋体"/>
                <w:sz w:val="24"/>
                <w:szCs w:val="24"/>
              </w:rPr>
            </w:pPr>
          </w:p>
        </w:tc>
        <w:tc>
          <w:tcPr>
            <w:tcW w:w="2221" w:type="dxa"/>
            <w:gridSpan w:val="3"/>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北山二路</w:t>
            </w:r>
          </w:p>
        </w:tc>
        <w:tc>
          <w:tcPr>
            <w:tcW w:w="2491" w:type="dxa"/>
            <w:gridSpan w:val="2"/>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社区文化站</w:t>
            </w:r>
          </w:p>
        </w:tc>
        <w:tc>
          <w:tcPr>
            <w:tcW w:w="2592" w:type="dxa"/>
            <w:gridSpan w:val="2"/>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县气象局</w:t>
            </w:r>
          </w:p>
        </w:tc>
        <w:tc>
          <w:tcPr>
            <w:tcW w:w="1625" w:type="dxa"/>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1216</w:t>
            </w:r>
          </w:p>
        </w:tc>
        <w:tc>
          <w:tcPr>
            <w:tcW w:w="1633" w:type="dxa"/>
            <w:gridSpan w:val="2"/>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6</w:t>
            </w:r>
          </w:p>
        </w:tc>
        <w:tc>
          <w:tcPr>
            <w:tcW w:w="2123" w:type="dxa"/>
            <w:gridSpan w:val="2"/>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7296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12635" w:type="dxa"/>
          <w:trHeight w:val="480" w:hRule="atLeast"/>
        </w:trPr>
        <w:tc>
          <w:tcPr>
            <w:tcW w:w="1019" w:type="dxa"/>
            <w:vMerge w:val="continue"/>
            <w:noWrap w:val="0"/>
            <w:textDirection w:val="tbRlV"/>
            <w:vAlign w:val="center"/>
          </w:tcPr>
          <w:p>
            <w:pPr>
              <w:jc w:val="center"/>
              <w:rPr>
                <w:rFonts w:hint="eastAsia" w:ascii="宋体" w:hAnsi="宋体" w:eastAsia="宋体" w:cs="宋体"/>
                <w:sz w:val="24"/>
                <w:szCs w:val="24"/>
              </w:rPr>
            </w:pPr>
          </w:p>
        </w:tc>
        <w:tc>
          <w:tcPr>
            <w:tcW w:w="2221" w:type="dxa"/>
            <w:gridSpan w:val="3"/>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北山三路</w:t>
            </w:r>
          </w:p>
        </w:tc>
        <w:tc>
          <w:tcPr>
            <w:tcW w:w="2491" w:type="dxa"/>
            <w:gridSpan w:val="2"/>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五中后门</w:t>
            </w:r>
          </w:p>
        </w:tc>
        <w:tc>
          <w:tcPr>
            <w:tcW w:w="2592" w:type="dxa"/>
            <w:gridSpan w:val="2"/>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北山三路最后一排</w:t>
            </w:r>
          </w:p>
        </w:tc>
        <w:tc>
          <w:tcPr>
            <w:tcW w:w="1625" w:type="dxa"/>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1611</w:t>
            </w:r>
          </w:p>
        </w:tc>
        <w:tc>
          <w:tcPr>
            <w:tcW w:w="1633" w:type="dxa"/>
            <w:gridSpan w:val="2"/>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5</w:t>
            </w:r>
          </w:p>
        </w:tc>
        <w:tc>
          <w:tcPr>
            <w:tcW w:w="2123" w:type="dxa"/>
            <w:gridSpan w:val="2"/>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8055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12635" w:type="dxa"/>
          <w:trHeight w:val="630" w:hRule="atLeast"/>
        </w:trPr>
        <w:tc>
          <w:tcPr>
            <w:tcW w:w="1019" w:type="dxa"/>
            <w:vMerge w:val="restart"/>
            <w:noWrap w:val="0"/>
            <w:textDirection w:val="tbRlV"/>
            <w:vAlign w:val="center"/>
          </w:tcPr>
          <w:p>
            <w:pPr>
              <w:widowControl/>
              <w:jc w:val="center"/>
              <w:textAlignment w:val="center"/>
              <w:rPr>
                <w:rFonts w:hint="eastAsia" w:ascii="宋体" w:hAnsi="宋体" w:eastAsia="宋体" w:cs="宋体"/>
                <w:color w:val="FF0000"/>
                <w:sz w:val="24"/>
                <w:szCs w:val="24"/>
              </w:rPr>
            </w:pPr>
            <w:r>
              <w:rPr>
                <w:rFonts w:hint="eastAsia" w:ascii="宋体" w:hAnsi="宋体" w:eastAsia="宋体" w:cs="宋体"/>
                <w:kern w:val="0"/>
                <w:sz w:val="24"/>
                <w:szCs w:val="24"/>
              </w:rPr>
              <w:t>朝阳社区</w:t>
            </w:r>
          </w:p>
        </w:tc>
        <w:tc>
          <w:tcPr>
            <w:tcW w:w="2221" w:type="dxa"/>
            <w:gridSpan w:val="3"/>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朝阳路、朝阳弄岔路.</w:t>
            </w:r>
          </w:p>
        </w:tc>
        <w:tc>
          <w:tcPr>
            <w:tcW w:w="2491" w:type="dxa"/>
            <w:gridSpan w:val="2"/>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朝阳路.路口</w:t>
            </w:r>
          </w:p>
        </w:tc>
        <w:tc>
          <w:tcPr>
            <w:tcW w:w="2592" w:type="dxa"/>
            <w:gridSpan w:val="2"/>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交警右侧路口</w:t>
            </w:r>
          </w:p>
        </w:tc>
        <w:tc>
          <w:tcPr>
            <w:tcW w:w="1625" w:type="dxa"/>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868</w:t>
            </w:r>
          </w:p>
        </w:tc>
        <w:tc>
          <w:tcPr>
            <w:tcW w:w="1633" w:type="dxa"/>
            <w:gridSpan w:val="2"/>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10</w:t>
            </w:r>
          </w:p>
        </w:tc>
        <w:tc>
          <w:tcPr>
            <w:tcW w:w="2123" w:type="dxa"/>
            <w:gridSpan w:val="2"/>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8680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12635" w:type="dxa"/>
          <w:trHeight w:val="600" w:hRule="atLeast"/>
        </w:trPr>
        <w:tc>
          <w:tcPr>
            <w:tcW w:w="1019" w:type="dxa"/>
            <w:vMerge w:val="continue"/>
            <w:noWrap w:val="0"/>
            <w:textDirection w:val="tbRlV"/>
            <w:vAlign w:val="center"/>
          </w:tcPr>
          <w:p>
            <w:pPr>
              <w:jc w:val="center"/>
              <w:rPr>
                <w:rFonts w:hint="eastAsia" w:ascii="宋体" w:hAnsi="宋体" w:eastAsia="宋体" w:cs="宋体"/>
                <w:color w:val="FF0000"/>
                <w:sz w:val="24"/>
                <w:szCs w:val="24"/>
              </w:rPr>
            </w:pPr>
          </w:p>
        </w:tc>
        <w:tc>
          <w:tcPr>
            <w:tcW w:w="2221" w:type="dxa"/>
            <w:gridSpan w:val="3"/>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朝阳弄</w:t>
            </w:r>
          </w:p>
        </w:tc>
        <w:tc>
          <w:tcPr>
            <w:tcW w:w="2491" w:type="dxa"/>
            <w:gridSpan w:val="2"/>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山东包子铺路口</w:t>
            </w:r>
          </w:p>
        </w:tc>
        <w:tc>
          <w:tcPr>
            <w:tcW w:w="2592" w:type="dxa"/>
            <w:gridSpan w:val="2"/>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朝阳农贸市场右侧（含整个朝阳弄）</w:t>
            </w:r>
          </w:p>
        </w:tc>
        <w:tc>
          <w:tcPr>
            <w:tcW w:w="1625" w:type="dxa"/>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1239</w:t>
            </w:r>
          </w:p>
        </w:tc>
        <w:tc>
          <w:tcPr>
            <w:tcW w:w="1633" w:type="dxa"/>
            <w:gridSpan w:val="2"/>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6</w:t>
            </w:r>
          </w:p>
        </w:tc>
        <w:tc>
          <w:tcPr>
            <w:tcW w:w="2123" w:type="dxa"/>
            <w:gridSpan w:val="2"/>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7434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12635" w:type="dxa"/>
          <w:trHeight w:val="480" w:hRule="atLeast"/>
        </w:trPr>
        <w:tc>
          <w:tcPr>
            <w:tcW w:w="1019" w:type="dxa"/>
            <w:vMerge w:val="continue"/>
            <w:noWrap w:val="0"/>
            <w:textDirection w:val="tbRlV"/>
            <w:vAlign w:val="center"/>
          </w:tcPr>
          <w:p>
            <w:pPr>
              <w:jc w:val="center"/>
              <w:rPr>
                <w:rFonts w:hint="eastAsia" w:ascii="宋体" w:hAnsi="宋体" w:eastAsia="宋体" w:cs="宋体"/>
                <w:color w:val="FF0000"/>
                <w:sz w:val="24"/>
                <w:szCs w:val="24"/>
              </w:rPr>
            </w:pPr>
          </w:p>
        </w:tc>
        <w:tc>
          <w:tcPr>
            <w:tcW w:w="2221" w:type="dxa"/>
            <w:gridSpan w:val="3"/>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朝阳新村1至6路</w:t>
            </w:r>
          </w:p>
        </w:tc>
        <w:tc>
          <w:tcPr>
            <w:tcW w:w="2491" w:type="dxa"/>
            <w:gridSpan w:val="2"/>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朝阳新村1路</w:t>
            </w:r>
          </w:p>
        </w:tc>
        <w:tc>
          <w:tcPr>
            <w:tcW w:w="2592" w:type="dxa"/>
            <w:gridSpan w:val="2"/>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朝阳新村6路</w:t>
            </w:r>
          </w:p>
        </w:tc>
        <w:tc>
          <w:tcPr>
            <w:tcW w:w="1625" w:type="dxa"/>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1495</w:t>
            </w:r>
          </w:p>
        </w:tc>
        <w:tc>
          <w:tcPr>
            <w:tcW w:w="1633" w:type="dxa"/>
            <w:gridSpan w:val="2"/>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6</w:t>
            </w:r>
          </w:p>
        </w:tc>
        <w:tc>
          <w:tcPr>
            <w:tcW w:w="2123" w:type="dxa"/>
            <w:gridSpan w:val="2"/>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8970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12635" w:type="dxa"/>
          <w:trHeight w:val="480" w:hRule="atLeast"/>
        </w:trPr>
        <w:tc>
          <w:tcPr>
            <w:tcW w:w="1019" w:type="dxa"/>
            <w:vMerge w:val="continue"/>
            <w:noWrap w:val="0"/>
            <w:textDirection w:val="tbRlV"/>
            <w:vAlign w:val="center"/>
          </w:tcPr>
          <w:p>
            <w:pPr>
              <w:jc w:val="center"/>
              <w:rPr>
                <w:rFonts w:hint="eastAsia" w:ascii="宋体" w:hAnsi="宋体" w:eastAsia="宋体" w:cs="宋体"/>
                <w:color w:val="FF0000"/>
                <w:sz w:val="24"/>
                <w:szCs w:val="24"/>
              </w:rPr>
            </w:pPr>
          </w:p>
        </w:tc>
        <w:tc>
          <w:tcPr>
            <w:tcW w:w="2221" w:type="dxa"/>
            <w:gridSpan w:val="3"/>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朝阳新村7至10路</w:t>
            </w:r>
          </w:p>
        </w:tc>
        <w:tc>
          <w:tcPr>
            <w:tcW w:w="2491" w:type="dxa"/>
            <w:gridSpan w:val="2"/>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朝阳新村7路</w:t>
            </w:r>
          </w:p>
        </w:tc>
        <w:tc>
          <w:tcPr>
            <w:tcW w:w="2592" w:type="dxa"/>
            <w:gridSpan w:val="2"/>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朝阳新村10 路</w:t>
            </w:r>
          </w:p>
        </w:tc>
        <w:tc>
          <w:tcPr>
            <w:tcW w:w="1625" w:type="dxa"/>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1491</w:t>
            </w:r>
          </w:p>
        </w:tc>
        <w:tc>
          <w:tcPr>
            <w:tcW w:w="1633" w:type="dxa"/>
            <w:gridSpan w:val="2"/>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6</w:t>
            </w:r>
          </w:p>
        </w:tc>
        <w:tc>
          <w:tcPr>
            <w:tcW w:w="2123" w:type="dxa"/>
            <w:gridSpan w:val="2"/>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8946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12635" w:type="dxa"/>
          <w:trHeight w:val="570" w:hRule="atLeast"/>
        </w:trPr>
        <w:tc>
          <w:tcPr>
            <w:tcW w:w="1019" w:type="dxa"/>
            <w:vMerge w:val="continue"/>
            <w:noWrap w:val="0"/>
            <w:textDirection w:val="tbRlV"/>
            <w:vAlign w:val="center"/>
          </w:tcPr>
          <w:p>
            <w:pPr>
              <w:jc w:val="center"/>
              <w:rPr>
                <w:rFonts w:hint="eastAsia" w:ascii="宋体" w:hAnsi="宋体" w:eastAsia="宋体" w:cs="宋体"/>
                <w:color w:val="FF0000"/>
                <w:sz w:val="24"/>
                <w:szCs w:val="24"/>
              </w:rPr>
            </w:pPr>
          </w:p>
        </w:tc>
        <w:tc>
          <w:tcPr>
            <w:tcW w:w="2221" w:type="dxa"/>
            <w:gridSpan w:val="3"/>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朝阳新村11至15路</w:t>
            </w:r>
          </w:p>
        </w:tc>
        <w:tc>
          <w:tcPr>
            <w:tcW w:w="2491" w:type="dxa"/>
            <w:gridSpan w:val="2"/>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朝阳新村11路</w:t>
            </w:r>
          </w:p>
        </w:tc>
        <w:tc>
          <w:tcPr>
            <w:tcW w:w="2592" w:type="dxa"/>
            <w:gridSpan w:val="2"/>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朝阳新村15 路</w:t>
            </w:r>
          </w:p>
        </w:tc>
        <w:tc>
          <w:tcPr>
            <w:tcW w:w="1625" w:type="dxa"/>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1509</w:t>
            </w:r>
          </w:p>
        </w:tc>
        <w:tc>
          <w:tcPr>
            <w:tcW w:w="1633" w:type="dxa"/>
            <w:gridSpan w:val="2"/>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6</w:t>
            </w:r>
          </w:p>
        </w:tc>
        <w:tc>
          <w:tcPr>
            <w:tcW w:w="2123" w:type="dxa"/>
            <w:gridSpan w:val="2"/>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9054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12635" w:type="dxa"/>
          <w:trHeight w:val="570" w:hRule="atLeast"/>
        </w:trPr>
        <w:tc>
          <w:tcPr>
            <w:tcW w:w="1019" w:type="dxa"/>
            <w:vMerge w:val="continue"/>
            <w:noWrap w:val="0"/>
            <w:textDirection w:val="tbRlV"/>
            <w:vAlign w:val="center"/>
          </w:tcPr>
          <w:p>
            <w:pPr>
              <w:jc w:val="center"/>
              <w:rPr>
                <w:rFonts w:hint="eastAsia" w:ascii="宋体" w:hAnsi="宋体" w:eastAsia="宋体" w:cs="宋体"/>
                <w:color w:val="FF0000"/>
                <w:sz w:val="24"/>
                <w:szCs w:val="24"/>
              </w:rPr>
            </w:pPr>
          </w:p>
        </w:tc>
        <w:tc>
          <w:tcPr>
            <w:tcW w:w="2221" w:type="dxa"/>
            <w:gridSpan w:val="3"/>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 xml:space="preserve">一中围墙.马岭坑口松树园后三排 </w:t>
            </w:r>
          </w:p>
        </w:tc>
        <w:tc>
          <w:tcPr>
            <w:tcW w:w="2491" w:type="dxa"/>
            <w:gridSpan w:val="2"/>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一中体育场围墙外边</w:t>
            </w:r>
          </w:p>
        </w:tc>
        <w:tc>
          <w:tcPr>
            <w:tcW w:w="2592" w:type="dxa"/>
            <w:gridSpan w:val="2"/>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松树园后三排</w:t>
            </w:r>
          </w:p>
        </w:tc>
        <w:tc>
          <w:tcPr>
            <w:tcW w:w="1625" w:type="dxa"/>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1976</w:t>
            </w:r>
          </w:p>
        </w:tc>
        <w:tc>
          <w:tcPr>
            <w:tcW w:w="1633" w:type="dxa"/>
            <w:gridSpan w:val="2"/>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9</w:t>
            </w:r>
          </w:p>
        </w:tc>
        <w:tc>
          <w:tcPr>
            <w:tcW w:w="2123" w:type="dxa"/>
            <w:gridSpan w:val="2"/>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17784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12635" w:type="dxa"/>
          <w:trHeight w:val="670" w:hRule="atLeast"/>
        </w:trPr>
        <w:tc>
          <w:tcPr>
            <w:tcW w:w="1019" w:type="dxa"/>
            <w:vMerge w:val="continue"/>
            <w:noWrap w:val="0"/>
            <w:textDirection w:val="tbRlV"/>
            <w:vAlign w:val="center"/>
          </w:tcPr>
          <w:p>
            <w:pPr>
              <w:jc w:val="center"/>
              <w:rPr>
                <w:rFonts w:hint="eastAsia" w:ascii="宋体" w:hAnsi="宋体" w:eastAsia="宋体" w:cs="宋体"/>
                <w:color w:val="FF0000"/>
                <w:sz w:val="24"/>
                <w:szCs w:val="24"/>
              </w:rPr>
            </w:pPr>
          </w:p>
        </w:tc>
        <w:tc>
          <w:tcPr>
            <w:tcW w:w="2221" w:type="dxa"/>
            <w:gridSpan w:val="3"/>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中环北路上游.下游</w:t>
            </w:r>
          </w:p>
        </w:tc>
        <w:tc>
          <w:tcPr>
            <w:tcW w:w="2491" w:type="dxa"/>
            <w:gridSpan w:val="2"/>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中环北路上游</w:t>
            </w:r>
          </w:p>
        </w:tc>
        <w:tc>
          <w:tcPr>
            <w:tcW w:w="2592" w:type="dxa"/>
            <w:gridSpan w:val="2"/>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中环北路下游</w:t>
            </w:r>
          </w:p>
        </w:tc>
        <w:tc>
          <w:tcPr>
            <w:tcW w:w="1625" w:type="dxa"/>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1311</w:t>
            </w:r>
          </w:p>
        </w:tc>
        <w:tc>
          <w:tcPr>
            <w:tcW w:w="1633" w:type="dxa"/>
            <w:gridSpan w:val="2"/>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6</w:t>
            </w:r>
          </w:p>
        </w:tc>
        <w:tc>
          <w:tcPr>
            <w:tcW w:w="2123" w:type="dxa"/>
            <w:gridSpan w:val="2"/>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7866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12635" w:type="dxa"/>
          <w:trHeight w:val="480" w:hRule="atLeast"/>
        </w:trPr>
        <w:tc>
          <w:tcPr>
            <w:tcW w:w="1019" w:type="dxa"/>
            <w:vMerge w:val="continue"/>
            <w:noWrap w:val="0"/>
            <w:textDirection w:val="tbRlV"/>
            <w:vAlign w:val="center"/>
          </w:tcPr>
          <w:p>
            <w:pPr>
              <w:jc w:val="center"/>
              <w:rPr>
                <w:rFonts w:hint="eastAsia" w:ascii="宋体" w:hAnsi="宋体" w:eastAsia="宋体" w:cs="宋体"/>
                <w:color w:val="FF0000"/>
                <w:sz w:val="24"/>
                <w:szCs w:val="24"/>
              </w:rPr>
            </w:pPr>
          </w:p>
        </w:tc>
        <w:tc>
          <w:tcPr>
            <w:tcW w:w="2221" w:type="dxa"/>
            <w:gridSpan w:val="3"/>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松树园新村</w:t>
            </w:r>
          </w:p>
        </w:tc>
        <w:tc>
          <w:tcPr>
            <w:tcW w:w="2491" w:type="dxa"/>
            <w:gridSpan w:val="2"/>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松树园坡上</w:t>
            </w:r>
          </w:p>
        </w:tc>
        <w:tc>
          <w:tcPr>
            <w:tcW w:w="2592" w:type="dxa"/>
            <w:gridSpan w:val="2"/>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中环北路后三排路口</w:t>
            </w:r>
          </w:p>
        </w:tc>
        <w:tc>
          <w:tcPr>
            <w:tcW w:w="1625" w:type="dxa"/>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1782</w:t>
            </w:r>
          </w:p>
        </w:tc>
        <w:tc>
          <w:tcPr>
            <w:tcW w:w="1633" w:type="dxa"/>
            <w:gridSpan w:val="2"/>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7</w:t>
            </w:r>
          </w:p>
        </w:tc>
        <w:tc>
          <w:tcPr>
            <w:tcW w:w="2123" w:type="dxa"/>
            <w:gridSpan w:val="2"/>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12474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12635" w:type="dxa"/>
          <w:trHeight w:val="550" w:hRule="atLeast"/>
        </w:trPr>
        <w:tc>
          <w:tcPr>
            <w:tcW w:w="1019" w:type="dxa"/>
            <w:vMerge w:val="continue"/>
            <w:noWrap w:val="0"/>
            <w:textDirection w:val="tbRlV"/>
            <w:vAlign w:val="center"/>
          </w:tcPr>
          <w:p>
            <w:pPr>
              <w:jc w:val="center"/>
              <w:rPr>
                <w:rFonts w:hint="eastAsia" w:ascii="宋体" w:hAnsi="宋体" w:eastAsia="宋体" w:cs="宋体"/>
                <w:color w:val="FF0000"/>
                <w:sz w:val="24"/>
                <w:szCs w:val="24"/>
              </w:rPr>
            </w:pPr>
          </w:p>
        </w:tc>
        <w:tc>
          <w:tcPr>
            <w:tcW w:w="2221" w:type="dxa"/>
            <w:gridSpan w:val="3"/>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车队集资楼.农业局宿舍及后排.城东幼儿园宿舍.观音村</w:t>
            </w:r>
          </w:p>
        </w:tc>
        <w:tc>
          <w:tcPr>
            <w:tcW w:w="2491" w:type="dxa"/>
            <w:gridSpan w:val="2"/>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车队集资楼</w:t>
            </w:r>
          </w:p>
        </w:tc>
        <w:tc>
          <w:tcPr>
            <w:tcW w:w="2592" w:type="dxa"/>
            <w:gridSpan w:val="2"/>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农业局宿舍及后排</w:t>
            </w:r>
          </w:p>
        </w:tc>
        <w:tc>
          <w:tcPr>
            <w:tcW w:w="1625" w:type="dxa"/>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1355</w:t>
            </w:r>
          </w:p>
        </w:tc>
        <w:tc>
          <w:tcPr>
            <w:tcW w:w="1633" w:type="dxa"/>
            <w:gridSpan w:val="2"/>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8</w:t>
            </w:r>
          </w:p>
        </w:tc>
        <w:tc>
          <w:tcPr>
            <w:tcW w:w="2123" w:type="dxa"/>
            <w:gridSpan w:val="2"/>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10840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12635" w:type="dxa"/>
          <w:trHeight w:val="640" w:hRule="atLeast"/>
        </w:trPr>
        <w:tc>
          <w:tcPr>
            <w:tcW w:w="1019" w:type="dxa"/>
            <w:vMerge w:val="continue"/>
            <w:noWrap w:val="0"/>
            <w:textDirection w:val="tbRlV"/>
            <w:vAlign w:val="center"/>
          </w:tcPr>
          <w:p>
            <w:pPr>
              <w:jc w:val="center"/>
              <w:rPr>
                <w:rFonts w:hint="eastAsia" w:ascii="宋体" w:hAnsi="宋体" w:eastAsia="宋体" w:cs="宋体"/>
                <w:color w:val="FF0000"/>
                <w:sz w:val="24"/>
                <w:szCs w:val="24"/>
              </w:rPr>
            </w:pPr>
          </w:p>
        </w:tc>
        <w:tc>
          <w:tcPr>
            <w:tcW w:w="2221" w:type="dxa"/>
            <w:gridSpan w:val="3"/>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农业新村.紫竹新村.紫竹村。</w:t>
            </w:r>
          </w:p>
        </w:tc>
        <w:tc>
          <w:tcPr>
            <w:tcW w:w="2491" w:type="dxa"/>
            <w:gridSpan w:val="2"/>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农业新村</w:t>
            </w:r>
          </w:p>
        </w:tc>
        <w:tc>
          <w:tcPr>
            <w:tcW w:w="2592" w:type="dxa"/>
            <w:gridSpan w:val="2"/>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紫竹村</w:t>
            </w:r>
          </w:p>
        </w:tc>
        <w:tc>
          <w:tcPr>
            <w:tcW w:w="1625" w:type="dxa"/>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1836</w:t>
            </w:r>
          </w:p>
        </w:tc>
        <w:tc>
          <w:tcPr>
            <w:tcW w:w="1633" w:type="dxa"/>
            <w:gridSpan w:val="2"/>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7</w:t>
            </w:r>
          </w:p>
        </w:tc>
        <w:tc>
          <w:tcPr>
            <w:tcW w:w="2123" w:type="dxa"/>
            <w:gridSpan w:val="2"/>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12852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12635" w:type="dxa"/>
          <w:trHeight w:val="480" w:hRule="atLeast"/>
        </w:trPr>
        <w:tc>
          <w:tcPr>
            <w:tcW w:w="1019" w:type="dxa"/>
            <w:vMerge w:val="restart"/>
            <w:noWrap w:val="0"/>
            <w:textDirection w:val="tbRlV"/>
            <w:vAlign w:val="center"/>
          </w:tcPr>
          <w:p>
            <w:pPr>
              <w:widowControl/>
              <w:jc w:val="center"/>
              <w:textAlignment w:val="center"/>
              <w:rPr>
                <w:rFonts w:hint="eastAsia" w:ascii="宋体" w:hAnsi="宋体" w:eastAsia="宋体" w:cs="宋体"/>
                <w:kern w:val="0"/>
                <w:sz w:val="24"/>
                <w:szCs w:val="24"/>
              </w:rPr>
            </w:pPr>
            <w:r>
              <w:rPr>
                <w:rFonts w:hint="eastAsia" w:ascii="宋体" w:hAnsi="宋体" w:eastAsia="宋体" w:cs="宋体"/>
                <w:kern w:val="0"/>
                <w:sz w:val="24"/>
                <w:szCs w:val="24"/>
              </w:rPr>
              <w:t>南街社区</w:t>
            </w:r>
          </w:p>
        </w:tc>
        <w:tc>
          <w:tcPr>
            <w:tcW w:w="2221" w:type="dxa"/>
            <w:gridSpan w:val="3"/>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新建一村、南大街</w:t>
            </w:r>
          </w:p>
        </w:tc>
        <w:tc>
          <w:tcPr>
            <w:tcW w:w="2491" w:type="dxa"/>
            <w:gridSpan w:val="2"/>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附小</w:t>
            </w:r>
          </w:p>
        </w:tc>
        <w:tc>
          <w:tcPr>
            <w:tcW w:w="2592" w:type="dxa"/>
            <w:gridSpan w:val="2"/>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新建一村1号</w:t>
            </w:r>
          </w:p>
        </w:tc>
        <w:tc>
          <w:tcPr>
            <w:tcW w:w="1625" w:type="dxa"/>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1638.4</w:t>
            </w:r>
          </w:p>
        </w:tc>
        <w:tc>
          <w:tcPr>
            <w:tcW w:w="1633" w:type="dxa"/>
            <w:gridSpan w:val="2"/>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2.5</w:t>
            </w:r>
          </w:p>
        </w:tc>
        <w:tc>
          <w:tcPr>
            <w:tcW w:w="2123" w:type="dxa"/>
            <w:gridSpan w:val="2"/>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4096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12635" w:type="dxa"/>
          <w:trHeight w:val="480" w:hRule="atLeast"/>
        </w:trPr>
        <w:tc>
          <w:tcPr>
            <w:tcW w:w="1019" w:type="dxa"/>
            <w:vMerge w:val="continue"/>
            <w:noWrap w:val="0"/>
            <w:textDirection w:val="tbRlV"/>
            <w:vAlign w:val="center"/>
          </w:tcPr>
          <w:p>
            <w:pPr>
              <w:widowControl/>
              <w:jc w:val="center"/>
              <w:textAlignment w:val="center"/>
              <w:rPr>
                <w:rFonts w:hint="eastAsia" w:ascii="宋体" w:hAnsi="宋体" w:eastAsia="宋体" w:cs="宋体"/>
                <w:kern w:val="0"/>
                <w:sz w:val="24"/>
                <w:szCs w:val="24"/>
              </w:rPr>
            </w:pPr>
          </w:p>
        </w:tc>
        <w:tc>
          <w:tcPr>
            <w:tcW w:w="2221" w:type="dxa"/>
            <w:gridSpan w:val="3"/>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立新弄</w:t>
            </w:r>
          </w:p>
        </w:tc>
        <w:tc>
          <w:tcPr>
            <w:tcW w:w="2491" w:type="dxa"/>
            <w:gridSpan w:val="2"/>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永虹弄7号</w:t>
            </w:r>
          </w:p>
        </w:tc>
        <w:tc>
          <w:tcPr>
            <w:tcW w:w="2592" w:type="dxa"/>
            <w:gridSpan w:val="2"/>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江滨路1号</w:t>
            </w:r>
          </w:p>
        </w:tc>
        <w:tc>
          <w:tcPr>
            <w:tcW w:w="1625" w:type="dxa"/>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1304.4</w:t>
            </w:r>
          </w:p>
        </w:tc>
        <w:tc>
          <w:tcPr>
            <w:tcW w:w="1633" w:type="dxa"/>
            <w:gridSpan w:val="2"/>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2.5</w:t>
            </w:r>
          </w:p>
        </w:tc>
        <w:tc>
          <w:tcPr>
            <w:tcW w:w="2123" w:type="dxa"/>
            <w:gridSpan w:val="2"/>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3261.1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12635" w:type="dxa"/>
          <w:trHeight w:val="480" w:hRule="atLeast"/>
        </w:trPr>
        <w:tc>
          <w:tcPr>
            <w:tcW w:w="1019" w:type="dxa"/>
            <w:vMerge w:val="continue"/>
            <w:noWrap w:val="0"/>
            <w:textDirection w:val="tbRlV"/>
            <w:vAlign w:val="center"/>
          </w:tcPr>
          <w:p>
            <w:pPr>
              <w:widowControl/>
              <w:jc w:val="center"/>
              <w:textAlignment w:val="center"/>
              <w:rPr>
                <w:rFonts w:hint="eastAsia" w:ascii="宋体" w:hAnsi="宋体" w:eastAsia="宋体" w:cs="宋体"/>
                <w:kern w:val="0"/>
                <w:sz w:val="24"/>
                <w:szCs w:val="24"/>
              </w:rPr>
            </w:pPr>
          </w:p>
        </w:tc>
        <w:tc>
          <w:tcPr>
            <w:tcW w:w="2221" w:type="dxa"/>
            <w:gridSpan w:val="3"/>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红专弄、新街弄、塔街弄、永虹弄</w:t>
            </w:r>
          </w:p>
        </w:tc>
        <w:tc>
          <w:tcPr>
            <w:tcW w:w="2491" w:type="dxa"/>
            <w:gridSpan w:val="2"/>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新街弄1号</w:t>
            </w:r>
          </w:p>
        </w:tc>
        <w:tc>
          <w:tcPr>
            <w:tcW w:w="2592" w:type="dxa"/>
            <w:gridSpan w:val="2"/>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永虹弄7号</w:t>
            </w:r>
          </w:p>
        </w:tc>
        <w:tc>
          <w:tcPr>
            <w:tcW w:w="1625" w:type="dxa"/>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2508.8</w:t>
            </w:r>
          </w:p>
        </w:tc>
        <w:tc>
          <w:tcPr>
            <w:tcW w:w="1633" w:type="dxa"/>
            <w:gridSpan w:val="2"/>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2.5</w:t>
            </w:r>
          </w:p>
        </w:tc>
        <w:tc>
          <w:tcPr>
            <w:tcW w:w="2123" w:type="dxa"/>
            <w:gridSpan w:val="2"/>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6272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12635" w:type="dxa"/>
          <w:trHeight w:val="700" w:hRule="atLeast"/>
        </w:trPr>
        <w:tc>
          <w:tcPr>
            <w:tcW w:w="1019" w:type="dxa"/>
            <w:vMerge w:val="continue"/>
            <w:noWrap w:val="0"/>
            <w:textDirection w:val="tbRlV"/>
            <w:vAlign w:val="center"/>
          </w:tcPr>
          <w:p>
            <w:pPr>
              <w:widowControl/>
              <w:jc w:val="center"/>
              <w:textAlignment w:val="center"/>
              <w:rPr>
                <w:rFonts w:hint="eastAsia" w:ascii="宋体" w:hAnsi="宋体" w:eastAsia="宋体" w:cs="宋体"/>
                <w:kern w:val="0"/>
                <w:sz w:val="24"/>
                <w:szCs w:val="24"/>
              </w:rPr>
            </w:pPr>
          </w:p>
        </w:tc>
        <w:tc>
          <w:tcPr>
            <w:tcW w:w="2221" w:type="dxa"/>
            <w:gridSpan w:val="3"/>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五家山、西大一路</w:t>
            </w:r>
          </w:p>
        </w:tc>
        <w:tc>
          <w:tcPr>
            <w:tcW w:w="2491" w:type="dxa"/>
            <w:gridSpan w:val="2"/>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夏商百货后面</w:t>
            </w:r>
          </w:p>
        </w:tc>
        <w:tc>
          <w:tcPr>
            <w:tcW w:w="2592" w:type="dxa"/>
            <w:gridSpan w:val="2"/>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五家山</w:t>
            </w:r>
          </w:p>
        </w:tc>
        <w:tc>
          <w:tcPr>
            <w:tcW w:w="1625" w:type="dxa"/>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1035</w:t>
            </w:r>
          </w:p>
        </w:tc>
        <w:tc>
          <w:tcPr>
            <w:tcW w:w="1633" w:type="dxa"/>
            <w:gridSpan w:val="2"/>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5</w:t>
            </w:r>
          </w:p>
        </w:tc>
        <w:tc>
          <w:tcPr>
            <w:tcW w:w="2123" w:type="dxa"/>
            <w:gridSpan w:val="2"/>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5157.08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12635" w:type="dxa"/>
          <w:trHeight w:val="570" w:hRule="atLeast"/>
        </w:trPr>
        <w:tc>
          <w:tcPr>
            <w:tcW w:w="1019" w:type="dxa"/>
            <w:vMerge w:val="continue"/>
            <w:noWrap w:val="0"/>
            <w:textDirection w:val="tbRlV"/>
            <w:vAlign w:val="center"/>
          </w:tcPr>
          <w:p>
            <w:pPr>
              <w:widowControl/>
              <w:jc w:val="center"/>
              <w:textAlignment w:val="center"/>
              <w:rPr>
                <w:rFonts w:hint="eastAsia" w:ascii="宋体" w:hAnsi="宋体" w:eastAsia="宋体" w:cs="宋体"/>
                <w:kern w:val="0"/>
                <w:sz w:val="24"/>
                <w:szCs w:val="24"/>
              </w:rPr>
            </w:pPr>
          </w:p>
        </w:tc>
        <w:tc>
          <w:tcPr>
            <w:tcW w:w="2221" w:type="dxa"/>
            <w:gridSpan w:val="3"/>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新桥二路</w:t>
            </w:r>
          </w:p>
        </w:tc>
        <w:tc>
          <w:tcPr>
            <w:tcW w:w="2491" w:type="dxa"/>
            <w:gridSpan w:val="2"/>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翠友日杂边上弄子</w:t>
            </w:r>
          </w:p>
        </w:tc>
        <w:tc>
          <w:tcPr>
            <w:tcW w:w="2592" w:type="dxa"/>
            <w:gridSpan w:val="2"/>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烟草公司边上弄子</w:t>
            </w:r>
          </w:p>
        </w:tc>
        <w:tc>
          <w:tcPr>
            <w:tcW w:w="1625" w:type="dxa"/>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2454.6</w:t>
            </w:r>
          </w:p>
        </w:tc>
        <w:tc>
          <w:tcPr>
            <w:tcW w:w="1633" w:type="dxa"/>
            <w:gridSpan w:val="2"/>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3.5</w:t>
            </w:r>
          </w:p>
        </w:tc>
        <w:tc>
          <w:tcPr>
            <w:tcW w:w="2123" w:type="dxa"/>
            <w:gridSpan w:val="2"/>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8591.17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12635" w:type="dxa"/>
          <w:trHeight w:val="480" w:hRule="atLeast"/>
        </w:trPr>
        <w:tc>
          <w:tcPr>
            <w:tcW w:w="1019" w:type="dxa"/>
            <w:vMerge w:val="continue"/>
            <w:noWrap w:val="0"/>
            <w:textDirection w:val="tbRlV"/>
            <w:vAlign w:val="center"/>
          </w:tcPr>
          <w:p>
            <w:pPr>
              <w:widowControl/>
              <w:jc w:val="center"/>
              <w:textAlignment w:val="center"/>
              <w:rPr>
                <w:rFonts w:hint="eastAsia" w:ascii="宋体" w:hAnsi="宋体" w:eastAsia="宋体" w:cs="宋体"/>
                <w:kern w:val="0"/>
                <w:sz w:val="24"/>
                <w:szCs w:val="24"/>
              </w:rPr>
            </w:pPr>
          </w:p>
        </w:tc>
        <w:tc>
          <w:tcPr>
            <w:tcW w:w="2221" w:type="dxa"/>
            <w:gridSpan w:val="3"/>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林业新村</w:t>
            </w:r>
          </w:p>
        </w:tc>
        <w:tc>
          <w:tcPr>
            <w:tcW w:w="2491" w:type="dxa"/>
            <w:gridSpan w:val="2"/>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林业新村34号</w:t>
            </w:r>
          </w:p>
        </w:tc>
        <w:tc>
          <w:tcPr>
            <w:tcW w:w="2592" w:type="dxa"/>
            <w:gridSpan w:val="2"/>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林业新村88号</w:t>
            </w:r>
          </w:p>
        </w:tc>
        <w:tc>
          <w:tcPr>
            <w:tcW w:w="1625" w:type="dxa"/>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1568.2</w:t>
            </w:r>
          </w:p>
        </w:tc>
        <w:tc>
          <w:tcPr>
            <w:tcW w:w="1633" w:type="dxa"/>
            <w:gridSpan w:val="2"/>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4.5</w:t>
            </w:r>
          </w:p>
        </w:tc>
        <w:tc>
          <w:tcPr>
            <w:tcW w:w="2123" w:type="dxa"/>
            <w:gridSpan w:val="2"/>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7056.69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12635" w:type="dxa"/>
          <w:trHeight w:val="480" w:hRule="atLeast"/>
        </w:trPr>
        <w:tc>
          <w:tcPr>
            <w:tcW w:w="1019" w:type="dxa"/>
            <w:vMerge w:val="continue"/>
            <w:noWrap w:val="0"/>
            <w:textDirection w:val="tbRlV"/>
            <w:vAlign w:val="center"/>
          </w:tcPr>
          <w:p>
            <w:pPr>
              <w:widowControl/>
              <w:jc w:val="center"/>
              <w:textAlignment w:val="center"/>
              <w:rPr>
                <w:rFonts w:hint="eastAsia" w:ascii="宋体" w:hAnsi="宋体" w:eastAsia="宋体" w:cs="宋体"/>
                <w:kern w:val="0"/>
                <w:sz w:val="24"/>
                <w:szCs w:val="24"/>
              </w:rPr>
            </w:pPr>
          </w:p>
        </w:tc>
        <w:tc>
          <w:tcPr>
            <w:tcW w:w="2221" w:type="dxa"/>
            <w:gridSpan w:val="3"/>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新建二村外段</w:t>
            </w:r>
          </w:p>
        </w:tc>
        <w:tc>
          <w:tcPr>
            <w:tcW w:w="2491" w:type="dxa"/>
            <w:gridSpan w:val="2"/>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县车站宿舍</w:t>
            </w:r>
          </w:p>
        </w:tc>
        <w:tc>
          <w:tcPr>
            <w:tcW w:w="2592" w:type="dxa"/>
            <w:gridSpan w:val="2"/>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新建二村80号</w:t>
            </w:r>
          </w:p>
        </w:tc>
        <w:tc>
          <w:tcPr>
            <w:tcW w:w="1625" w:type="dxa"/>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1077.6</w:t>
            </w:r>
          </w:p>
        </w:tc>
        <w:tc>
          <w:tcPr>
            <w:tcW w:w="1633" w:type="dxa"/>
            <w:gridSpan w:val="2"/>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3</w:t>
            </w:r>
          </w:p>
        </w:tc>
        <w:tc>
          <w:tcPr>
            <w:tcW w:w="2123" w:type="dxa"/>
            <w:gridSpan w:val="2"/>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3232.8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12635" w:type="dxa"/>
          <w:trHeight w:val="480" w:hRule="atLeast"/>
        </w:trPr>
        <w:tc>
          <w:tcPr>
            <w:tcW w:w="1019" w:type="dxa"/>
            <w:vMerge w:val="continue"/>
            <w:noWrap w:val="0"/>
            <w:textDirection w:val="tbRlV"/>
            <w:vAlign w:val="center"/>
          </w:tcPr>
          <w:p>
            <w:pPr>
              <w:widowControl/>
              <w:jc w:val="center"/>
              <w:textAlignment w:val="center"/>
              <w:rPr>
                <w:rFonts w:hint="eastAsia" w:ascii="宋体" w:hAnsi="宋体" w:eastAsia="宋体" w:cs="宋体"/>
                <w:kern w:val="0"/>
                <w:sz w:val="24"/>
                <w:szCs w:val="24"/>
              </w:rPr>
            </w:pPr>
          </w:p>
        </w:tc>
        <w:tc>
          <w:tcPr>
            <w:tcW w:w="2221" w:type="dxa"/>
            <w:gridSpan w:val="3"/>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新建二村内段</w:t>
            </w:r>
          </w:p>
        </w:tc>
        <w:tc>
          <w:tcPr>
            <w:tcW w:w="2491" w:type="dxa"/>
            <w:gridSpan w:val="2"/>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新建二村81号</w:t>
            </w:r>
          </w:p>
        </w:tc>
        <w:tc>
          <w:tcPr>
            <w:tcW w:w="2592" w:type="dxa"/>
            <w:gridSpan w:val="2"/>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新建二村188号</w:t>
            </w:r>
          </w:p>
        </w:tc>
        <w:tc>
          <w:tcPr>
            <w:tcW w:w="1625" w:type="dxa"/>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1406.8</w:t>
            </w:r>
          </w:p>
        </w:tc>
        <w:tc>
          <w:tcPr>
            <w:tcW w:w="1633" w:type="dxa"/>
            <w:gridSpan w:val="2"/>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3</w:t>
            </w:r>
          </w:p>
        </w:tc>
        <w:tc>
          <w:tcPr>
            <w:tcW w:w="2123" w:type="dxa"/>
            <w:gridSpan w:val="2"/>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4220.3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12635" w:type="dxa"/>
          <w:trHeight w:val="480" w:hRule="atLeast"/>
        </w:trPr>
        <w:tc>
          <w:tcPr>
            <w:tcW w:w="1019" w:type="dxa"/>
            <w:vMerge w:val="restart"/>
            <w:noWrap w:val="0"/>
            <w:textDirection w:val="tbRlV"/>
            <w:vAlign w:val="center"/>
          </w:tcPr>
          <w:p>
            <w:pPr>
              <w:widowControl/>
              <w:jc w:val="center"/>
              <w:textAlignment w:val="center"/>
              <w:rPr>
                <w:rFonts w:hint="eastAsia" w:ascii="宋体" w:hAnsi="宋体" w:eastAsia="宋体" w:cs="宋体"/>
                <w:kern w:val="0"/>
                <w:sz w:val="24"/>
                <w:szCs w:val="24"/>
              </w:rPr>
            </w:pPr>
            <w:r>
              <w:rPr>
                <w:rFonts w:hint="eastAsia" w:ascii="宋体" w:hAnsi="宋体" w:eastAsia="宋体" w:cs="宋体"/>
                <w:kern w:val="0"/>
                <w:sz w:val="24"/>
                <w:szCs w:val="24"/>
              </w:rPr>
              <w:t>红卫社区</w:t>
            </w:r>
          </w:p>
        </w:tc>
        <w:tc>
          <w:tcPr>
            <w:tcW w:w="2221" w:type="dxa"/>
            <w:gridSpan w:val="3"/>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红色巷</w:t>
            </w:r>
          </w:p>
        </w:tc>
        <w:tc>
          <w:tcPr>
            <w:tcW w:w="2491" w:type="dxa"/>
            <w:gridSpan w:val="2"/>
            <w:noWrap w:val="0"/>
            <w:vAlign w:val="center"/>
          </w:tcPr>
          <w:p>
            <w:pPr>
              <w:jc w:val="center"/>
              <w:rPr>
                <w:rFonts w:hint="eastAsia" w:ascii="宋体" w:hAnsi="宋体" w:eastAsia="宋体" w:cs="宋体"/>
                <w:sz w:val="24"/>
                <w:szCs w:val="24"/>
              </w:rPr>
            </w:pPr>
            <w:r>
              <w:rPr>
                <w:rFonts w:hint="eastAsia" w:ascii="宋体" w:hAnsi="宋体" w:cs="宋体"/>
                <w:sz w:val="24"/>
                <w:szCs w:val="24"/>
                <w:lang w:val="en-US" w:eastAsia="zh-CN"/>
              </w:rPr>
              <w:t>/</w:t>
            </w:r>
          </w:p>
        </w:tc>
        <w:tc>
          <w:tcPr>
            <w:tcW w:w="2592" w:type="dxa"/>
            <w:gridSpan w:val="2"/>
            <w:noWrap w:val="0"/>
            <w:vAlign w:val="center"/>
          </w:tcPr>
          <w:p>
            <w:pPr>
              <w:jc w:val="center"/>
              <w:rPr>
                <w:rFonts w:hint="eastAsia" w:ascii="宋体" w:hAnsi="宋体" w:eastAsia="宋体" w:cs="宋体"/>
                <w:sz w:val="24"/>
                <w:szCs w:val="24"/>
              </w:rPr>
            </w:pPr>
            <w:r>
              <w:rPr>
                <w:rFonts w:hint="eastAsia" w:ascii="宋体" w:hAnsi="宋体" w:cs="宋体"/>
                <w:sz w:val="24"/>
                <w:szCs w:val="24"/>
                <w:lang w:val="en-US" w:eastAsia="zh-CN"/>
              </w:rPr>
              <w:t>/</w:t>
            </w:r>
          </w:p>
        </w:tc>
        <w:tc>
          <w:tcPr>
            <w:tcW w:w="1625" w:type="dxa"/>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883.67</w:t>
            </w:r>
          </w:p>
        </w:tc>
        <w:tc>
          <w:tcPr>
            <w:tcW w:w="1633" w:type="dxa"/>
            <w:gridSpan w:val="2"/>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3</w:t>
            </w:r>
          </w:p>
        </w:tc>
        <w:tc>
          <w:tcPr>
            <w:tcW w:w="2123" w:type="dxa"/>
            <w:gridSpan w:val="2"/>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2651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12635" w:type="dxa"/>
          <w:trHeight w:val="480" w:hRule="atLeast"/>
        </w:trPr>
        <w:tc>
          <w:tcPr>
            <w:tcW w:w="1019" w:type="dxa"/>
            <w:vMerge w:val="continue"/>
            <w:noWrap w:val="0"/>
            <w:textDirection w:val="tbRlV"/>
            <w:vAlign w:val="center"/>
          </w:tcPr>
          <w:p>
            <w:pPr>
              <w:jc w:val="center"/>
              <w:rPr>
                <w:rFonts w:hint="eastAsia" w:ascii="宋体" w:hAnsi="宋体" w:eastAsia="宋体" w:cs="宋体"/>
                <w:color w:val="FF0000"/>
                <w:sz w:val="24"/>
                <w:szCs w:val="24"/>
              </w:rPr>
            </w:pPr>
          </w:p>
        </w:tc>
        <w:tc>
          <w:tcPr>
            <w:tcW w:w="2221" w:type="dxa"/>
            <w:gridSpan w:val="3"/>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太平巷</w:t>
            </w:r>
          </w:p>
        </w:tc>
        <w:tc>
          <w:tcPr>
            <w:tcW w:w="2491" w:type="dxa"/>
            <w:gridSpan w:val="2"/>
            <w:noWrap w:val="0"/>
            <w:vAlign w:val="center"/>
          </w:tcPr>
          <w:p>
            <w:pPr>
              <w:jc w:val="center"/>
              <w:rPr>
                <w:rFonts w:hint="eastAsia" w:ascii="宋体" w:hAnsi="宋体" w:eastAsia="宋体" w:cs="宋体"/>
                <w:sz w:val="24"/>
                <w:szCs w:val="24"/>
              </w:rPr>
            </w:pPr>
            <w:r>
              <w:rPr>
                <w:rFonts w:hint="eastAsia" w:ascii="宋体" w:hAnsi="宋体" w:cs="宋体"/>
                <w:sz w:val="24"/>
                <w:szCs w:val="24"/>
                <w:lang w:val="en-US" w:eastAsia="zh-CN"/>
              </w:rPr>
              <w:t>/</w:t>
            </w:r>
          </w:p>
        </w:tc>
        <w:tc>
          <w:tcPr>
            <w:tcW w:w="2592" w:type="dxa"/>
            <w:gridSpan w:val="2"/>
            <w:noWrap w:val="0"/>
            <w:vAlign w:val="center"/>
          </w:tcPr>
          <w:p>
            <w:pPr>
              <w:jc w:val="center"/>
              <w:rPr>
                <w:rFonts w:hint="eastAsia" w:ascii="宋体" w:hAnsi="宋体" w:eastAsia="宋体" w:cs="宋体"/>
                <w:sz w:val="24"/>
                <w:szCs w:val="24"/>
              </w:rPr>
            </w:pPr>
            <w:r>
              <w:rPr>
                <w:rFonts w:hint="eastAsia" w:ascii="宋体" w:hAnsi="宋体" w:cs="宋体"/>
                <w:sz w:val="24"/>
                <w:szCs w:val="24"/>
                <w:lang w:val="en-US" w:eastAsia="zh-CN"/>
              </w:rPr>
              <w:t>/</w:t>
            </w:r>
          </w:p>
        </w:tc>
        <w:tc>
          <w:tcPr>
            <w:tcW w:w="1625" w:type="dxa"/>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719.7</w:t>
            </w:r>
          </w:p>
        </w:tc>
        <w:tc>
          <w:tcPr>
            <w:tcW w:w="1633" w:type="dxa"/>
            <w:gridSpan w:val="2"/>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3</w:t>
            </w:r>
          </w:p>
        </w:tc>
        <w:tc>
          <w:tcPr>
            <w:tcW w:w="2123" w:type="dxa"/>
            <w:gridSpan w:val="2"/>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2159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12635" w:type="dxa"/>
          <w:trHeight w:val="482" w:hRule="atLeast"/>
        </w:trPr>
        <w:tc>
          <w:tcPr>
            <w:tcW w:w="1019" w:type="dxa"/>
            <w:vMerge w:val="continue"/>
            <w:noWrap w:val="0"/>
            <w:textDirection w:val="tbRlV"/>
            <w:vAlign w:val="center"/>
          </w:tcPr>
          <w:p>
            <w:pPr>
              <w:jc w:val="center"/>
              <w:rPr>
                <w:rFonts w:hint="eastAsia" w:ascii="宋体" w:hAnsi="宋体" w:eastAsia="宋体" w:cs="宋体"/>
                <w:color w:val="FF0000"/>
                <w:sz w:val="24"/>
                <w:szCs w:val="24"/>
              </w:rPr>
            </w:pPr>
          </w:p>
        </w:tc>
        <w:tc>
          <w:tcPr>
            <w:tcW w:w="2221" w:type="dxa"/>
            <w:gridSpan w:val="3"/>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北大街两侧</w:t>
            </w:r>
          </w:p>
        </w:tc>
        <w:tc>
          <w:tcPr>
            <w:tcW w:w="2491" w:type="dxa"/>
            <w:gridSpan w:val="2"/>
            <w:noWrap w:val="0"/>
            <w:vAlign w:val="center"/>
          </w:tcPr>
          <w:p>
            <w:pPr>
              <w:jc w:val="center"/>
              <w:rPr>
                <w:rFonts w:hint="eastAsia" w:ascii="宋体" w:hAnsi="宋体" w:eastAsia="宋体" w:cs="宋体"/>
                <w:sz w:val="24"/>
                <w:szCs w:val="24"/>
              </w:rPr>
            </w:pPr>
            <w:r>
              <w:rPr>
                <w:rFonts w:hint="eastAsia" w:ascii="宋体" w:hAnsi="宋体" w:cs="宋体"/>
                <w:sz w:val="24"/>
                <w:szCs w:val="24"/>
                <w:lang w:val="en-US" w:eastAsia="zh-CN"/>
              </w:rPr>
              <w:t>/</w:t>
            </w:r>
          </w:p>
        </w:tc>
        <w:tc>
          <w:tcPr>
            <w:tcW w:w="2592" w:type="dxa"/>
            <w:gridSpan w:val="2"/>
            <w:noWrap w:val="0"/>
            <w:vAlign w:val="center"/>
          </w:tcPr>
          <w:p>
            <w:pPr>
              <w:jc w:val="center"/>
              <w:rPr>
                <w:rFonts w:hint="eastAsia" w:ascii="宋体" w:hAnsi="宋体" w:eastAsia="宋体" w:cs="宋体"/>
                <w:sz w:val="24"/>
                <w:szCs w:val="24"/>
              </w:rPr>
            </w:pPr>
            <w:r>
              <w:rPr>
                <w:rFonts w:hint="eastAsia" w:ascii="宋体" w:hAnsi="宋体" w:cs="宋体"/>
                <w:sz w:val="24"/>
                <w:szCs w:val="24"/>
                <w:lang w:val="en-US" w:eastAsia="zh-CN"/>
              </w:rPr>
              <w:t>/</w:t>
            </w:r>
          </w:p>
        </w:tc>
        <w:tc>
          <w:tcPr>
            <w:tcW w:w="1625" w:type="dxa"/>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452</w:t>
            </w:r>
          </w:p>
        </w:tc>
        <w:tc>
          <w:tcPr>
            <w:tcW w:w="1633" w:type="dxa"/>
            <w:gridSpan w:val="2"/>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2</w:t>
            </w:r>
          </w:p>
        </w:tc>
        <w:tc>
          <w:tcPr>
            <w:tcW w:w="2123" w:type="dxa"/>
            <w:gridSpan w:val="2"/>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904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12635" w:type="dxa"/>
          <w:trHeight w:val="480" w:hRule="atLeast"/>
        </w:trPr>
        <w:tc>
          <w:tcPr>
            <w:tcW w:w="1019" w:type="dxa"/>
            <w:vMerge w:val="continue"/>
            <w:noWrap w:val="0"/>
            <w:textDirection w:val="tbRlV"/>
            <w:vAlign w:val="center"/>
          </w:tcPr>
          <w:p>
            <w:pPr>
              <w:jc w:val="center"/>
              <w:rPr>
                <w:rFonts w:hint="eastAsia" w:ascii="宋体" w:hAnsi="宋体" w:eastAsia="宋体" w:cs="宋体"/>
                <w:color w:val="FF0000"/>
                <w:sz w:val="24"/>
                <w:szCs w:val="24"/>
              </w:rPr>
            </w:pPr>
          </w:p>
        </w:tc>
        <w:tc>
          <w:tcPr>
            <w:tcW w:w="2221" w:type="dxa"/>
            <w:gridSpan w:val="3"/>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角头街</w:t>
            </w:r>
          </w:p>
        </w:tc>
        <w:tc>
          <w:tcPr>
            <w:tcW w:w="2491" w:type="dxa"/>
            <w:gridSpan w:val="2"/>
            <w:noWrap w:val="0"/>
            <w:vAlign w:val="center"/>
          </w:tcPr>
          <w:p>
            <w:pPr>
              <w:jc w:val="center"/>
              <w:rPr>
                <w:rFonts w:hint="eastAsia" w:ascii="宋体" w:hAnsi="宋体" w:eastAsia="宋体" w:cs="宋体"/>
                <w:sz w:val="24"/>
                <w:szCs w:val="24"/>
              </w:rPr>
            </w:pPr>
            <w:r>
              <w:rPr>
                <w:rFonts w:hint="eastAsia" w:ascii="宋体" w:hAnsi="宋体" w:cs="宋体"/>
                <w:sz w:val="24"/>
                <w:szCs w:val="24"/>
                <w:lang w:val="en-US" w:eastAsia="zh-CN"/>
              </w:rPr>
              <w:t>/</w:t>
            </w:r>
          </w:p>
        </w:tc>
        <w:tc>
          <w:tcPr>
            <w:tcW w:w="2592" w:type="dxa"/>
            <w:gridSpan w:val="2"/>
            <w:noWrap w:val="0"/>
            <w:vAlign w:val="center"/>
          </w:tcPr>
          <w:p>
            <w:pPr>
              <w:jc w:val="center"/>
              <w:rPr>
                <w:rFonts w:hint="eastAsia" w:ascii="宋体" w:hAnsi="宋体" w:eastAsia="宋体" w:cs="宋体"/>
                <w:sz w:val="24"/>
                <w:szCs w:val="24"/>
              </w:rPr>
            </w:pPr>
            <w:r>
              <w:rPr>
                <w:rFonts w:hint="eastAsia" w:ascii="宋体" w:hAnsi="宋体" w:cs="宋体"/>
                <w:sz w:val="24"/>
                <w:szCs w:val="24"/>
                <w:lang w:val="en-US" w:eastAsia="zh-CN"/>
              </w:rPr>
              <w:t>/</w:t>
            </w:r>
          </w:p>
        </w:tc>
        <w:tc>
          <w:tcPr>
            <w:tcW w:w="1625" w:type="dxa"/>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2022</w:t>
            </w:r>
          </w:p>
        </w:tc>
        <w:tc>
          <w:tcPr>
            <w:tcW w:w="1633" w:type="dxa"/>
            <w:gridSpan w:val="2"/>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3</w:t>
            </w:r>
          </w:p>
        </w:tc>
        <w:tc>
          <w:tcPr>
            <w:tcW w:w="2123" w:type="dxa"/>
            <w:gridSpan w:val="2"/>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6066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12635" w:type="dxa"/>
          <w:trHeight w:val="480" w:hRule="atLeast"/>
        </w:trPr>
        <w:tc>
          <w:tcPr>
            <w:tcW w:w="1019" w:type="dxa"/>
            <w:vMerge w:val="continue"/>
            <w:noWrap w:val="0"/>
            <w:textDirection w:val="tbRlV"/>
            <w:vAlign w:val="center"/>
          </w:tcPr>
          <w:p>
            <w:pPr>
              <w:jc w:val="center"/>
              <w:rPr>
                <w:rFonts w:hint="eastAsia" w:ascii="宋体" w:hAnsi="宋体" w:eastAsia="宋体" w:cs="宋体"/>
                <w:color w:val="FF0000"/>
                <w:sz w:val="24"/>
                <w:szCs w:val="24"/>
              </w:rPr>
            </w:pPr>
          </w:p>
        </w:tc>
        <w:tc>
          <w:tcPr>
            <w:tcW w:w="2221" w:type="dxa"/>
            <w:gridSpan w:val="3"/>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五星路</w:t>
            </w:r>
          </w:p>
        </w:tc>
        <w:tc>
          <w:tcPr>
            <w:tcW w:w="2491" w:type="dxa"/>
            <w:gridSpan w:val="2"/>
            <w:noWrap w:val="0"/>
            <w:vAlign w:val="center"/>
          </w:tcPr>
          <w:p>
            <w:pPr>
              <w:jc w:val="center"/>
              <w:rPr>
                <w:rFonts w:hint="eastAsia" w:ascii="宋体" w:hAnsi="宋体" w:eastAsia="宋体" w:cs="宋体"/>
                <w:sz w:val="24"/>
                <w:szCs w:val="24"/>
              </w:rPr>
            </w:pPr>
            <w:r>
              <w:rPr>
                <w:rFonts w:hint="eastAsia" w:ascii="宋体" w:hAnsi="宋体" w:cs="宋体"/>
                <w:sz w:val="24"/>
                <w:szCs w:val="24"/>
                <w:lang w:val="en-US" w:eastAsia="zh-CN"/>
              </w:rPr>
              <w:t>/</w:t>
            </w:r>
          </w:p>
        </w:tc>
        <w:tc>
          <w:tcPr>
            <w:tcW w:w="2592" w:type="dxa"/>
            <w:gridSpan w:val="2"/>
            <w:noWrap w:val="0"/>
            <w:vAlign w:val="center"/>
          </w:tcPr>
          <w:p>
            <w:pPr>
              <w:jc w:val="center"/>
              <w:rPr>
                <w:rFonts w:hint="eastAsia" w:ascii="宋体" w:hAnsi="宋体" w:eastAsia="宋体" w:cs="宋体"/>
                <w:sz w:val="24"/>
                <w:szCs w:val="24"/>
              </w:rPr>
            </w:pPr>
            <w:r>
              <w:rPr>
                <w:rFonts w:hint="eastAsia" w:ascii="宋体" w:hAnsi="宋体" w:cs="宋体"/>
                <w:sz w:val="24"/>
                <w:szCs w:val="24"/>
                <w:lang w:val="en-US" w:eastAsia="zh-CN"/>
              </w:rPr>
              <w:t>/</w:t>
            </w:r>
          </w:p>
        </w:tc>
        <w:tc>
          <w:tcPr>
            <w:tcW w:w="1625" w:type="dxa"/>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50</w:t>
            </w:r>
          </w:p>
        </w:tc>
        <w:tc>
          <w:tcPr>
            <w:tcW w:w="1633" w:type="dxa"/>
            <w:gridSpan w:val="2"/>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4</w:t>
            </w:r>
          </w:p>
        </w:tc>
        <w:tc>
          <w:tcPr>
            <w:tcW w:w="2123" w:type="dxa"/>
            <w:gridSpan w:val="2"/>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12635" w:type="dxa"/>
          <w:trHeight w:val="480" w:hRule="atLeast"/>
        </w:trPr>
        <w:tc>
          <w:tcPr>
            <w:tcW w:w="1019" w:type="dxa"/>
            <w:vMerge w:val="continue"/>
            <w:noWrap w:val="0"/>
            <w:textDirection w:val="tbRlV"/>
            <w:vAlign w:val="center"/>
          </w:tcPr>
          <w:p>
            <w:pPr>
              <w:jc w:val="center"/>
              <w:rPr>
                <w:rFonts w:hint="eastAsia" w:ascii="宋体" w:hAnsi="宋体" w:eastAsia="宋体" w:cs="宋体"/>
                <w:color w:val="FF0000"/>
                <w:sz w:val="24"/>
                <w:szCs w:val="24"/>
              </w:rPr>
            </w:pPr>
          </w:p>
        </w:tc>
        <w:tc>
          <w:tcPr>
            <w:tcW w:w="2221" w:type="dxa"/>
            <w:gridSpan w:val="3"/>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花心街</w:t>
            </w:r>
          </w:p>
        </w:tc>
        <w:tc>
          <w:tcPr>
            <w:tcW w:w="2491" w:type="dxa"/>
            <w:gridSpan w:val="2"/>
            <w:noWrap w:val="0"/>
            <w:vAlign w:val="center"/>
          </w:tcPr>
          <w:p>
            <w:pPr>
              <w:jc w:val="center"/>
              <w:rPr>
                <w:rFonts w:hint="eastAsia" w:ascii="宋体" w:hAnsi="宋体" w:eastAsia="宋体" w:cs="宋体"/>
                <w:sz w:val="24"/>
                <w:szCs w:val="24"/>
              </w:rPr>
            </w:pPr>
            <w:r>
              <w:rPr>
                <w:rFonts w:hint="eastAsia" w:ascii="宋体" w:hAnsi="宋体" w:cs="宋体"/>
                <w:sz w:val="24"/>
                <w:szCs w:val="24"/>
                <w:lang w:val="en-US" w:eastAsia="zh-CN"/>
              </w:rPr>
              <w:t>/</w:t>
            </w:r>
          </w:p>
        </w:tc>
        <w:tc>
          <w:tcPr>
            <w:tcW w:w="2592" w:type="dxa"/>
            <w:gridSpan w:val="2"/>
            <w:noWrap w:val="0"/>
            <w:vAlign w:val="center"/>
          </w:tcPr>
          <w:p>
            <w:pPr>
              <w:jc w:val="center"/>
              <w:rPr>
                <w:rFonts w:hint="eastAsia" w:ascii="宋体" w:hAnsi="宋体" w:eastAsia="宋体" w:cs="宋体"/>
                <w:sz w:val="24"/>
                <w:szCs w:val="24"/>
              </w:rPr>
            </w:pPr>
            <w:r>
              <w:rPr>
                <w:rFonts w:hint="eastAsia" w:ascii="宋体" w:hAnsi="宋体" w:cs="宋体"/>
                <w:sz w:val="24"/>
                <w:szCs w:val="24"/>
                <w:lang w:val="en-US" w:eastAsia="zh-CN"/>
              </w:rPr>
              <w:t>/</w:t>
            </w:r>
          </w:p>
        </w:tc>
        <w:tc>
          <w:tcPr>
            <w:tcW w:w="1625" w:type="dxa"/>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1180</w:t>
            </w:r>
          </w:p>
        </w:tc>
        <w:tc>
          <w:tcPr>
            <w:tcW w:w="1633" w:type="dxa"/>
            <w:gridSpan w:val="2"/>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2.5</w:t>
            </w:r>
          </w:p>
        </w:tc>
        <w:tc>
          <w:tcPr>
            <w:tcW w:w="2123" w:type="dxa"/>
            <w:gridSpan w:val="2"/>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2950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12635" w:type="dxa"/>
          <w:trHeight w:val="480" w:hRule="atLeast"/>
        </w:trPr>
        <w:tc>
          <w:tcPr>
            <w:tcW w:w="1019" w:type="dxa"/>
            <w:vMerge w:val="continue"/>
            <w:noWrap w:val="0"/>
            <w:textDirection w:val="tbRlV"/>
            <w:vAlign w:val="center"/>
          </w:tcPr>
          <w:p>
            <w:pPr>
              <w:jc w:val="center"/>
              <w:rPr>
                <w:rFonts w:hint="eastAsia" w:ascii="宋体" w:hAnsi="宋体" w:eastAsia="宋体" w:cs="宋体"/>
                <w:color w:val="FF0000"/>
                <w:sz w:val="24"/>
                <w:szCs w:val="24"/>
              </w:rPr>
            </w:pPr>
          </w:p>
        </w:tc>
        <w:tc>
          <w:tcPr>
            <w:tcW w:w="2221" w:type="dxa"/>
            <w:gridSpan w:val="3"/>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城西路</w:t>
            </w:r>
          </w:p>
        </w:tc>
        <w:tc>
          <w:tcPr>
            <w:tcW w:w="2491" w:type="dxa"/>
            <w:gridSpan w:val="2"/>
            <w:noWrap w:val="0"/>
            <w:vAlign w:val="center"/>
          </w:tcPr>
          <w:p>
            <w:pPr>
              <w:jc w:val="center"/>
              <w:rPr>
                <w:rFonts w:hint="eastAsia" w:ascii="宋体" w:hAnsi="宋体" w:eastAsia="宋体" w:cs="宋体"/>
                <w:sz w:val="24"/>
                <w:szCs w:val="24"/>
              </w:rPr>
            </w:pPr>
            <w:r>
              <w:rPr>
                <w:rFonts w:hint="eastAsia" w:ascii="宋体" w:hAnsi="宋体" w:cs="宋体"/>
                <w:sz w:val="24"/>
                <w:szCs w:val="24"/>
                <w:lang w:val="en-US" w:eastAsia="zh-CN"/>
              </w:rPr>
              <w:t>/</w:t>
            </w:r>
          </w:p>
        </w:tc>
        <w:tc>
          <w:tcPr>
            <w:tcW w:w="2592" w:type="dxa"/>
            <w:gridSpan w:val="2"/>
            <w:noWrap w:val="0"/>
            <w:vAlign w:val="center"/>
          </w:tcPr>
          <w:p>
            <w:pPr>
              <w:jc w:val="center"/>
              <w:rPr>
                <w:rFonts w:hint="eastAsia" w:ascii="宋体" w:hAnsi="宋体" w:eastAsia="宋体" w:cs="宋体"/>
                <w:sz w:val="24"/>
                <w:szCs w:val="24"/>
              </w:rPr>
            </w:pPr>
            <w:r>
              <w:rPr>
                <w:rFonts w:hint="eastAsia" w:ascii="宋体" w:hAnsi="宋体" w:cs="宋体"/>
                <w:sz w:val="24"/>
                <w:szCs w:val="24"/>
                <w:lang w:val="en-US" w:eastAsia="zh-CN"/>
              </w:rPr>
              <w:t>/</w:t>
            </w:r>
          </w:p>
        </w:tc>
        <w:tc>
          <w:tcPr>
            <w:tcW w:w="1625" w:type="dxa"/>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1191</w:t>
            </w:r>
          </w:p>
        </w:tc>
        <w:tc>
          <w:tcPr>
            <w:tcW w:w="1633" w:type="dxa"/>
            <w:gridSpan w:val="2"/>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3</w:t>
            </w:r>
          </w:p>
        </w:tc>
        <w:tc>
          <w:tcPr>
            <w:tcW w:w="2123" w:type="dxa"/>
            <w:gridSpan w:val="2"/>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3573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12635" w:type="dxa"/>
          <w:trHeight w:val="480" w:hRule="atLeast"/>
        </w:trPr>
        <w:tc>
          <w:tcPr>
            <w:tcW w:w="1019" w:type="dxa"/>
            <w:vMerge w:val="restart"/>
            <w:noWrap w:val="0"/>
            <w:textDirection w:val="tbRlV"/>
            <w:vAlign w:val="center"/>
          </w:tcPr>
          <w:p>
            <w:pPr>
              <w:widowControl/>
              <w:jc w:val="center"/>
              <w:textAlignment w:val="center"/>
              <w:rPr>
                <w:rFonts w:hint="eastAsia" w:ascii="宋体" w:hAnsi="宋体" w:eastAsia="宋体" w:cs="宋体"/>
                <w:color w:val="FF0000"/>
                <w:sz w:val="24"/>
                <w:szCs w:val="24"/>
              </w:rPr>
            </w:pPr>
            <w:r>
              <w:rPr>
                <w:rFonts w:hint="eastAsia" w:ascii="宋体" w:hAnsi="宋体" w:eastAsia="宋体" w:cs="宋体"/>
                <w:kern w:val="0"/>
                <w:sz w:val="24"/>
                <w:szCs w:val="24"/>
              </w:rPr>
              <w:t>小溪社区</w:t>
            </w:r>
          </w:p>
        </w:tc>
        <w:tc>
          <w:tcPr>
            <w:tcW w:w="2221" w:type="dxa"/>
            <w:gridSpan w:val="3"/>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早禾排</w:t>
            </w:r>
          </w:p>
        </w:tc>
        <w:tc>
          <w:tcPr>
            <w:tcW w:w="2491" w:type="dxa"/>
            <w:gridSpan w:val="2"/>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都僚村委会</w:t>
            </w:r>
          </w:p>
        </w:tc>
        <w:tc>
          <w:tcPr>
            <w:tcW w:w="2592" w:type="dxa"/>
            <w:gridSpan w:val="2"/>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沙子甲路为界</w:t>
            </w:r>
          </w:p>
        </w:tc>
        <w:tc>
          <w:tcPr>
            <w:tcW w:w="1625" w:type="dxa"/>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739.63</w:t>
            </w:r>
          </w:p>
        </w:tc>
        <w:tc>
          <w:tcPr>
            <w:tcW w:w="1633" w:type="dxa"/>
            <w:gridSpan w:val="2"/>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4</w:t>
            </w:r>
          </w:p>
        </w:tc>
        <w:tc>
          <w:tcPr>
            <w:tcW w:w="2123" w:type="dxa"/>
            <w:gridSpan w:val="2"/>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2958.5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12635" w:type="dxa"/>
          <w:trHeight w:val="480" w:hRule="atLeast"/>
        </w:trPr>
        <w:tc>
          <w:tcPr>
            <w:tcW w:w="1019" w:type="dxa"/>
            <w:vMerge w:val="continue"/>
            <w:noWrap w:val="0"/>
            <w:textDirection w:val="tbRlV"/>
            <w:vAlign w:val="center"/>
          </w:tcPr>
          <w:p>
            <w:pPr>
              <w:jc w:val="center"/>
              <w:rPr>
                <w:rFonts w:hint="eastAsia" w:ascii="宋体" w:hAnsi="宋体" w:eastAsia="宋体" w:cs="宋体"/>
                <w:sz w:val="24"/>
                <w:szCs w:val="24"/>
              </w:rPr>
            </w:pPr>
          </w:p>
        </w:tc>
        <w:tc>
          <w:tcPr>
            <w:tcW w:w="2221" w:type="dxa"/>
            <w:gridSpan w:val="3"/>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小溪新村</w:t>
            </w:r>
          </w:p>
        </w:tc>
        <w:tc>
          <w:tcPr>
            <w:tcW w:w="2491" w:type="dxa"/>
            <w:gridSpan w:val="2"/>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西大二路1-1号</w:t>
            </w:r>
          </w:p>
        </w:tc>
        <w:tc>
          <w:tcPr>
            <w:tcW w:w="2592" w:type="dxa"/>
            <w:gridSpan w:val="2"/>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小溪新村45号</w:t>
            </w:r>
          </w:p>
        </w:tc>
        <w:tc>
          <w:tcPr>
            <w:tcW w:w="1625" w:type="dxa"/>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847.77</w:t>
            </w:r>
          </w:p>
        </w:tc>
        <w:tc>
          <w:tcPr>
            <w:tcW w:w="1633" w:type="dxa"/>
            <w:gridSpan w:val="2"/>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6</w:t>
            </w:r>
          </w:p>
        </w:tc>
        <w:tc>
          <w:tcPr>
            <w:tcW w:w="2123" w:type="dxa"/>
            <w:gridSpan w:val="2"/>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5086.6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12635" w:type="dxa"/>
          <w:trHeight w:val="480" w:hRule="atLeast"/>
        </w:trPr>
        <w:tc>
          <w:tcPr>
            <w:tcW w:w="1019" w:type="dxa"/>
            <w:vMerge w:val="continue"/>
            <w:noWrap w:val="0"/>
            <w:textDirection w:val="tbRlV"/>
            <w:vAlign w:val="center"/>
          </w:tcPr>
          <w:p>
            <w:pPr>
              <w:jc w:val="center"/>
              <w:rPr>
                <w:rFonts w:hint="eastAsia" w:ascii="宋体" w:hAnsi="宋体" w:eastAsia="宋体" w:cs="宋体"/>
                <w:sz w:val="24"/>
                <w:szCs w:val="24"/>
              </w:rPr>
            </w:pPr>
          </w:p>
        </w:tc>
        <w:tc>
          <w:tcPr>
            <w:tcW w:w="2221" w:type="dxa"/>
            <w:gridSpan w:val="3"/>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小溪边墩子前</w:t>
            </w:r>
          </w:p>
        </w:tc>
        <w:tc>
          <w:tcPr>
            <w:tcW w:w="2491" w:type="dxa"/>
            <w:gridSpan w:val="2"/>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原六中大门路</w:t>
            </w:r>
          </w:p>
        </w:tc>
        <w:tc>
          <w:tcPr>
            <w:tcW w:w="2592" w:type="dxa"/>
            <w:gridSpan w:val="2"/>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小河边220号</w:t>
            </w:r>
          </w:p>
        </w:tc>
        <w:tc>
          <w:tcPr>
            <w:tcW w:w="1625" w:type="dxa"/>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1091.52</w:t>
            </w:r>
          </w:p>
        </w:tc>
        <w:tc>
          <w:tcPr>
            <w:tcW w:w="1633" w:type="dxa"/>
            <w:gridSpan w:val="2"/>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4</w:t>
            </w:r>
          </w:p>
        </w:tc>
        <w:tc>
          <w:tcPr>
            <w:tcW w:w="2123" w:type="dxa"/>
            <w:gridSpan w:val="2"/>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4366.1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12635" w:type="dxa"/>
          <w:trHeight w:val="610" w:hRule="atLeast"/>
        </w:trPr>
        <w:tc>
          <w:tcPr>
            <w:tcW w:w="1019" w:type="dxa"/>
            <w:vMerge w:val="continue"/>
            <w:noWrap w:val="0"/>
            <w:textDirection w:val="tbRlV"/>
            <w:vAlign w:val="center"/>
          </w:tcPr>
          <w:p>
            <w:pPr>
              <w:jc w:val="center"/>
              <w:rPr>
                <w:rFonts w:hint="eastAsia" w:ascii="宋体" w:hAnsi="宋体" w:eastAsia="宋体" w:cs="宋体"/>
                <w:sz w:val="24"/>
                <w:szCs w:val="24"/>
              </w:rPr>
            </w:pPr>
          </w:p>
        </w:tc>
        <w:tc>
          <w:tcPr>
            <w:tcW w:w="2221" w:type="dxa"/>
            <w:gridSpan w:val="3"/>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运明园盈盛园光荣巷</w:t>
            </w:r>
          </w:p>
        </w:tc>
        <w:tc>
          <w:tcPr>
            <w:tcW w:w="2491" w:type="dxa"/>
            <w:gridSpan w:val="2"/>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运明园市场大门口</w:t>
            </w:r>
          </w:p>
        </w:tc>
        <w:tc>
          <w:tcPr>
            <w:tcW w:w="2592" w:type="dxa"/>
            <w:gridSpan w:val="2"/>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光荣巷至英雄巷1号</w:t>
            </w:r>
          </w:p>
        </w:tc>
        <w:tc>
          <w:tcPr>
            <w:tcW w:w="1625" w:type="dxa"/>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1381.8</w:t>
            </w:r>
          </w:p>
        </w:tc>
        <w:tc>
          <w:tcPr>
            <w:tcW w:w="1633" w:type="dxa"/>
            <w:gridSpan w:val="2"/>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4</w:t>
            </w:r>
          </w:p>
        </w:tc>
        <w:tc>
          <w:tcPr>
            <w:tcW w:w="2123" w:type="dxa"/>
            <w:gridSpan w:val="2"/>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4145.4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12635" w:type="dxa"/>
          <w:trHeight w:val="480" w:hRule="atLeast"/>
        </w:trPr>
        <w:tc>
          <w:tcPr>
            <w:tcW w:w="1019" w:type="dxa"/>
            <w:vMerge w:val="continue"/>
            <w:noWrap w:val="0"/>
            <w:textDirection w:val="tbRlV"/>
            <w:vAlign w:val="center"/>
          </w:tcPr>
          <w:p>
            <w:pPr>
              <w:jc w:val="center"/>
              <w:rPr>
                <w:rFonts w:hint="eastAsia" w:ascii="宋体" w:hAnsi="宋体" w:eastAsia="宋体" w:cs="宋体"/>
                <w:sz w:val="24"/>
                <w:szCs w:val="24"/>
              </w:rPr>
            </w:pPr>
          </w:p>
        </w:tc>
        <w:tc>
          <w:tcPr>
            <w:tcW w:w="2221" w:type="dxa"/>
            <w:gridSpan w:val="3"/>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革新弄西大二路</w:t>
            </w:r>
          </w:p>
        </w:tc>
        <w:tc>
          <w:tcPr>
            <w:tcW w:w="2491" w:type="dxa"/>
            <w:gridSpan w:val="2"/>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革新弄4号</w:t>
            </w:r>
          </w:p>
        </w:tc>
        <w:tc>
          <w:tcPr>
            <w:tcW w:w="2592" w:type="dxa"/>
            <w:gridSpan w:val="2"/>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西大二路29号</w:t>
            </w:r>
          </w:p>
        </w:tc>
        <w:tc>
          <w:tcPr>
            <w:tcW w:w="1625" w:type="dxa"/>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601.37</w:t>
            </w:r>
          </w:p>
        </w:tc>
        <w:tc>
          <w:tcPr>
            <w:tcW w:w="1633" w:type="dxa"/>
            <w:gridSpan w:val="2"/>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4</w:t>
            </w:r>
          </w:p>
        </w:tc>
        <w:tc>
          <w:tcPr>
            <w:tcW w:w="2123" w:type="dxa"/>
            <w:gridSpan w:val="2"/>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2405.5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12635" w:type="dxa"/>
          <w:trHeight w:val="480" w:hRule="atLeast"/>
        </w:trPr>
        <w:tc>
          <w:tcPr>
            <w:tcW w:w="1019" w:type="dxa"/>
            <w:vMerge w:val="continue"/>
            <w:noWrap w:val="0"/>
            <w:textDirection w:val="tbRlV"/>
            <w:vAlign w:val="center"/>
          </w:tcPr>
          <w:p>
            <w:pPr>
              <w:jc w:val="center"/>
              <w:rPr>
                <w:rFonts w:hint="eastAsia" w:ascii="宋体" w:hAnsi="宋体" w:eastAsia="宋体" w:cs="宋体"/>
                <w:sz w:val="24"/>
                <w:szCs w:val="24"/>
              </w:rPr>
            </w:pPr>
          </w:p>
        </w:tc>
        <w:tc>
          <w:tcPr>
            <w:tcW w:w="2221" w:type="dxa"/>
            <w:gridSpan w:val="3"/>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曹家山红星坪</w:t>
            </w:r>
          </w:p>
        </w:tc>
        <w:tc>
          <w:tcPr>
            <w:tcW w:w="2491" w:type="dxa"/>
            <w:gridSpan w:val="2"/>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红星坪1号</w:t>
            </w:r>
          </w:p>
        </w:tc>
        <w:tc>
          <w:tcPr>
            <w:tcW w:w="2592" w:type="dxa"/>
            <w:gridSpan w:val="2"/>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曹家山至六中路口</w:t>
            </w:r>
          </w:p>
        </w:tc>
        <w:tc>
          <w:tcPr>
            <w:tcW w:w="1625" w:type="dxa"/>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682.42</w:t>
            </w:r>
          </w:p>
        </w:tc>
        <w:tc>
          <w:tcPr>
            <w:tcW w:w="1633" w:type="dxa"/>
            <w:gridSpan w:val="2"/>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5</w:t>
            </w:r>
          </w:p>
        </w:tc>
        <w:tc>
          <w:tcPr>
            <w:tcW w:w="2123" w:type="dxa"/>
            <w:gridSpan w:val="2"/>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3412.1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12635" w:type="dxa"/>
          <w:trHeight w:val="480" w:hRule="atLeast"/>
        </w:trPr>
        <w:tc>
          <w:tcPr>
            <w:tcW w:w="1019" w:type="dxa"/>
            <w:vMerge w:val="continue"/>
            <w:noWrap w:val="0"/>
            <w:textDirection w:val="tbRlV"/>
            <w:vAlign w:val="center"/>
          </w:tcPr>
          <w:p>
            <w:pPr>
              <w:jc w:val="center"/>
              <w:rPr>
                <w:rFonts w:hint="eastAsia" w:ascii="宋体" w:hAnsi="宋体" w:eastAsia="宋体" w:cs="宋体"/>
                <w:sz w:val="24"/>
                <w:szCs w:val="24"/>
              </w:rPr>
            </w:pPr>
          </w:p>
        </w:tc>
        <w:tc>
          <w:tcPr>
            <w:tcW w:w="2221" w:type="dxa"/>
            <w:gridSpan w:val="3"/>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上进路</w:t>
            </w:r>
          </w:p>
        </w:tc>
        <w:tc>
          <w:tcPr>
            <w:tcW w:w="2491" w:type="dxa"/>
            <w:gridSpan w:val="2"/>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上进路1号</w:t>
            </w:r>
          </w:p>
        </w:tc>
        <w:tc>
          <w:tcPr>
            <w:tcW w:w="2592" w:type="dxa"/>
            <w:gridSpan w:val="2"/>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运明园右边围墙</w:t>
            </w:r>
          </w:p>
        </w:tc>
        <w:tc>
          <w:tcPr>
            <w:tcW w:w="1625" w:type="dxa"/>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755.85</w:t>
            </w:r>
          </w:p>
        </w:tc>
        <w:tc>
          <w:tcPr>
            <w:tcW w:w="1633" w:type="dxa"/>
            <w:gridSpan w:val="2"/>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4</w:t>
            </w:r>
          </w:p>
        </w:tc>
        <w:tc>
          <w:tcPr>
            <w:tcW w:w="2123" w:type="dxa"/>
            <w:gridSpan w:val="2"/>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3023.4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12635" w:type="dxa"/>
          <w:trHeight w:val="600" w:hRule="atLeast"/>
        </w:trPr>
        <w:tc>
          <w:tcPr>
            <w:tcW w:w="1019" w:type="dxa"/>
            <w:vMerge w:val="continue"/>
            <w:noWrap w:val="0"/>
            <w:textDirection w:val="tbRlV"/>
            <w:vAlign w:val="center"/>
          </w:tcPr>
          <w:p>
            <w:pPr>
              <w:jc w:val="center"/>
              <w:rPr>
                <w:rFonts w:hint="eastAsia" w:ascii="宋体" w:hAnsi="宋体" w:eastAsia="宋体" w:cs="宋体"/>
                <w:sz w:val="24"/>
                <w:szCs w:val="24"/>
              </w:rPr>
            </w:pPr>
          </w:p>
        </w:tc>
        <w:tc>
          <w:tcPr>
            <w:tcW w:w="2221" w:type="dxa"/>
            <w:gridSpan w:val="3"/>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英雄弄团结弄和平巷永新弄</w:t>
            </w:r>
          </w:p>
        </w:tc>
        <w:tc>
          <w:tcPr>
            <w:tcW w:w="2491" w:type="dxa"/>
            <w:gridSpan w:val="2"/>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英雄弄1号</w:t>
            </w:r>
          </w:p>
        </w:tc>
        <w:tc>
          <w:tcPr>
            <w:tcW w:w="2592" w:type="dxa"/>
            <w:gridSpan w:val="2"/>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永新弄翠江卫生服务中心</w:t>
            </w:r>
          </w:p>
        </w:tc>
        <w:tc>
          <w:tcPr>
            <w:tcW w:w="1625" w:type="dxa"/>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1477.26</w:t>
            </w:r>
          </w:p>
        </w:tc>
        <w:tc>
          <w:tcPr>
            <w:tcW w:w="1633" w:type="dxa"/>
            <w:gridSpan w:val="2"/>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3</w:t>
            </w:r>
          </w:p>
        </w:tc>
        <w:tc>
          <w:tcPr>
            <w:tcW w:w="2123" w:type="dxa"/>
            <w:gridSpan w:val="2"/>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4431.8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12635" w:type="dxa"/>
          <w:trHeight w:val="480" w:hRule="atLeast"/>
        </w:trPr>
        <w:tc>
          <w:tcPr>
            <w:tcW w:w="1019" w:type="dxa"/>
            <w:vMerge w:val="restart"/>
            <w:noWrap w:val="0"/>
            <w:textDirection w:val="tbRlV"/>
            <w:vAlign w:val="center"/>
          </w:tcPr>
          <w:p>
            <w:pPr>
              <w:widowControl/>
              <w:jc w:val="center"/>
              <w:textAlignment w:val="center"/>
              <w:rPr>
                <w:rFonts w:hint="eastAsia" w:ascii="宋体" w:hAnsi="宋体" w:eastAsia="宋体" w:cs="宋体"/>
                <w:color w:val="FF0000"/>
                <w:sz w:val="24"/>
                <w:szCs w:val="24"/>
              </w:rPr>
            </w:pPr>
            <w:r>
              <w:rPr>
                <w:rFonts w:hint="eastAsia" w:ascii="宋体" w:hAnsi="宋体" w:eastAsia="宋体" w:cs="宋体"/>
                <w:kern w:val="0"/>
                <w:sz w:val="24"/>
                <w:szCs w:val="24"/>
              </w:rPr>
              <w:t>双虹社区</w:t>
            </w:r>
          </w:p>
        </w:tc>
        <w:tc>
          <w:tcPr>
            <w:tcW w:w="2221" w:type="dxa"/>
            <w:gridSpan w:val="3"/>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七中大路.金刚亭</w:t>
            </w:r>
          </w:p>
        </w:tc>
        <w:tc>
          <w:tcPr>
            <w:tcW w:w="2491" w:type="dxa"/>
            <w:gridSpan w:val="2"/>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七中大路路口</w:t>
            </w:r>
          </w:p>
        </w:tc>
        <w:tc>
          <w:tcPr>
            <w:tcW w:w="2592" w:type="dxa"/>
            <w:gridSpan w:val="2"/>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金刚庭</w:t>
            </w:r>
          </w:p>
        </w:tc>
        <w:tc>
          <w:tcPr>
            <w:tcW w:w="1625" w:type="dxa"/>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360</w:t>
            </w:r>
          </w:p>
        </w:tc>
        <w:tc>
          <w:tcPr>
            <w:tcW w:w="1633" w:type="dxa"/>
            <w:gridSpan w:val="2"/>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10</w:t>
            </w:r>
          </w:p>
        </w:tc>
        <w:tc>
          <w:tcPr>
            <w:tcW w:w="2123" w:type="dxa"/>
            <w:gridSpan w:val="2"/>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3600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12635" w:type="dxa"/>
          <w:trHeight w:val="480" w:hRule="atLeast"/>
        </w:trPr>
        <w:tc>
          <w:tcPr>
            <w:tcW w:w="1019" w:type="dxa"/>
            <w:vMerge w:val="continue"/>
            <w:noWrap w:val="0"/>
            <w:textDirection w:val="tbRlV"/>
            <w:vAlign w:val="center"/>
          </w:tcPr>
          <w:p>
            <w:pPr>
              <w:jc w:val="center"/>
              <w:rPr>
                <w:rFonts w:hint="eastAsia" w:ascii="宋体" w:hAnsi="宋体" w:eastAsia="宋体" w:cs="宋体"/>
                <w:color w:val="FF0000"/>
                <w:sz w:val="24"/>
                <w:szCs w:val="24"/>
              </w:rPr>
            </w:pPr>
          </w:p>
        </w:tc>
        <w:tc>
          <w:tcPr>
            <w:tcW w:w="2221" w:type="dxa"/>
            <w:gridSpan w:val="3"/>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东方塅东面</w:t>
            </w:r>
          </w:p>
        </w:tc>
        <w:tc>
          <w:tcPr>
            <w:tcW w:w="2491" w:type="dxa"/>
            <w:gridSpan w:val="2"/>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七中大门对面路口</w:t>
            </w:r>
          </w:p>
        </w:tc>
        <w:tc>
          <w:tcPr>
            <w:tcW w:w="2592" w:type="dxa"/>
            <w:gridSpan w:val="2"/>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东方明珠后门</w:t>
            </w:r>
          </w:p>
        </w:tc>
        <w:tc>
          <w:tcPr>
            <w:tcW w:w="1625" w:type="dxa"/>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715</w:t>
            </w:r>
          </w:p>
        </w:tc>
        <w:tc>
          <w:tcPr>
            <w:tcW w:w="1633" w:type="dxa"/>
            <w:gridSpan w:val="2"/>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5</w:t>
            </w:r>
          </w:p>
        </w:tc>
        <w:tc>
          <w:tcPr>
            <w:tcW w:w="2123" w:type="dxa"/>
            <w:gridSpan w:val="2"/>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3575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12635" w:type="dxa"/>
          <w:trHeight w:val="480" w:hRule="atLeast"/>
        </w:trPr>
        <w:tc>
          <w:tcPr>
            <w:tcW w:w="1019" w:type="dxa"/>
            <w:vMerge w:val="continue"/>
            <w:noWrap w:val="0"/>
            <w:textDirection w:val="tbRlV"/>
            <w:vAlign w:val="center"/>
          </w:tcPr>
          <w:p>
            <w:pPr>
              <w:jc w:val="center"/>
              <w:rPr>
                <w:rFonts w:hint="eastAsia" w:ascii="宋体" w:hAnsi="宋体" w:eastAsia="宋体" w:cs="宋体"/>
                <w:color w:val="FF0000"/>
                <w:sz w:val="24"/>
                <w:szCs w:val="24"/>
              </w:rPr>
            </w:pPr>
          </w:p>
        </w:tc>
        <w:tc>
          <w:tcPr>
            <w:tcW w:w="2221" w:type="dxa"/>
            <w:gridSpan w:val="3"/>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东方塅东面</w:t>
            </w:r>
          </w:p>
        </w:tc>
        <w:tc>
          <w:tcPr>
            <w:tcW w:w="2491" w:type="dxa"/>
            <w:gridSpan w:val="2"/>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七中市场旁</w:t>
            </w:r>
          </w:p>
        </w:tc>
        <w:tc>
          <w:tcPr>
            <w:tcW w:w="2592" w:type="dxa"/>
            <w:gridSpan w:val="2"/>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东方新城旁</w:t>
            </w:r>
          </w:p>
        </w:tc>
        <w:tc>
          <w:tcPr>
            <w:tcW w:w="1625" w:type="dxa"/>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1047</w:t>
            </w:r>
          </w:p>
        </w:tc>
        <w:tc>
          <w:tcPr>
            <w:tcW w:w="1633" w:type="dxa"/>
            <w:gridSpan w:val="2"/>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5</w:t>
            </w:r>
          </w:p>
        </w:tc>
        <w:tc>
          <w:tcPr>
            <w:tcW w:w="2123" w:type="dxa"/>
            <w:gridSpan w:val="2"/>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5235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12635" w:type="dxa"/>
          <w:trHeight w:val="480" w:hRule="atLeast"/>
        </w:trPr>
        <w:tc>
          <w:tcPr>
            <w:tcW w:w="1019" w:type="dxa"/>
            <w:vMerge w:val="continue"/>
            <w:noWrap w:val="0"/>
            <w:textDirection w:val="tbRlV"/>
            <w:vAlign w:val="center"/>
          </w:tcPr>
          <w:p>
            <w:pPr>
              <w:jc w:val="center"/>
              <w:rPr>
                <w:rFonts w:hint="eastAsia" w:ascii="宋体" w:hAnsi="宋体" w:eastAsia="宋体" w:cs="宋体"/>
                <w:color w:val="FF0000"/>
                <w:sz w:val="24"/>
                <w:szCs w:val="24"/>
              </w:rPr>
            </w:pPr>
          </w:p>
        </w:tc>
        <w:tc>
          <w:tcPr>
            <w:tcW w:w="2221" w:type="dxa"/>
            <w:gridSpan w:val="3"/>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龙门新村下村</w:t>
            </w:r>
          </w:p>
        </w:tc>
        <w:tc>
          <w:tcPr>
            <w:tcW w:w="2491" w:type="dxa"/>
            <w:gridSpan w:val="2"/>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移动公司后</w:t>
            </w:r>
          </w:p>
        </w:tc>
        <w:tc>
          <w:tcPr>
            <w:tcW w:w="2592" w:type="dxa"/>
            <w:gridSpan w:val="2"/>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国税旁</w:t>
            </w:r>
          </w:p>
        </w:tc>
        <w:tc>
          <w:tcPr>
            <w:tcW w:w="1625" w:type="dxa"/>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341</w:t>
            </w:r>
          </w:p>
        </w:tc>
        <w:tc>
          <w:tcPr>
            <w:tcW w:w="1633" w:type="dxa"/>
            <w:gridSpan w:val="2"/>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6</w:t>
            </w:r>
          </w:p>
        </w:tc>
        <w:tc>
          <w:tcPr>
            <w:tcW w:w="2123" w:type="dxa"/>
            <w:gridSpan w:val="2"/>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2046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12635" w:type="dxa"/>
          <w:trHeight w:val="480" w:hRule="atLeast"/>
        </w:trPr>
        <w:tc>
          <w:tcPr>
            <w:tcW w:w="1019" w:type="dxa"/>
            <w:vMerge w:val="continue"/>
            <w:noWrap w:val="0"/>
            <w:textDirection w:val="tbRlV"/>
            <w:vAlign w:val="center"/>
          </w:tcPr>
          <w:p>
            <w:pPr>
              <w:jc w:val="center"/>
              <w:rPr>
                <w:rFonts w:hint="eastAsia" w:ascii="宋体" w:hAnsi="宋体" w:eastAsia="宋体" w:cs="宋体"/>
                <w:color w:val="FF0000"/>
                <w:sz w:val="24"/>
                <w:szCs w:val="24"/>
              </w:rPr>
            </w:pPr>
          </w:p>
        </w:tc>
        <w:tc>
          <w:tcPr>
            <w:tcW w:w="2221" w:type="dxa"/>
            <w:gridSpan w:val="3"/>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瑶上</w:t>
            </w:r>
          </w:p>
        </w:tc>
        <w:tc>
          <w:tcPr>
            <w:tcW w:w="2491" w:type="dxa"/>
            <w:gridSpan w:val="2"/>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瑶上路口</w:t>
            </w:r>
          </w:p>
        </w:tc>
        <w:tc>
          <w:tcPr>
            <w:tcW w:w="2592" w:type="dxa"/>
            <w:gridSpan w:val="2"/>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瑶上尾</w:t>
            </w:r>
          </w:p>
        </w:tc>
        <w:tc>
          <w:tcPr>
            <w:tcW w:w="1625" w:type="dxa"/>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172</w:t>
            </w:r>
          </w:p>
        </w:tc>
        <w:tc>
          <w:tcPr>
            <w:tcW w:w="1633" w:type="dxa"/>
            <w:gridSpan w:val="2"/>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4</w:t>
            </w:r>
          </w:p>
        </w:tc>
        <w:tc>
          <w:tcPr>
            <w:tcW w:w="2123" w:type="dxa"/>
            <w:gridSpan w:val="2"/>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688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12635" w:type="dxa"/>
          <w:trHeight w:val="480" w:hRule="atLeast"/>
        </w:trPr>
        <w:tc>
          <w:tcPr>
            <w:tcW w:w="1019" w:type="dxa"/>
            <w:vMerge w:val="continue"/>
            <w:noWrap w:val="0"/>
            <w:textDirection w:val="tbRlV"/>
            <w:vAlign w:val="center"/>
          </w:tcPr>
          <w:p>
            <w:pPr>
              <w:jc w:val="center"/>
              <w:rPr>
                <w:rFonts w:hint="eastAsia" w:ascii="宋体" w:hAnsi="宋体" w:eastAsia="宋体" w:cs="宋体"/>
                <w:color w:val="FF0000"/>
                <w:sz w:val="24"/>
                <w:szCs w:val="24"/>
              </w:rPr>
            </w:pPr>
          </w:p>
        </w:tc>
        <w:tc>
          <w:tcPr>
            <w:tcW w:w="2221" w:type="dxa"/>
            <w:gridSpan w:val="3"/>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龙门新村上村</w:t>
            </w:r>
          </w:p>
        </w:tc>
        <w:tc>
          <w:tcPr>
            <w:tcW w:w="2491" w:type="dxa"/>
            <w:gridSpan w:val="2"/>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老酒厂</w:t>
            </w:r>
          </w:p>
        </w:tc>
        <w:tc>
          <w:tcPr>
            <w:tcW w:w="2592" w:type="dxa"/>
            <w:gridSpan w:val="2"/>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江滨路</w:t>
            </w:r>
          </w:p>
        </w:tc>
        <w:tc>
          <w:tcPr>
            <w:tcW w:w="1625" w:type="dxa"/>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782</w:t>
            </w:r>
          </w:p>
        </w:tc>
        <w:tc>
          <w:tcPr>
            <w:tcW w:w="1633" w:type="dxa"/>
            <w:gridSpan w:val="2"/>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7</w:t>
            </w:r>
          </w:p>
        </w:tc>
        <w:tc>
          <w:tcPr>
            <w:tcW w:w="2123" w:type="dxa"/>
            <w:gridSpan w:val="2"/>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5474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12635" w:type="dxa"/>
          <w:trHeight w:val="720" w:hRule="atLeast"/>
        </w:trPr>
        <w:tc>
          <w:tcPr>
            <w:tcW w:w="1019" w:type="dxa"/>
            <w:vMerge w:val="continue"/>
            <w:noWrap w:val="0"/>
            <w:textDirection w:val="tbRlV"/>
            <w:vAlign w:val="center"/>
          </w:tcPr>
          <w:p>
            <w:pPr>
              <w:jc w:val="center"/>
              <w:rPr>
                <w:rFonts w:hint="eastAsia" w:ascii="宋体" w:hAnsi="宋体" w:eastAsia="宋体" w:cs="宋体"/>
                <w:color w:val="FF0000"/>
                <w:sz w:val="24"/>
                <w:szCs w:val="24"/>
              </w:rPr>
            </w:pPr>
          </w:p>
        </w:tc>
        <w:tc>
          <w:tcPr>
            <w:tcW w:w="2221" w:type="dxa"/>
            <w:gridSpan w:val="3"/>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东方花园市场.南大街</w:t>
            </w:r>
          </w:p>
        </w:tc>
        <w:tc>
          <w:tcPr>
            <w:tcW w:w="2491" w:type="dxa"/>
            <w:gridSpan w:val="2"/>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东方花园市场</w:t>
            </w:r>
          </w:p>
        </w:tc>
        <w:tc>
          <w:tcPr>
            <w:tcW w:w="2592" w:type="dxa"/>
            <w:gridSpan w:val="2"/>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南大街</w:t>
            </w:r>
          </w:p>
        </w:tc>
        <w:tc>
          <w:tcPr>
            <w:tcW w:w="1625" w:type="dxa"/>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299.5</w:t>
            </w:r>
          </w:p>
        </w:tc>
        <w:tc>
          <w:tcPr>
            <w:tcW w:w="1633" w:type="dxa"/>
            <w:gridSpan w:val="2"/>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9</w:t>
            </w:r>
          </w:p>
        </w:tc>
        <w:tc>
          <w:tcPr>
            <w:tcW w:w="2123" w:type="dxa"/>
            <w:gridSpan w:val="2"/>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2695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12635" w:type="dxa"/>
          <w:trHeight w:val="480" w:hRule="atLeast"/>
        </w:trPr>
        <w:tc>
          <w:tcPr>
            <w:tcW w:w="1019" w:type="dxa"/>
            <w:vMerge w:val="restart"/>
            <w:noWrap w:val="0"/>
            <w:textDirection w:val="tbRlV"/>
            <w:vAlign w:val="center"/>
          </w:tcPr>
          <w:p>
            <w:pPr>
              <w:widowControl/>
              <w:jc w:val="center"/>
              <w:textAlignment w:val="center"/>
              <w:rPr>
                <w:rFonts w:hint="eastAsia" w:ascii="宋体" w:hAnsi="宋体" w:eastAsia="宋体" w:cs="宋体"/>
                <w:kern w:val="0"/>
                <w:sz w:val="24"/>
                <w:szCs w:val="24"/>
              </w:rPr>
            </w:pPr>
            <w:r>
              <w:rPr>
                <w:rFonts w:hint="eastAsia" w:ascii="宋体" w:hAnsi="宋体" w:eastAsia="宋体" w:cs="宋体"/>
                <w:kern w:val="0"/>
                <w:sz w:val="24"/>
                <w:szCs w:val="24"/>
              </w:rPr>
              <w:t>中山社区</w:t>
            </w:r>
          </w:p>
        </w:tc>
        <w:tc>
          <w:tcPr>
            <w:tcW w:w="2221" w:type="dxa"/>
            <w:gridSpan w:val="3"/>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中东新村</w:t>
            </w:r>
          </w:p>
        </w:tc>
        <w:tc>
          <w:tcPr>
            <w:tcW w:w="2491" w:type="dxa"/>
            <w:gridSpan w:val="2"/>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中东新村1号</w:t>
            </w:r>
          </w:p>
        </w:tc>
        <w:tc>
          <w:tcPr>
            <w:tcW w:w="2592" w:type="dxa"/>
            <w:gridSpan w:val="2"/>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中东新村75号</w:t>
            </w:r>
          </w:p>
        </w:tc>
        <w:tc>
          <w:tcPr>
            <w:tcW w:w="1625" w:type="dxa"/>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732</w:t>
            </w:r>
          </w:p>
        </w:tc>
        <w:tc>
          <w:tcPr>
            <w:tcW w:w="1633" w:type="dxa"/>
            <w:gridSpan w:val="2"/>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6</w:t>
            </w:r>
          </w:p>
        </w:tc>
        <w:tc>
          <w:tcPr>
            <w:tcW w:w="2123" w:type="dxa"/>
            <w:gridSpan w:val="2"/>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4392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12635" w:type="dxa"/>
          <w:trHeight w:val="480" w:hRule="atLeast"/>
        </w:trPr>
        <w:tc>
          <w:tcPr>
            <w:tcW w:w="1019" w:type="dxa"/>
            <w:vMerge w:val="continue"/>
            <w:noWrap w:val="0"/>
            <w:textDirection w:val="tbRlV"/>
            <w:vAlign w:val="center"/>
          </w:tcPr>
          <w:p>
            <w:pPr>
              <w:widowControl/>
              <w:jc w:val="center"/>
              <w:textAlignment w:val="center"/>
              <w:rPr>
                <w:rFonts w:hint="eastAsia" w:ascii="宋体" w:hAnsi="宋体" w:eastAsia="宋体" w:cs="宋体"/>
                <w:kern w:val="0"/>
                <w:sz w:val="24"/>
                <w:szCs w:val="24"/>
              </w:rPr>
            </w:pPr>
          </w:p>
        </w:tc>
        <w:tc>
          <w:tcPr>
            <w:tcW w:w="2221" w:type="dxa"/>
            <w:gridSpan w:val="3"/>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高堑一、二三路</w:t>
            </w:r>
          </w:p>
        </w:tc>
        <w:tc>
          <w:tcPr>
            <w:tcW w:w="2491" w:type="dxa"/>
            <w:gridSpan w:val="2"/>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老彩门</w:t>
            </w:r>
          </w:p>
        </w:tc>
        <w:tc>
          <w:tcPr>
            <w:tcW w:w="2592" w:type="dxa"/>
            <w:gridSpan w:val="2"/>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垃圾驿站</w:t>
            </w:r>
          </w:p>
        </w:tc>
        <w:tc>
          <w:tcPr>
            <w:tcW w:w="1625" w:type="dxa"/>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1435</w:t>
            </w:r>
          </w:p>
        </w:tc>
        <w:tc>
          <w:tcPr>
            <w:tcW w:w="1633" w:type="dxa"/>
            <w:gridSpan w:val="2"/>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6</w:t>
            </w:r>
          </w:p>
        </w:tc>
        <w:tc>
          <w:tcPr>
            <w:tcW w:w="2123" w:type="dxa"/>
            <w:gridSpan w:val="2"/>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8610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12635" w:type="dxa"/>
          <w:trHeight w:val="480" w:hRule="atLeast"/>
        </w:trPr>
        <w:tc>
          <w:tcPr>
            <w:tcW w:w="1019" w:type="dxa"/>
            <w:vMerge w:val="continue"/>
            <w:noWrap w:val="0"/>
            <w:textDirection w:val="tbRlV"/>
            <w:vAlign w:val="center"/>
          </w:tcPr>
          <w:p>
            <w:pPr>
              <w:widowControl/>
              <w:jc w:val="center"/>
              <w:textAlignment w:val="center"/>
              <w:rPr>
                <w:rFonts w:hint="eastAsia" w:ascii="宋体" w:hAnsi="宋体" w:eastAsia="宋体" w:cs="宋体"/>
                <w:kern w:val="0"/>
                <w:sz w:val="24"/>
                <w:szCs w:val="24"/>
              </w:rPr>
            </w:pPr>
          </w:p>
        </w:tc>
        <w:tc>
          <w:tcPr>
            <w:tcW w:w="2221" w:type="dxa"/>
            <w:gridSpan w:val="3"/>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化肥厂、后山背</w:t>
            </w:r>
          </w:p>
        </w:tc>
        <w:tc>
          <w:tcPr>
            <w:tcW w:w="2491" w:type="dxa"/>
            <w:gridSpan w:val="2"/>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油库</w:t>
            </w:r>
          </w:p>
        </w:tc>
        <w:tc>
          <w:tcPr>
            <w:tcW w:w="2592" w:type="dxa"/>
            <w:gridSpan w:val="2"/>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后山背</w:t>
            </w:r>
          </w:p>
        </w:tc>
        <w:tc>
          <w:tcPr>
            <w:tcW w:w="1625" w:type="dxa"/>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1573</w:t>
            </w:r>
          </w:p>
        </w:tc>
        <w:tc>
          <w:tcPr>
            <w:tcW w:w="1633" w:type="dxa"/>
            <w:gridSpan w:val="2"/>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5</w:t>
            </w:r>
          </w:p>
        </w:tc>
        <w:tc>
          <w:tcPr>
            <w:tcW w:w="2123" w:type="dxa"/>
            <w:gridSpan w:val="2"/>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7865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12635" w:type="dxa"/>
          <w:trHeight w:val="480" w:hRule="atLeast"/>
        </w:trPr>
        <w:tc>
          <w:tcPr>
            <w:tcW w:w="1019" w:type="dxa"/>
            <w:vMerge w:val="continue"/>
            <w:noWrap w:val="0"/>
            <w:textDirection w:val="tbRlV"/>
            <w:vAlign w:val="center"/>
          </w:tcPr>
          <w:p>
            <w:pPr>
              <w:widowControl/>
              <w:jc w:val="center"/>
              <w:textAlignment w:val="center"/>
              <w:rPr>
                <w:rFonts w:hint="eastAsia" w:ascii="宋体" w:hAnsi="宋体" w:eastAsia="宋体" w:cs="宋体"/>
                <w:kern w:val="0"/>
                <w:sz w:val="24"/>
                <w:szCs w:val="24"/>
              </w:rPr>
            </w:pPr>
          </w:p>
        </w:tc>
        <w:tc>
          <w:tcPr>
            <w:tcW w:w="2221" w:type="dxa"/>
            <w:gridSpan w:val="3"/>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江下村</w:t>
            </w:r>
          </w:p>
        </w:tc>
        <w:tc>
          <w:tcPr>
            <w:tcW w:w="2491" w:type="dxa"/>
            <w:gridSpan w:val="2"/>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114号</w:t>
            </w:r>
          </w:p>
        </w:tc>
        <w:tc>
          <w:tcPr>
            <w:tcW w:w="2592" w:type="dxa"/>
            <w:gridSpan w:val="2"/>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老红砖厂</w:t>
            </w:r>
          </w:p>
        </w:tc>
        <w:tc>
          <w:tcPr>
            <w:tcW w:w="1625" w:type="dxa"/>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2164</w:t>
            </w:r>
          </w:p>
        </w:tc>
        <w:tc>
          <w:tcPr>
            <w:tcW w:w="1633" w:type="dxa"/>
            <w:gridSpan w:val="2"/>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4</w:t>
            </w:r>
          </w:p>
        </w:tc>
        <w:tc>
          <w:tcPr>
            <w:tcW w:w="2123" w:type="dxa"/>
            <w:gridSpan w:val="2"/>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8656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12635" w:type="dxa"/>
          <w:trHeight w:val="700" w:hRule="atLeast"/>
        </w:trPr>
        <w:tc>
          <w:tcPr>
            <w:tcW w:w="1019" w:type="dxa"/>
            <w:vMerge w:val="continue"/>
            <w:noWrap w:val="0"/>
            <w:textDirection w:val="tbRlV"/>
            <w:vAlign w:val="center"/>
          </w:tcPr>
          <w:p>
            <w:pPr>
              <w:widowControl/>
              <w:jc w:val="center"/>
              <w:textAlignment w:val="center"/>
              <w:rPr>
                <w:rFonts w:hint="eastAsia" w:ascii="宋体" w:hAnsi="宋体" w:eastAsia="宋体" w:cs="宋体"/>
                <w:kern w:val="0"/>
                <w:sz w:val="24"/>
                <w:szCs w:val="24"/>
              </w:rPr>
            </w:pPr>
          </w:p>
        </w:tc>
        <w:tc>
          <w:tcPr>
            <w:tcW w:w="2221" w:type="dxa"/>
            <w:gridSpan w:val="3"/>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中环中路、一里亭、翠江大厦</w:t>
            </w:r>
          </w:p>
        </w:tc>
        <w:tc>
          <w:tcPr>
            <w:tcW w:w="2491" w:type="dxa"/>
            <w:gridSpan w:val="2"/>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中环中路1号</w:t>
            </w:r>
          </w:p>
        </w:tc>
        <w:tc>
          <w:tcPr>
            <w:tcW w:w="2592" w:type="dxa"/>
            <w:gridSpan w:val="2"/>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一里亭</w:t>
            </w:r>
          </w:p>
        </w:tc>
        <w:tc>
          <w:tcPr>
            <w:tcW w:w="1625" w:type="dxa"/>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1936</w:t>
            </w:r>
          </w:p>
        </w:tc>
        <w:tc>
          <w:tcPr>
            <w:tcW w:w="1633" w:type="dxa"/>
            <w:gridSpan w:val="2"/>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6</w:t>
            </w:r>
          </w:p>
        </w:tc>
        <w:tc>
          <w:tcPr>
            <w:tcW w:w="2123" w:type="dxa"/>
            <w:gridSpan w:val="2"/>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11616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12635" w:type="dxa"/>
          <w:trHeight w:val="480" w:hRule="atLeast"/>
        </w:trPr>
        <w:tc>
          <w:tcPr>
            <w:tcW w:w="1019" w:type="dxa"/>
            <w:vMerge w:val="continue"/>
            <w:noWrap w:val="0"/>
            <w:textDirection w:val="tbRlV"/>
            <w:vAlign w:val="center"/>
          </w:tcPr>
          <w:p>
            <w:pPr>
              <w:widowControl/>
              <w:jc w:val="center"/>
              <w:textAlignment w:val="center"/>
              <w:rPr>
                <w:rFonts w:hint="eastAsia" w:ascii="宋体" w:hAnsi="宋体" w:eastAsia="宋体" w:cs="宋体"/>
                <w:kern w:val="0"/>
                <w:sz w:val="24"/>
                <w:szCs w:val="24"/>
              </w:rPr>
            </w:pPr>
          </w:p>
        </w:tc>
        <w:tc>
          <w:tcPr>
            <w:tcW w:w="2221" w:type="dxa"/>
            <w:gridSpan w:val="3"/>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玉林一二三路</w:t>
            </w:r>
          </w:p>
        </w:tc>
        <w:tc>
          <w:tcPr>
            <w:tcW w:w="2491" w:type="dxa"/>
            <w:gridSpan w:val="2"/>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玉林一路</w:t>
            </w:r>
          </w:p>
        </w:tc>
        <w:tc>
          <w:tcPr>
            <w:tcW w:w="2592" w:type="dxa"/>
            <w:gridSpan w:val="2"/>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玉林三路</w:t>
            </w:r>
          </w:p>
        </w:tc>
        <w:tc>
          <w:tcPr>
            <w:tcW w:w="1625" w:type="dxa"/>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1213</w:t>
            </w:r>
          </w:p>
        </w:tc>
        <w:tc>
          <w:tcPr>
            <w:tcW w:w="1633" w:type="dxa"/>
            <w:gridSpan w:val="2"/>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5</w:t>
            </w:r>
          </w:p>
        </w:tc>
        <w:tc>
          <w:tcPr>
            <w:tcW w:w="2123" w:type="dxa"/>
            <w:gridSpan w:val="2"/>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6065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12635" w:type="dxa"/>
          <w:trHeight w:val="480" w:hRule="atLeast"/>
        </w:trPr>
        <w:tc>
          <w:tcPr>
            <w:tcW w:w="1019" w:type="dxa"/>
            <w:vMerge w:val="continue"/>
            <w:noWrap w:val="0"/>
            <w:textDirection w:val="tbRlV"/>
            <w:vAlign w:val="center"/>
          </w:tcPr>
          <w:p>
            <w:pPr>
              <w:widowControl/>
              <w:jc w:val="center"/>
              <w:textAlignment w:val="center"/>
              <w:rPr>
                <w:rFonts w:hint="eastAsia" w:ascii="宋体" w:hAnsi="宋体" w:eastAsia="宋体" w:cs="宋体"/>
                <w:kern w:val="0"/>
                <w:sz w:val="24"/>
                <w:szCs w:val="24"/>
              </w:rPr>
            </w:pPr>
          </w:p>
        </w:tc>
        <w:tc>
          <w:tcPr>
            <w:tcW w:w="2221" w:type="dxa"/>
            <w:gridSpan w:val="3"/>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东街、阁背路</w:t>
            </w:r>
          </w:p>
        </w:tc>
        <w:tc>
          <w:tcPr>
            <w:tcW w:w="2491" w:type="dxa"/>
            <w:gridSpan w:val="2"/>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东街路</w:t>
            </w:r>
          </w:p>
        </w:tc>
        <w:tc>
          <w:tcPr>
            <w:tcW w:w="2592" w:type="dxa"/>
            <w:gridSpan w:val="2"/>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阁背路</w:t>
            </w:r>
          </w:p>
        </w:tc>
        <w:tc>
          <w:tcPr>
            <w:tcW w:w="1625" w:type="dxa"/>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2100</w:t>
            </w:r>
          </w:p>
        </w:tc>
        <w:tc>
          <w:tcPr>
            <w:tcW w:w="1633" w:type="dxa"/>
            <w:gridSpan w:val="2"/>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4</w:t>
            </w:r>
          </w:p>
        </w:tc>
        <w:tc>
          <w:tcPr>
            <w:tcW w:w="2123" w:type="dxa"/>
            <w:gridSpan w:val="2"/>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8400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12635" w:type="dxa"/>
          <w:trHeight w:val="640" w:hRule="atLeast"/>
        </w:trPr>
        <w:tc>
          <w:tcPr>
            <w:tcW w:w="1019" w:type="dxa"/>
            <w:vMerge w:val="continue"/>
            <w:noWrap w:val="0"/>
            <w:textDirection w:val="tbRlV"/>
            <w:vAlign w:val="center"/>
          </w:tcPr>
          <w:p>
            <w:pPr>
              <w:widowControl/>
              <w:jc w:val="center"/>
              <w:textAlignment w:val="center"/>
              <w:rPr>
                <w:rFonts w:hint="eastAsia" w:ascii="宋体" w:hAnsi="宋体" w:eastAsia="宋体" w:cs="宋体"/>
                <w:kern w:val="0"/>
                <w:sz w:val="24"/>
                <w:szCs w:val="24"/>
              </w:rPr>
            </w:pPr>
          </w:p>
        </w:tc>
        <w:tc>
          <w:tcPr>
            <w:tcW w:w="2221" w:type="dxa"/>
            <w:gridSpan w:val="3"/>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城隍巷、翻身、先进、向阳弄</w:t>
            </w:r>
          </w:p>
        </w:tc>
        <w:tc>
          <w:tcPr>
            <w:tcW w:w="2491" w:type="dxa"/>
            <w:gridSpan w:val="2"/>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城隍巷</w:t>
            </w:r>
          </w:p>
        </w:tc>
        <w:tc>
          <w:tcPr>
            <w:tcW w:w="2592" w:type="dxa"/>
            <w:gridSpan w:val="2"/>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向阳弄</w:t>
            </w:r>
          </w:p>
        </w:tc>
        <w:tc>
          <w:tcPr>
            <w:tcW w:w="1625" w:type="dxa"/>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2181</w:t>
            </w:r>
          </w:p>
        </w:tc>
        <w:tc>
          <w:tcPr>
            <w:tcW w:w="1633" w:type="dxa"/>
            <w:gridSpan w:val="2"/>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3</w:t>
            </w:r>
          </w:p>
        </w:tc>
        <w:tc>
          <w:tcPr>
            <w:tcW w:w="2123" w:type="dxa"/>
            <w:gridSpan w:val="2"/>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6543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12635" w:type="dxa"/>
          <w:trHeight w:val="480" w:hRule="atLeast"/>
        </w:trPr>
        <w:tc>
          <w:tcPr>
            <w:tcW w:w="1019" w:type="dxa"/>
            <w:vMerge w:val="continue"/>
            <w:noWrap w:val="0"/>
            <w:textDirection w:val="tbRlV"/>
            <w:vAlign w:val="center"/>
          </w:tcPr>
          <w:p>
            <w:pPr>
              <w:widowControl/>
              <w:jc w:val="center"/>
              <w:textAlignment w:val="center"/>
              <w:rPr>
                <w:rFonts w:hint="eastAsia" w:ascii="宋体" w:hAnsi="宋体" w:eastAsia="宋体" w:cs="宋体"/>
                <w:kern w:val="0"/>
                <w:sz w:val="24"/>
                <w:szCs w:val="24"/>
              </w:rPr>
            </w:pPr>
          </w:p>
        </w:tc>
        <w:tc>
          <w:tcPr>
            <w:tcW w:w="2221" w:type="dxa"/>
            <w:gridSpan w:val="3"/>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中心巷、水门巷</w:t>
            </w:r>
          </w:p>
        </w:tc>
        <w:tc>
          <w:tcPr>
            <w:tcW w:w="2491" w:type="dxa"/>
            <w:gridSpan w:val="2"/>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中心巷</w:t>
            </w:r>
          </w:p>
        </w:tc>
        <w:tc>
          <w:tcPr>
            <w:tcW w:w="2592" w:type="dxa"/>
            <w:gridSpan w:val="2"/>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水门巷</w:t>
            </w:r>
          </w:p>
        </w:tc>
        <w:tc>
          <w:tcPr>
            <w:tcW w:w="1625" w:type="dxa"/>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1823</w:t>
            </w:r>
          </w:p>
        </w:tc>
        <w:tc>
          <w:tcPr>
            <w:tcW w:w="1633" w:type="dxa"/>
            <w:gridSpan w:val="2"/>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3</w:t>
            </w:r>
          </w:p>
        </w:tc>
        <w:tc>
          <w:tcPr>
            <w:tcW w:w="2123" w:type="dxa"/>
            <w:gridSpan w:val="2"/>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5469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12635" w:type="dxa"/>
          <w:trHeight w:val="480" w:hRule="atLeast"/>
        </w:trPr>
        <w:tc>
          <w:tcPr>
            <w:tcW w:w="1019" w:type="dxa"/>
            <w:vMerge w:val="restart"/>
            <w:noWrap w:val="0"/>
            <w:textDirection w:val="tbRlV"/>
            <w:vAlign w:val="center"/>
          </w:tcPr>
          <w:p>
            <w:pPr>
              <w:widowControl/>
              <w:jc w:val="center"/>
              <w:textAlignment w:val="center"/>
              <w:rPr>
                <w:rFonts w:hint="eastAsia" w:ascii="宋体" w:hAnsi="宋体" w:eastAsia="宋体" w:cs="宋体"/>
                <w:kern w:val="0"/>
                <w:sz w:val="24"/>
                <w:szCs w:val="24"/>
              </w:rPr>
            </w:pPr>
            <w:r>
              <w:rPr>
                <w:rFonts w:hint="eastAsia" w:ascii="宋体" w:hAnsi="宋体" w:eastAsia="宋体" w:cs="宋体"/>
                <w:kern w:val="0"/>
                <w:sz w:val="24"/>
                <w:szCs w:val="24"/>
              </w:rPr>
              <w:t>城西社区</w:t>
            </w:r>
          </w:p>
        </w:tc>
        <w:tc>
          <w:tcPr>
            <w:tcW w:w="2221" w:type="dxa"/>
            <w:gridSpan w:val="3"/>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新庙塅</w:t>
            </w:r>
          </w:p>
        </w:tc>
        <w:tc>
          <w:tcPr>
            <w:tcW w:w="2491" w:type="dxa"/>
            <w:gridSpan w:val="2"/>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安置房</w:t>
            </w:r>
          </w:p>
        </w:tc>
        <w:tc>
          <w:tcPr>
            <w:tcW w:w="2592" w:type="dxa"/>
            <w:gridSpan w:val="2"/>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新庙塅114号</w:t>
            </w:r>
          </w:p>
        </w:tc>
        <w:tc>
          <w:tcPr>
            <w:tcW w:w="1625" w:type="dxa"/>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1539</w:t>
            </w:r>
          </w:p>
        </w:tc>
        <w:tc>
          <w:tcPr>
            <w:tcW w:w="1633" w:type="dxa"/>
            <w:gridSpan w:val="2"/>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4</w:t>
            </w:r>
          </w:p>
        </w:tc>
        <w:tc>
          <w:tcPr>
            <w:tcW w:w="2123" w:type="dxa"/>
            <w:gridSpan w:val="2"/>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6158.67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12635" w:type="dxa"/>
          <w:trHeight w:val="480" w:hRule="atLeast"/>
        </w:trPr>
        <w:tc>
          <w:tcPr>
            <w:tcW w:w="1019" w:type="dxa"/>
            <w:vMerge w:val="continue"/>
            <w:noWrap w:val="0"/>
            <w:textDirection w:val="tbRlV"/>
            <w:vAlign w:val="center"/>
          </w:tcPr>
          <w:p>
            <w:pPr>
              <w:jc w:val="center"/>
              <w:rPr>
                <w:rFonts w:hint="eastAsia" w:ascii="宋体" w:hAnsi="宋体" w:eastAsia="宋体" w:cs="宋体"/>
                <w:sz w:val="24"/>
                <w:szCs w:val="24"/>
              </w:rPr>
            </w:pPr>
          </w:p>
        </w:tc>
        <w:tc>
          <w:tcPr>
            <w:tcW w:w="2221" w:type="dxa"/>
            <w:gridSpan w:val="3"/>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五坑口</w:t>
            </w:r>
          </w:p>
        </w:tc>
        <w:tc>
          <w:tcPr>
            <w:tcW w:w="2491" w:type="dxa"/>
            <w:gridSpan w:val="2"/>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五坑口</w:t>
            </w:r>
          </w:p>
        </w:tc>
        <w:tc>
          <w:tcPr>
            <w:tcW w:w="2592" w:type="dxa"/>
            <w:gridSpan w:val="2"/>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金鸡山1号39号</w:t>
            </w:r>
          </w:p>
        </w:tc>
        <w:tc>
          <w:tcPr>
            <w:tcW w:w="1625" w:type="dxa"/>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1539</w:t>
            </w:r>
          </w:p>
        </w:tc>
        <w:tc>
          <w:tcPr>
            <w:tcW w:w="1633" w:type="dxa"/>
            <w:gridSpan w:val="2"/>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4</w:t>
            </w:r>
          </w:p>
        </w:tc>
        <w:tc>
          <w:tcPr>
            <w:tcW w:w="2123" w:type="dxa"/>
            <w:gridSpan w:val="2"/>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6158.67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12635" w:type="dxa"/>
          <w:trHeight w:val="480" w:hRule="atLeast"/>
        </w:trPr>
        <w:tc>
          <w:tcPr>
            <w:tcW w:w="1019" w:type="dxa"/>
            <w:vMerge w:val="continue"/>
            <w:noWrap w:val="0"/>
            <w:textDirection w:val="tbRlV"/>
            <w:vAlign w:val="center"/>
          </w:tcPr>
          <w:p>
            <w:pPr>
              <w:jc w:val="center"/>
              <w:rPr>
                <w:rFonts w:hint="eastAsia" w:ascii="宋体" w:hAnsi="宋体" w:eastAsia="宋体" w:cs="宋体"/>
                <w:sz w:val="24"/>
                <w:szCs w:val="24"/>
              </w:rPr>
            </w:pPr>
          </w:p>
        </w:tc>
        <w:tc>
          <w:tcPr>
            <w:tcW w:w="2221" w:type="dxa"/>
            <w:gridSpan w:val="3"/>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上进路AA</w:t>
            </w:r>
          </w:p>
        </w:tc>
        <w:tc>
          <w:tcPr>
            <w:tcW w:w="2491" w:type="dxa"/>
            <w:gridSpan w:val="2"/>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上进路18-1号</w:t>
            </w:r>
          </w:p>
        </w:tc>
        <w:tc>
          <w:tcPr>
            <w:tcW w:w="2592" w:type="dxa"/>
            <w:gridSpan w:val="2"/>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垃圾驿站旁边</w:t>
            </w:r>
          </w:p>
        </w:tc>
        <w:tc>
          <w:tcPr>
            <w:tcW w:w="1625" w:type="dxa"/>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1636</w:t>
            </w:r>
          </w:p>
        </w:tc>
        <w:tc>
          <w:tcPr>
            <w:tcW w:w="1633" w:type="dxa"/>
            <w:gridSpan w:val="2"/>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3</w:t>
            </w:r>
          </w:p>
        </w:tc>
        <w:tc>
          <w:tcPr>
            <w:tcW w:w="2123" w:type="dxa"/>
            <w:gridSpan w:val="2"/>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4909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12635" w:type="dxa"/>
          <w:trHeight w:val="480" w:hRule="atLeast"/>
        </w:trPr>
        <w:tc>
          <w:tcPr>
            <w:tcW w:w="1019" w:type="dxa"/>
            <w:vMerge w:val="continue"/>
            <w:noWrap w:val="0"/>
            <w:textDirection w:val="tbRlV"/>
            <w:vAlign w:val="center"/>
          </w:tcPr>
          <w:p>
            <w:pPr>
              <w:jc w:val="center"/>
              <w:rPr>
                <w:rFonts w:hint="eastAsia" w:ascii="宋体" w:hAnsi="宋体" w:eastAsia="宋体" w:cs="宋体"/>
                <w:sz w:val="24"/>
                <w:szCs w:val="24"/>
              </w:rPr>
            </w:pPr>
          </w:p>
        </w:tc>
        <w:tc>
          <w:tcPr>
            <w:tcW w:w="2221" w:type="dxa"/>
            <w:gridSpan w:val="3"/>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上进路B</w:t>
            </w:r>
          </w:p>
        </w:tc>
        <w:tc>
          <w:tcPr>
            <w:tcW w:w="2491" w:type="dxa"/>
            <w:gridSpan w:val="2"/>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上进路77-1号</w:t>
            </w:r>
          </w:p>
        </w:tc>
        <w:tc>
          <w:tcPr>
            <w:tcW w:w="2592" w:type="dxa"/>
            <w:gridSpan w:val="2"/>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上进路188号和岗上园</w:t>
            </w:r>
          </w:p>
        </w:tc>
        <w:tc>
          <w:tcPr>
            <w:tcW w:w="1625" w:type="dxa"/>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1636</w:t>
            </w:r>
          </w:p>
        </w:tc>
        <w:tc>
          <w:tcPr>
            <w:tcW w:w="1633" w:type="dxa"/>
            <w:gridSpan w:val="2"/>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3</w:t>
            </w:r>
          </w:p>
        </w:tc>
        <w:tc>
          <w:tcPr>
            <w:tcW w:w="2123" w:type="dxa"/>
            <w:gridSpan w:val="2"/>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4909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12635" w:type="dxa"/>
          <w:trHeight w:val="480" w:hRule="atLeast"/>
        </w:trPr>
        <w:tc>
          <w:tcPr>
            <w:tcW w:w="1019" w:type="dxa"/>
            <w:vMerge w:val="continue"/>
            <w:noWrap w:val="0"/>
            <w:textDirection w:val="tbRlV"/>
            <w:vAlign w:val="center"/>
          </w:tcPr>
          <w:p>
            <w:pPr>
              <w:jc w:val="center"/>
              <w:rPr>
                <w:rFonts w:hint="eastAsia" w:ascii="宋体" w:hAnsi="宋体" w:eastAsia="宋体" w:cs="宋体"/>
                <w:sz w:val="24"/>
                <w:szCs w:val="24"/>
              </w:rPr>
            </w:pPr>
          </w:p>
        </w:tc>
        <w:tc>
          <w:tcPr>
            <w:tcW w:w="2221" w:type="dxa"/>
            <w:gridSpan w:val="3"/>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金鸡山A</w:t>
            </w:r>
          </w:p>
        </w:tc>
        <w:tc>
          <w:tcPr>
            <w:tcW w:w="2491" w:type="dxa"/>
            <w:gridSpan w:val="2"/>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坡底路口</w:t>
            </w:r>
          </w:p>
        </w:tc>
        <w:tc>
          <w:tcPr>
            <w:tcW w:w="2592" w:type="dxa"/>
            <w:gridSpan w:val="2"/>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金鸡山210号</w:t>
            </w:r>
          </w:p>
        </w:tc>
        <w:tc>
          <w:tcPr>
            <w:tcW w:w="1625" w:type="dxa"/>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2361</w:t>
            </w:r>
          </w:p>
        </w:tc>
        <w:tc>
          <w:tcPr>
            <w:tcW w:w="1633" w:type="dxa"/>
            <w:gridSpan w:val="2"/>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3</w:t>
            </w:r>
          </w:p>
        </w:tc>
        <w:tc>
          <w:tcPr>
            <w:tcW w:w="2123" w:type="dxa"/>
            <w:gridSpan w:val="2"/>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7084.45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12635" w:type="dxa"/>
          <w:trHeight w:val="480" w:hRule="atLeast"/>
        </w:trPr>
        <w:tc>
          <w:tcPr>
            <w:tcW w:w="1019" w:type="dxa"/>
            <w:vMerge w:val="continue"/>
            <w:noWrap w:val="0"/>
            <w:textDirection w:val="tbRlV"/>
            <w:vAlign w:val="center"/>
          </w:tcPr>
          <w:p>
            <w:pPr>
              <w:jc w:val="center"/>
              <w:rPr>
                <w:rFonts w:hint="eastAsia" w:ascii="宋体" w:hAnsi="宋体" w:eastAsia="宋体" w:cs="宋体"/>
                <w:sz w:val="24"/>
                <w:szCs w:val="24"/>
              </w:rPr>
            </w:pPr>
          </w:p>
        </w:tc>
        <w:tc>
          <w:tcPr>
            <w:tcW w:w="2221" w:type="dxa"/>
            <w:gridSpan w:val="3"/>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金鸡山B</w:t>
            </w:r>
          </w:p>
        </w:tc>
        <w:tc>
          <w:tcPr>
            <w:tcW w:w="2491" w:type="dxa"/>
            <w:gridSpan w:val="2"/>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坡顶右边</w:t>
            </w:r>
          </w:p>
        </w:tc>
        <w:tc>
          <w:tcPr>
            <w:tcW w:w="2592" w:type="dxa"/>
            <w:gridSpan w:val="2"/>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西瓜窠</w:t>
            </w:r>
          </w:p>
        </w:tc>
        <w:tc>
          <w:tcPr>
            <w:tcW w:w="1625" w:type="dxa"/>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2346</w:t>
            </w:r>
          </w:p>
        </w:tc>
        <w:tc>
          <w:tcPr>
            <w:tcW w:w="1633" w:type="dxa"/>
            <w:gridSpan w:val="2"/>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3</w:t>
            </w:r>
          </w:p>
        </w:tc>
        <w:tc>
          <w:tcPr>
            <w:tcW w:w="2123" w:type="dxa"/>
            <w:gridSpan w:val="2"/>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7040.75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12635" w:type="dxa"/>
          <w:trHeight w:val="480" w:hRule="atLeast"/>
        </w:trPr>
        <w:tc>
          <w:tcPr>
            <w:tcW w:w="1019" w:type="dxa"/>
            <w:vMerge w:val="continue"/>
            <w:noWrap w:val="0"/>
            <w:textDirection w:val="tbRlV"/>
            <w:vAlign w:val="center"/>
          </w:tcPr>
          <w:p>
            <w:pPr>
              <w:jc w:val="center"/>
              <w:rPr>
                <w:rFonts w:hint="eastAsia" w:ascii="宋体" w:hAnsi="宋体" w:eastAsia="宋体" w:cs="宋体"/>
                <w:sz w:val="24"/>
                <w:szCs w:val="24"/>
              </w:rPr>
            </w:pPr>
          </w:p>
        </w:tc>
        <w:tc>
          <w:tcPr>
            <w:tcW w:w="2221" w:type="dxa"/>
            <w:gridSpan w:val="3"/>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茶果场</w:t>
            </w:r>
          </w:p>
        </w:tc>
        <w:tc>
          <w:tcPr>
            <w:tcW w:w="2491" w:type="dxa"/>
            <w:gridSpan w:val="2"/>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整个茶果场</w:t>
            </w:r>
          </w:p>
        </w:tc>
        <w:tc>
          <w:tcPr>
            <w:tcW w:w="2592" w:type="dxa"/>
            <w:gridSpan w:val="2"/>
            <w:noWrap w:val="0"/>
            <w:vAlign w:val="center"/>
          </w:tcPr>
          <w:p>
            <w:pPr>
              <w:jc w:val="center"/>
              <w:rPr>
                <w:rFonts w:hint="eastAsia" w:ascii="宋体" w:hAnsi="宋体" w:eastAsia="宋体" w:cs="宋体"/>
                <w:sz w:val="24"/>
                <w:szCs w:val="24"/>
              </w:rPr>
            </w:pPr>
            <w:r>
              <w:rPr>
                <w:rFonts w:hint="eastAsia" w:ascii="宋体" w:hAnsi="宋体" w:cs="宋体"/>
                <w:sz w:val="24"/>
                <w:szCs w:val="24"/>
                <w:lang w:val="en-US" w:eastAsia="zh-CN"/>
              </w:rPr>
              <w:t>/</w:t>
            </w:r>
          </w:p>
        </w:tc>
        <w:tc>
          <w:tcPr>
            <w:tcW w:w="1625" w:type="dxa"/>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1541</w:t>
            </w:r>
          </w:p>
        </w:tc>
        <w:tc>
          <w:tcPr>
            <w:tcW w:w="1633" w:type="dxa"/>
            <w:gridSpan w:val="2"/>
            <w:noWrap w:val="0"/>
            <w:vAlign w:val="center"/>
          </w:tcPr>
          <w:p>
            <w:pPr>
              <w:jc w:val="center"/>
              <w:rPr>
                <w:rFonts w:hint="eastAsia" w:ascii="宋体" w:hAnsi="宋体" w:eastAsia="宋体" w:cs="宋体"/>
                <w:sz w:val="24"/>
                <w:szCs w:val="24"/>
              </w:rPr>
            </w:pPr>
          </w:p>
        </w:tc>
        <w:tc>
          <w:tcPr>
            <w:tcW w:w="2123" w:type="dxa"/>
            <w:gridSpan w:val="2"/>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4624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12635" w:type="dxa"/>
          <w:trHeight w:val="480" w:hRule="atLeast"/>
        </w:trPr>
        <w:tc>
          <w:tcPr>
            <w:tcW w:w="1019" w:type="dxa"/>
            <w:noWrap w:val="0"/>
            <w:textDirection w:val="tbRlV"/>
            <w:vAlign w:val="center"/>
          </w:tcPr>
          <w:p>
            <w:pPr>
              <w:widowControl/>
              <w:jc w:val="center"/>
              <w:textAlignment w:val="center"/>
              <w:rPr>
                <w:rFonts w:hint="eastAsia" w:ascii="宋体" w:hAnsi="宋体" w:eastAsia="宋体" w:cs="宋体"/>
                <w:b/>
                <w:bCs/>
                <w:kern w:val="0"/>
                <w:sz w:val="24"/>
                <w:szCs w:val="24"/>
              </w:rPr>
            </w:pPr>
          </w:p>
        </w:tc>
        <w:tc>
          <w:tcPr>
            <w:tcW w:w="2221" w:type="dxa"/>
            <w:gridSpan w:val="3"/>
            <w:noWrap w:val="0"/>
            <w:vAlign w:val="center"/>
          </w:tcPr>
          <w:p>
            <w:pPr>
              <w:widowControl/>
              <w:jc w:val="center"/>
              <w:textAlignment w:val="center"/>
              <w:rPr>
                <w:rFonts w:hint="eastAsia" w:ascii="宋体" w:hAnsi="宋体" w:eastAsia="宋体" w:cs="宋体"/>
                <w:b/>
                <w:bCs/>
                <w:kern w:val="0"/>
                <w:sz w:val="24"/>
                <w:szCs w:val="24"/>
              </w:rPr>
            </w:pPr>
          </w:p>
        </w:tc>
        <w:tc>
          <w:tcPr>
            <w:tcW w:w="2491" w:type="dxa"/>
            <w:gridSpan w:val="2"/>
            <w:noWrap w:val="0"/>
            <w:vAlign w:val="center"/>
          </w:tcPr>
          <w:p>
            <w:pPr>
              <w:widowControl/>
              <w:jc w:val="center"/>
              <w:textAlignment w:val="center"/>
              <w:rPr>
                <w:rFonts w:hint="eastAsia" w:ascii="宋体" w:hAnsi="宋体" w:eastAsia="宋体" w:cs="宋体"/>
                <w:b/>
                <w:bCs/>
                <w:kern w:val="0"/>
                <w:sz w:val="24"/>
                <w:szCs w:val="24"/>
              </w:rPr>
            </w:pPr>
          </w:p>
        </w:tc>
        <w:tc>
          <w:tcPr>
            <w:tcW w:w="2592" w:type="dxa"/>
            <w:gridSpan w:val="2"/>
            <w:noWrap w:val="0"/>
            <w:vAlign w:val="center"/>
          </w:tcPr>
          <w:p>
            <w:pPr>
              <w:widowControl/>
              <w:jc w:val="center"/>
              <w:textAlignment w:val="center"/>
              <w:rPr>
                <w:rFonts w:hint="eastAsia" w:ascii="宋体" w:hAnsi="宋体" w:eastAsia="宋体" w:cs="宋体"/>
                <w:b/>
                <w:bCs/>
                <w:kern w:val="0"/>
                <w:sz w:val="24"/>
                <w:szCs w:val="24"/>
              </w:rPr>
            </w:pPr>
          </w:p>
        </w:tc>
        <w:tc>
          <w:tcPr>
            <w:tcW w:w="3258" w:type="dxa"/>
            <w:gridSpan w:val="3"/>
            <w:noWrap w:val="0"/>
            <w:vAlign w:val="center"/>
          </w:tcPr>
          <w:p>
            <w:pPr>
              <w:widowControl/>
              <w:jc w:val="center"/>
              <w:textAlignment w:val="center"/>
              <w:rPr>
                <w:rFonts w:hint="eastAsia" w:ascii="宋体" w:hAnsi="宋体" w:eastAsia="宋体" w:cs="宋体"/>
                <w:b/>
                <w:bCs/>
                <w:kern w:val="0"/>
                <w:sz w:val="24"/>
                <w:szCs w:val="24"/>
              </w:rPr>
            </w:pPr>
            <w:r>
              <w:rPr>
                <w:rFonts w:hint="eastAsia" w:ascii="宋体" w:hAnsi="宋体" w:eastAsia="宋体" w:cs="宋体"/>
                <w:b/>
                <w:bCs/>
                <w:kern w:val="0"/>
                <w:sz w:val="24"/>
                <w:szCs w:val="24"/>
              </w:rPr>
              <w:t>合计：</w:t>
            </w:r>
          </w:p>
        </w:tc>
        <w:tc>
          <w:tcPr>
            <w:tcW w:w="2123" w:type="dxa"/>
            <w:gridSpan w:val="2"/>
            <w:noWrap w:val="0"/>
            <w:vAlign w:val="center"/>
          </w:tcPr>
          <w:p>
            <w:pPr>
              <w:widowControl/>
              <w:jc w:val="center"/>
              <w:textAlignment w:val="center"/>
              <w:rPr>
                <w:rFonts w:hint="eastAsia" w:ascii="宋体" w:hAnsi="宋体" w:eastAsia="宋体" w:cs="宋体"/>
                <w:b/>
                <w:bCs/>
                <w:kern w:val="0"/>
                <w:sz w:val="24"/>
                <w:szCs w:val="24"/>
              </w:rPr>
            </w:pPr>
            <w:r>
              <w:rPr>
                <w:rFonts w:hint="eastAsia" w:ascii="宋体" w:hAnsi="宋体" w:eastAsia="宋体" w:cs="宋体"/>
                <w:b/>
                <w:bCs/>
                <w:kern w:val="0"/>
                <w:sz w:val="24"/>
                <w:szCs w:val="24"/>
              </w:rPr>
              <w:t>392342.08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12635" w:type="dxa"/>
          <w:trHeight w:val="2809" w:hRule="atLeast"/>
        </w:trPr>
        <w:tc>
          <w:tcPr>
            <w:tcW w:w="13704" w:type="dxa"/>
            <w:gridSpan w:val="13"/>
            <w:noWrap w:val="0"/>
            <w:vAlign w:val="center"/>
          </w:tcPr>
          <w:tbl>
            <w:tblPr>
              <w:tblStyle w:val="7"/>
              <w:tblW w:w="14034" w:type="dxa"/>
              <w:tblInd w:w="0" w:type="dxa"/>
              <w:tblLayout w:type="fixed"/>
              <w:tblCellMar>
                <w:top w:w="0" w:type="dxa"/>
                <w:left w:w="108" w:type="dxa"/>
                <w:bottom w:w="0" w:type="dxa"/>
                <w:right w:w="108" w:type="dxa"/>
              </w:tblCellMar>
            </w:tblPr>
            <w:tblGrid>
              <w:gridCol w:w="1050"/>
              <w:gridCol w:w="1906"/>
              <w:gridCol w:w="2411"/>
              <w:gridCol w:w="2411"/>
              <w:gridCol w:w="2178"/>
              <w:gridCol w:w="2178"/>
              <w:gridCol w:w="1900"/>
            </w:tblGrid>
            <w:tr>
              <w:tblPrEx>
                <w:tblLayout w:type="fixed"/>
                <w:tblCellMar>
                  <w:top w:w="0" w:type="dxa"/>
                  <w:left w:w="108" w:type="dxa"/>
                  <w:bottom w:w="0" w:type="dxa"/>
                  <w:right w:w="108" w:type="dxa"/>
                </w:tblCellMar>
              </w:tblPrEx>
              <w:trPr>
                <w:trHeight w:val="822" w:hRule="atLeast"/>
              </w:trPr>
              <w:tc>
                <w:tcPr>
                  <w:tcW w:w="14034" w:type="dxa"/>
                  <w:gridSpan w:val="7"/>
                  <w:tcBorders>
                    <w:top w:val="nil"/>
                    <w:left w:val="nil"/>
                    <w:bottom w:val="nil"/>
                    <w:right w:val="nil"/>
                  </w:tcBorders>
                  <w:noWrap w:val="0"/>
                  <w:vAlign w:val="center"/>
                </w:tcPr>
                <w:p>
                  <w:pPr>
                    <w:widowControl/>
                    <w:jc w:val="center"/>
                    <w:rPr>
                      <w:rFonts w:hint="eastAsia" w:ascii="宋体" w:hAnsi="宋体" w:eastAsia="宋体" w:cs="宋体"/>
                      <w:b/>
                      <w:bCs/>
                      <w:kern w:val="0"/>
                      <w:sz w:val="24"/>
                      <w:szCs w:val="24"/>
                    </w:rPr>
                  </w:pPr>
                  <w:r>
                    <w:rPr>
                      <w:rFonts w:hint="eastAsia" w:ascii="宋体" w:hAnsi="宋体" w:eastAsia="宋体" w:cs="宋体"/>
                      <w:b/>
                      <w:bCs/>
                      <w:kern w:val="0"/>
                      <w:sz w:val="24"/>
                      <w:szCs w:val="24"/>
                    </w:rPr>
                    <w:t>城南镇现有作业道路清扫保洁面积</w:t>
                  </w:r>
                </w:p>
              </w:tc>
            </w:tr>
            <w:tr>
              <w:tblPrEx>
                <w:tblLayout w:type="fixed"/>
                <w:tblCellMar>
                  <w:top w:w="0" w:type="dxa"/>
                  <w:left w:w="108" w:type="dxa"/>
                  <w:bottom w:w="0" w:type="dxa"/>
                  <w:right w:w="108" w:type="dxa"/>
                </w:tblCellMar>
              </w:tblPrEx>
              <w:trPr>
                <w:trHeight w:val="439" w:hRule="atLeast"/>
              </w:trPr>
              <w:tc>
                <w:tcPr>
                  <w:tcW w:w="1050"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jc w:val="center"/>
                    <w:rPr>
                      <w:rFonts w:hint="eastAsia" w:ascii="宋体" w:hAnsi="宋体" w:eastAsia="宋体" w:cs="宋体"/>
                      <w:b/>
                      <w:bCs/>
                      <w:kern w:val="0"/>
                      <w:sz w:val="24"/>
                      <w:szCs w:val="24"/>
                    </w:rPr>
                  </w:pPr>
                  <w:r>
                    <w:rPr>
                      <w:rFonts w:hint="eastAsia" w:ascii="宋体" w:hAnsi="宋体" w:eastAsia="宋体" w:cs="宋体"/>
                      <w:b/>
                      <w:bCs/>
                      <w:kern w:val="0"/>
                      <w:sz w:val="24"/>
                      <w:szCs w:val="24"/>
                    </w:rPr>
                    <w:t>序号</w:t>
                  </w:r>
                </w:p>
              </w:tc>
              <w:tc>
                <w:tcPr>
                  <w:tcW w:w="1906"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jc w:val="center"/>
                    <w:rPr>
                      <w:rFonts w:hint="eastAsia" w:ascii="宋体" w:hAnsi="宋体" w:eastAsia="宋体" w:cs="宋体"/>
                      <w:b/>
                      <w:bCs/>
                      <w:kern w:val="0"/>
                      <w:sz w:val="24"/>
                      <w:szCs w:val="24"/>
                    </w:rPr>
                  </w:pPr>
                  <w:r>
                    <w:rPr>
                      <w:rFonts w:hint="eastAsia" w:ascii="宋体" w:hAnsi="宋体" w:eastAsia="宋体" w:cs="宋体"/>
                      <w:b/>
                      <w:bCs/>
                      <w:kern w:val="0"/>
                      <w:sz w:val="24"/>
                      <w:szCs w:val="24"/>
                    </w:rPr>
                    <w:t>道路名称</w:t>
                  </w:r>
                </w:p>
              </w:tc>
              <w:tc>
                <w:tcPr>
                  <w:tcW w:w="2411"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jc w:val="center"/>
                    <w:rPr>
                      <w:rFonts w:hint="eastAsia" w:ascii="宋体" w:hAnsi="宋体" w:eastAsia="宋体" w:cs="宋体"/>
                      <w:b/>
                      <w:bCs/>
                      <w:kern w:val="0"/>
                      <w:sz w:val="24"/>
                      <w:szCs w:val="24"/>
                    </w:rPr>
                  </w:pPr>
                  <w:r>
                    <w:rPr>
                      <w:rFonts w:hint="eastAsia" w:ascii="宋体" w:hAnsi="宋体" w:eastAsia="宋体" w:cs="宋体"/>
                      <w:b/>
                      <w:bCs/>
                      <w:kern w:val="0"/>
                      <w:sz w:val="24"/>
                      <w:szCs w:val="24"/>
                    </w:rPr>
                    <w:t>起点</w:t>
                  </w:r>
                </w:p>
              </w:tc>
              <w:tc>
                <w:tcPr>
                  <w:tcW w:w="2411"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jc w:val="center"/>
                    <w:rPr>
                      <w:rFonts w:hint="eastAsia" w:ascii="宋体" w:hAnsi="宋体" w:eastAsia="宋体" w:cs="宋体"/>
                      <w:b/>
                      <w:bCs/>
                      <w:kern w:val="0"/>
                      <w:sz w:val="24"/>
                      <w:szCs w:val="24"/>
                    </w:rPr>
                  </w:pPr>
                  <w:r>
                    <w:rPr>
                      <w:rFonts w:hint="eastAsia" w:ascii="宋体" w:hAnsi="宋体" w:eastAsia="宋体" w:cs="宋体"/>
                      <w:b/>
                      <w:bCs/>
                      <w:kern w:val="0"/>
                      <w:sz w:val="24"/>
                      <w:szCs w:val="24"/>
                    </w:rPr>
                    <w:t>终点</w:t>
                  </w:r>
                </w:p>
              </w:tc>
              <w:tc>
                <w:tcPr>
                  <w:tcW w:w="4356"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eastAsia="宋体" w:cs="宋体"/>
                      <w:b/>
                      <w:bCs/>
                      <w:kern w:val="0"/>
                      <w:sz w:val="24"/>
                      <w:szCs w:val="24"/>
                    </w:rPr>
                  </w:pPr>
                  <w:r>
                    <w:rPr>
                      <w:rFonts w:hint="eastAsia" w:ascii="宋体" w:hAnsi="宋体" w:eastAsia="宋体" w:cs="宋体"/>
                      <w:b/>
                      <w:bCs/>
                      <w:kern w:val="0"/>
                      <w:sz w:val="24"/>
                      <w:szCs w:val="24"/>
                    </w:rPr>
                    <w:t>道路面积(㎡) </w:t>
                  </w:r>
                </w:p>
              </w:tc>
              <w:tc>
                <w:tcPr>
                  <w:tcW w:w="1900"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jc w:val="center"/>
                    <w:rPr>
                      <w:rFonts w:hint="eastAsia" w:ascii="宋体" w:hAnsi="宋体" w:eastAsia="宋体" w:cs="宋体"/>
                      <w:b/>
                      <w:bCs/>
                      <w:kern w:val="0"/>
                      <w:sz w:val="24"/>
                      <w:szCs w:val="24"/>
                    </w:rPr>
                  </w:pPr>
                  <w:r>
                    <w:rPr>
                      <w:rFonts w:hint="eastAsia" w:ascii="宋体" w:hAnsi="宋体" w:eastAsia="宋体" w:cs="宋体"/>
                      <w:b/>
                      <w:bCs/>
                      <w:kern w:val="0"/>
                      <w:sz w:val="24"/>
                      <w:szCs w:val="24"/>
                    </w:rPr>
                    <w:t>小计(㎡)</w:t>
                  </w:r>
                </w:p>
              </w:tc>
            </w:tr>
            <w:tr>
              <w:tblPrEx>
                <w:tblLayout w:type="fixed"/>
                <w:tblCellMar>
                  <w:top w:w="0" w:type="dxa"/>
                  <w:left w:w="108" w:type="dxa"/>
                  <w:bottom w:w="0" w:type="dxa"/>
                  <w:right w:w="108" w:type="dxa"/>
                </w:tblCellMar>
              </w:tblPrEx>
              <w:trPr>
                <w:trHeight w:val="439" w:hRule="atLeast"/>
              </w:trPr>
              <w:tc>
                <w:tcPr>
                  <w:tcW w:w="1050"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b/>
                      <w:bCs/>
                      <w:kern w:val="0"/>
                      <w:sz w:val="24"/>
                      <w:szCs w:val="24"/>
                    </w:rPr>
                  </w:pPr>
                </w:p>
              </w:tc>
              <w:tc>
                <w:tcPr>
                  <w:tcW w:w="1906"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b/>
                      <w:bCs/>
                      <w:kern w:val="0"/>
                      <w:sz w:val="24"/>
                      <w:szCs w:val="24"/>
                    </w:rPr>
                  </w:pPr>
                </w:p>
              </w:tc>
              <w:tc>
                <w:tcPr>
                  <w:tcW w:w="2411"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b/>
                      <w:bCs/>
                      <w:kern w:val="0"/>
                      <w:sz w:val="24"/>
                      <w:szCs w:val="24"/>
                    </w:rPr>
                  </w:pPr>
                </w:p>
              </w:tc>
              <w:tc>
                <w:tcPr>
                  <w:tcW w:w="2411"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b/>
                      <w:bCs/>
                      <w:kern w:val="0"/>
                      <w:sz w:val="24"/>
                      <w:szCs w:val="24"/>
                    </w:rPr>
                  </w:pPr>
                </w:p>
              </w:tc>
              <w:tc>
                <w:tcPr>
                  <w:tcW w:w="2178"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
                      <w:bCs/>
                      <w:kern w:val="0"/>
                      <w:sz w:val="24"/>
                      <w:szCs w:val="24"/>
                    </w:rPr>
                  </w:pPr>
                  <w:r>
                    <w:rPr>
                      <w:rFonts w:hint="eastAsia" w:ascii="宋体" w:hAnsi="宋体" w:eastAsia="宋体" w:cs="宋体"/>
                      <w:b/>
                      <w:bCs/>
                      <w:kern w:val="0"/>
                      <w:sz w:val="24"/>
                      <w:szCs w:val="24"/>
                    </w:rPr>
                    <w:t>长</w:t>
                  </w:r>
                </w:p>
              </w:tc>
              <w:tc>
                <w:tcPr>
                  <w:tcW w:w="2178"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
                      <w:bCs/>
                      <w:kern w:val="0"/>
                      <w:sz w:val="24"/>
                      <w:szCs w:val="24"/>
                    </w:rPr>
                  </w:pPr>
                  <w:r>
                    <w:rPr>
                      <w:rFonts w:hint="eastAsia" w:ascii="宋体" w:hAnsi="宋体" w:eastAsia="宋体" w:cs="宋体"/>
                      <w:b/>
                      <w:bCs/>
                      <w:kern w:val="0"/>
                      <w:sz w:val="24"/>
                      <w:szCs w:val="24"/>
                    </w:rPr>
                    <w:t>宽</w:t>
                  </w:r>
                </w:p>
              </w:tc>
              <w:tc>
                <w:tcPr>
                  <w:tcW w:w="1900"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b/>
                      <w:bCs/>
                      <w:kern w:val="0"/>
                      <w:sz w:val="24"/>
                      <w:szCs w:val="24"/>
                    </w:rPr>
                  </w:pPr>
                </w:p>
              </w:tc>
            </w:tr>
            <w:tr>
              <w:tblPrEx>
                <w:tblLayout w:type="fixed"/>
                <w:tblCellMar>
                  <w:top w:w="0" w:type="dxa"/>
                  <w:left w:w="108" w:type="dxa"/>
                  <w:bottom w:w="0" w:type="dxa"/>
                  <w:right w:w="108" w:type="dxa"/>
                </w:tblCellMar>
              </w:tblPrEx>
              <w:trPr>
                <w:trHeight w:val="675" w:hRule="atLeast"/>
              </w:trPr>
              <w:tc>
                <w:tcPr>
                  <w:tcW w:w="10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1</w:t>
                  </w:r>
                </w:p>
              </w:tc>
              <w:tc>
                <w:tcPr>
                  <w:tcW w:w="1906"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城南大街（含五家坊）</w:t>
                  </w:r>
                </w:p>
              </w:tc>
              <w:tc>
                <w:tcPr>
                  <w:tcW w:w="241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r>
                    <w:rPr>
                      <w:rFonts w:hint="eastAsia" w:ascii="宋体" w:hAnsi="宋体" w:cs="宋体"/>
                      <w:sz w:val="24"/>
                      <w:szCs w:val="24"/>
                      <w:lang w:val="en-US" w:eastAsia="zh-CN"/>
                    </w:rPr>
                    <w:t>/</w:t>
                  </w:r>
                </w:p>
              </w:tc>
              <w:tc>
                <w:tcPr>
                  <w:tcW w:w="241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cs="宋体"/>
                      <w:sz w:val="24"/>
                      <w:szCs w:val="24"/>
                      <w:lang w:val="en-US" w:eastAsia="zh-CN"/>
                    </w:rPr>
                    <w:t>/</w:t>
                  </w:r>
                  <w:r>
                    <w:rPr>
                      <w:rFonts w:hint="eastAsia" w:ascii="宋体" w:hAnsi="宋体" w:eastAsia="宋体" w:cs="宋体"/>
                      <w:kern w:val="0"/>
                      <w:sz w:val="24"/>
                      <w:szCs w:val="24"/>
                    </w:rPr>
                    <w:t>　</w:t>
                  </w:r>
                </w:p>
              </w:tc>
              <w:tc>
                <w:tcPr>
                  <w:tcW w:w="2178"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2178"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190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24000</w:t>
                  </w:r>
                </w:p>
              </w:tc>
            </w:tr>
            <w:tr>
              <w:tblPrEx>
                <w:tblLayout w:type="fixed"/>
                <w:tblCellMar>
                  <w:top w:w="0" w:type="dxa"/>
                  <w:left w:w="108" w:type="dxa"/>
                  <w:bottom w:w="0" w:type="dxa"/>
                  <w:right w:w="108" w:type="dxa"/>
                </w:tblCellMar>
              </w:tblPrEx>
              <w:trPr>
                <w:trHeight w:val="439" w:hRule="atLeast"/>
              </w:trPr>
              <w:tc>
                <w:tcPr>
                  <w:tcW w:w="10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1906"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241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241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4356"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合计</w:t>
                  </w:r>
                </w:p>
              </w:tc>
              <w:tc>
                <w:tcPr>
                  <w:tcW w:w="190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24000</w:t>
                  </w:r>
                </w:p>
              </w:tc>
            </w:tr>
          </w:tbl>
          <w:p>
            <w:pPr>
              <w:widowControl/>
              <w:jc w:val="center"/>
              <w:textAlignment w:val="center"/>
              <w:rPr>
                <w:rFonts w:hint="eastAsia" w:ascii="宋体" w:hAnsi="宋体" w:eastAsia="宋体" w:cs="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12635" w:type="dxa"/>
          <w:trHeight w:val="540" w:hRule="atLeast"/>
        </w:trPr>
        <w:tc>
          <w:tcPr>
            <w:tcW w:w="13704" w:type="dxa"/>
            <w:gridSpan w:val="13"/>
            <w:noWrap w:val="0"/>
            <w:vAlign w:val="center"/>
          </w:tcPr>
          <w:p>
            <w:pPr>
              <w:widowControl/>
              <w:jc w:val="center"/>
              <w:textAlignment w:val="center"/>
              <w:rPr>
                <w:rFonts w:hint="eastAsia" w:ascii="宋体" w:hAnsi="宋体" w:eastAsia="宋体" w:cs="宋体"/>
                <w:b/>
                <w:kern w:val="0"/>
                <w:sz w:val="24"/>
                <w:szCs w:val="24"/>
              </w:rPr>
            </w:pPr>
          </w:p>
          <w:tbl>
            <w:tblPr>
              <w:tblStyle w:val="7"/>
              <w:tblW w:w="14034" w:type="dxa"/>
              <w:tblInd w:w="-30" w:type="dxa"/>
              <w:tblLayout w:type="fixed"/>
              <w:tblCellMar>
                <w:top w:w="0" w:type="dxa"/>
                <w:left w:w="108" w:type="dxa"/>
                <w:bottom w:w="0" w:type="dxa"/>
                <w:right w:w="108" w:type="dxa"/>
              </w:tblCellMar>
            </w:tblPr>
            <w:tblGrid>
              <w:gridCol w:w="1050"/>
              <w:gridCol w:w="1906"/>
              <w:gridCol w:w="2411"/>
              <w:gridCol w:w="2411"/>
              <w:gridCol w:w="2178"/>
              <w:gridCol w:w="2178"/>
              <w:gridCol w:w="1900"/>
            </w:tblGrid>
            <w:tr>
              <w:tblPrEx>
                <w:tblLayout w:type="fixed"/>
                <w:tblCellMar>
                  <w:top w:w="0" w:type="dxa"/>
                  <w:left w:w="108" w:type="dxa"/>
                  <w:bottom w:w="0" w:type="dxa"/>
                  <w:right w:w="108" w:type="dxa"/>
                </w:tblCellMar>
              </w:tblPrEx>
              <w:trPr>
                <w:trHeight w:val="900" w:hRule="atLeast"/>
              </w:trPr>
              <w:tc>
                <w:tcPr>
                  <w:tcW w:w="14034" w:type="dxa"/>
                  <w:gridSpan w:val="7"/>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b/>
                      <w:bCs/>
                      <w:kern w:val="0"/>
                      <w:sz w:val="24"/>
                      <w:szCs w:val="24"/>
                    </w:rPr>
                  </w:pPr>
                  <w:r>
                    <w:rPr>
                      <w:rFonts w:hint="eastAsia" w:ascii="宋体" w:hAnsi="宋体" w:eastAsia="宋体" w:cs="宋体"/>
                      <w:b/>
                      <w:bCs/>
                      <w:kern w:val="0"/>
                      <w:sz w:val="24"/>
                      <w:szCs w:val="24"/>
                    </w:rPr>
                    <w:t>城郊镇现有作业道路清扫保洁面积</w:t>
                  </w:r>
                </w:p>
              </w:tc>
            </w:tr>
            <w:tr>
              <w:tblPrEx>
                <w:tblLayout w:type="fixed"/>
                <w:tblCellMar>
                  <w:top w:w="0" w:type="dxa"/>
                  <w:left w:w="108" w:type="dxa"/>
                  <w:bottom w:w="0" w:type="dxa"/>
                  <w:right w:w="108" w:type="dxa"/>
                </w:tblCellMar>
              </w:tblPrEx>
              <w:trPr>
                <w:trHeight w:val="439" w:hRule="atLeast"/>
              </w:trPr>
              <w:tc>
                <w:tcPr>
                  <w:tcW w:w="105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bCs/>
                      <w:kern w:val="0"/>
                      <w:sz w:val="24"/>
                      <w:szCs w:val="24"/>
                    </w:rPr>
                  </w:pPr>
                  <w:r>
                    <w:rPr>
                      <w:rFonts w:hint="eastAsia" w:ascii="宋体" w:hAnsi="宋体" w:eastAsia="宋体" w:cs="宋体"/>
                      <w:b/>
                      <w:bCs/>
                      <w:kern w:val="0"/>
                      <w:sz w:val="24"/>
                      <w:szCs w:val="24"/>
                    </w:rPr>
                    <w:t>序号</w:t>
                  </w:r>
                </w:p>
              </w:tc>
              <w:tc>
                <w:tcPr>
                  <w:tcW w:w="190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bCs/>
                      <w:kern w:val="0"/>
                      <w:sz w:val="24"/>
                      <w:szCs w:val="24"/>
                    </w:rPr>
                  </w:pPr>
                  <w:r>
                    <w:rPr>
                      <w:rFonts w:hint="eastAsia" w:ascii="宋体" w:hAnsi="宋体" w:eastAsia="宋体" w:cs="宋体"/>
                      <w:b/>
                      <w:bCs/>
                      <w:kern w:val="0"/>
                      <w:sz w:val="24"/>
                      <w:szCs w:val="24"/>
                    </w:rPr>
                    <w:t>道路名称</w:t>
                  </w:r>
                </w:p>
              </w:tc>
              <w:tc>
                <w:tcPr>
                  <w:tcW w:w="241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bCs/>
                      <w:kern w:val="0"/>
                      <w:sz w:val="24"/>
                      <w:szCs w:val="24"/>
                    </w:rPr>
                  </w:pPr>
                  <w:r>
                    <w:rPr>
                      <w:rFonts w:hint="eastAsia" w:ascii="宋体" w:hAnsi="宋体" w:eastAsia="宋体" w:cs="宋体"/>
                      <w:b/>
                      <w:bCs/>
                      <w:kern w:val="0"/>
                      <w:sz w:val="24"/>
                      <w:szCs w:val="24"/>
                    </w:rPr>
                    <w:t>起点</w:t>
                  </w:r>
                </w:p>
              </w:tc>
              <w:tc>
                <w:tcPr>
                  <w:tcW w:w="241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bCs/>
                      <w:kern w:val="0"/>
                      <w:sz w:val="24"/>
                      <w:szCs w:val="24"/>
                    </w:rPr>
                  </w:pPr>
                  <w:r>
                    <w:rPr>
                      <w:rFonts w:hint="eastAsia" w:ascii="宋体" w:hAnsi="宋体" w:eastAsia="宋体" w:cs="宋体"/>
                      <w:b/>
                      <w:bCs/>
                      <w:kern w:val="0"/>
                      <w:sz w:val="24"/>
                      <w:szCs w:val="24"/>
                    </w:rPr>
                    <w:t>终点</w:t>
                  </w:r>
                </w:p>
              </w:tc>
              <w:tc>
                <w:tcPr>
                  <w:tcW w:w="4356"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bCs/>
                      <w:kern w:val="0"/>
                      <w:sz w:val="24"/>
                      <w:szCs w:val="24"/>
                    </w:rPr>
                  </w:pPr>
                  <w:r>
                    <w:rPr>
                      <w:rFonts w:hint="eastAsia" w:ascii="宋体" w:hAnsi="宋体" w:eastAsia="宋体" w:cs="宋体"/>
                      <w:b/>
                      <w:bCs/>
                      <w:kern w:val="0"/>
                      <w:sz w:val="24"/>
                      <w:szCs w:val="24"/>
                    </w:rPr>
                    <w:t>道路面积(㎡) </w:t>
                  </w:r>
                </w:p>
              </w:tc>
              <w:tc>
                <w:tcPr>
                  <w:tcW w:w="190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bCs/>
                      <w:kern w:val="0"/>
                      <w:sz w:val="24"/>
                      <w:szCs w:val="24"/>
                    </w:rPr>
                  </w:pPr>
                  <w:r>
                    <w:rPr>
                      <w:rFonts w:hint="eastAsia" w:ascii="宋体" w:hAnsi="宋体" w:eastAsia="宋体" w:cs="宋体"/>
                      <w:b/>
                      <w:bCs/>
                      <w:kern w:val="0"/>
                      <w:sz w:val="24"/>
                      <w:szCs w:val="24"/>
                    </w:rPr>
                    <w:t>小计(㎡)</w:t>
                  </w:r>
                </w:p>
              </w:tc>
            </w:tr>
            <w:tr>
              <w:tblPrEx>
                <w:tblLayout w:type="fixed"/>
                <w:tblCellMar>
                  <w:top w:w="0" w:type="dxa"/>
                  <w:left w:w="108" w:type="dxa"/>
                  <w:bottom w:w="0" w:type="dxa"/>
                  <w:right w:w="108" w:type="dxa"/>
                </w:tblCellMar>
              </w:tblPrEx>
              <w:trPr>
                <w:trHeight w:val="439" w:hRule="atLeast"/>
              </w:trPr>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b/>
                      <w:bCs/>
                      <w:kern w:val="0"/>
                      <w:sz w:val="24"/>
                      <w:szCs w:val="24"/>
                    </w:rPr>
                  </w:pPr>
                </w:p>
              </w:tc>
              <w:tc>
                <w:tcPr>
                  <w:tcW w:w="190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b/>
                      <w:bCs/>
                      <w:kern w:val="0"/>
                      <w:sz w:val="24"/>
                      <w:szCs w:val="24"/>
                    </w:rPr>
                  </w:pPr>
                </w:p>
              </w:tc>
              <w:tc>
                <w:tcPr>
                  <w:tcW w:w="241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b/>
                      <w:bCs/>
                      <w:kern w:val="0"/>
                      <w:sz w:val="24"/>
                      <w:szCs w:val="24"/>
                    </w:rPr>
                  </w:pPr>
                </w:p>
              </w:tc>
              <w:tc>
                <w:tcPr>
                  <w:tcW w:w="241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b/>
                      <w:bCs/>
                      <w:kern w:val="0"/>
                      <w:sz w:val="24"/>
                      <w:szCs w:val="24"/>
                    </w:rPr>
                  </w:pPr>
                </w:p>
              </w:tc>
              <w:tc>
                <w:tcPr>
                  <w:tcW w:w="217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bCs/>
                      <w:kern w:val="0"/>
                      <w:sz w:val="24"/>
                      <w:szCs w:val="24"/>
                    </w:rPr>
                  </w:pPr>
                  <w:r>
                    <w:rPr>
                      <w:rFonts w:hint="eastAsia" w:ascii="宋体" w:hAnsi="宋体" w:eastAsia="宋体" w:cs="宋体"/>
                      <w:b/>
                      <w:bCs/>
                      <w:kern w:val="0"/>
                      <w:sz w:val="24"/>
                      <w:szCs w:val="24"/>
                    </w:rPr>
                    <w:t>长</w:t>
                  </w:r>
                </w:p>
              </w:tc>
              <w:tc>
                <w:tcPr>
                  <w:tcW w:w="217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bCs/>
                      <w:kern w:val="0"/>
                      <w:sz w:val="24"/>
                      <w:szCs w:val="24"/>
                    </w:rPr>
                  </w:pPr>
                  <w:r>
                    <w:rPr>
                      <w:rFonts w:hint="eastAsia" w:ascii="宋体" w:hAnsi="宋体" w:eastAsia="宋体" w:cs="宋体"/>
                      <w:b/>
                      <w:bCs/>
                      <w:kern w:val="0"/>
                      <w:sz w:val="24"/>
                      <w:szCs w:val="24"/>
                    </w:rPr>
                    <w:t>宽</w:t>
                  </w:r>
                </w:p>
              </w:tc>
              <w:tc>
                <w:tcPr>
                  <w:tcW w:w="19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b/>
                      <w:bCs/>
                      <w:kern w:val="0"/>
                      <w:sz w:val="24"/>
                      <w:szCs w:val="24"/>
                    </w:rPr>
                  </w:pPr>
                </w:p>
              </w:tc>
            </w:tr>
            <w:tr>
              <w:tblPrEx>
                <w:tblLayout w:type="fixed"/>
                <w:tblCellMar>
                  <w:top w:w="0" w:type="dxa"/>
                  <w:left w:w="108" w:type="dxa"/>
                  <w:bottom w:w="0" w:type="dxa"/>
                  <w:right w:w="108" w:type="dxa"/>
                </w:tblCellMar>
              </w:tblPrEx>
              <w:trPr>
                <w:trHeight w:val="439" w:hRule="atLeast"/>
              </w:trPr>
              <w:tc>
                <w:tcPr>
                  <w:tcW w:w="10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1</w:t>
                  </w:r>
                </w:p>
              </w:tc>
              <w:tc>
                <w:tcPr>
                  <w:tcW w:w="190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高堑村高堑组</w:t>
                  </w:r>
                </w:p>
              </w:tc>
              <w:tc>
                <w:tcPr>
                  <w:tcW w:w="241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村部</w:t>
                  </w:r>
                </w:p>
              </w:tc>
              <w:tc>
                <w:tcPr>
                  <w:tcW w:w="241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陈良财家门口</w:t>
                  </w:r>
                </w:p>
              </w:tc>
              <w:tc>
                <w:tcPr>
                  <w:tcW w:w="217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1150</w:t>
                  </w:r>
                </w:p>
              </w:tc>
              <w:tc>
                <w:tcPr>
                  <w:tcW w:w="217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5</w:t>
                  </w:r>
                </w:p>
              </w:tc>
              <w:tc>
                <w:tcPr>
                  <w:tcW w:w="19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5750</w:t>
                  </w:r>
                </w:p>
              </w:tc>
            </w:tr>
            <w:tr>
              <w:tblPrEx>
                <w:tblLayout w:type="fixed"/>
                <w:tblCellMar>
                  <w:top w:w="0" w:type="dxa"/>
                  <w:left w:w="108" w:type="dxa"/>
                  <w:bottom w:w="0" w:type="dxa"/>
                  <w:right w:w="108" w:type="dxa"/>
                </w:tblCellMar>
              </w:tblPrEx>
              <w:trPr>
                <w:trHeight w:val="439" w:hRule="atLeast"/>
              </w:trPr>
              <w:tc>
                <w:tcPr>
                  <w:tcW w:w="10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2</w:t>
                  </w:r>
                </w:p>
              </w:tc>
              <w:tc>
                <w:tcPr>
                  <w:tcW w:w="190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高堑村张家组</w:t>
                  </w:r>
                </w:p>
              </w:tc>
              <w:tc>
                <w:tcPr>
                  <w:tcW w:w="241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老虎窠</w:t>
                  </w:r>
                </w:p>
              </w:tc>
              <w:tc>
                <w:tcPr>
                  <w:tcW w:w="241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竹编厂</w:t>
                  </w:r>
                </w:p>
              </w:tc>
              <w:tc>
                <w:tcPr>
                  <w:tcW w:w="217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400</w:t>
                  </w:r>
                </w:p>
              </w:tc>
              <w:tc>
                <w:tcPr>
                  <w:tcW w:w="217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3</w:t>
                  </w:r>
                </w:p>
              </w:tc>
              <w:tc>
                <w:tcPr>
                  <w:tcW w:w="19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1200</w:t>
                  </w:r>
                </w:p>
              </w:tc>
            </w:tr>
            <w:tr>
              <w:tblPrEx>
                <w:tblLayout w:type="fixed"/>
                <w:tblCellMar>
                  <w:top w:w="0" w:type="dxa"/>
                  <w:left w:w="108" w:type="dxa"/>
                  <w:bottom w:w="0" w:type="dxa"/>
                  <w:right w:w="108" w:type="dxa"/>
                </w:tblCellMar>
              </w:tblPrEx>
              <w:trPr>
                <w:trHeight w:val="439" w:hRule="atLeast"/>
              </w:trPr>
              <w:tc>
                <w:tcPr>
                  <w:tcW w:w="10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3</w:t>
                  </w:r>
                </w:p>
              </w:tc>
              <w:tc>
                <w:tcPr>
                  <w:tcW w:w="190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高堑村张家组</w:t>
                  </w:r>
                </w:p>
              </w:tc>
              <w:tc>
                <w:tcPr>
                  <w:tcW w:w="241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老虎窠</w:t>
                  </w:r>
                </w:p>
              </w:tc>
              <w:tc>
                <w:tcPr>
                  <w:tcW w:w="241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老瓷厂</w:t>
                  </w:r>
                </w:p>
              </w:tc>
              <w:tc>
                <w:tcPr>
                  <w:tcW w:w="217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650</w:t>
                  </w:r>
                </w:p>
              </w:tc>
              <w:tc>
                <w:tcPr>
                  <w:tcW w:w="217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3</w:t>
                  </w:r>
                </w:p>
              </w:tc>
              <w:tc>
                <w:tcPr>
                  <w:tcW w:w="19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1950</w:t>
                  </w:r>
                </w:p>
              </w:tc>
            </w:tr>
            <w:tr>
              <w:tblPrEx>
                <w:tblLayout w:type="fixed"/>
                <w:tblCellMar>
                  <w:top w:w="0" w:type="dxa"/>
                  <w:left w:w="108" w:type="dxa"/>
                  <w:bottom w:w="0" w:type="dxa"/>
                  <w:right w:w="108" w:type="dxa"/>
                </w:tblCellMar>
              </w:tblPrEx>
              <w:trPr>
                <w:trHeight w:val="439" w:hRule="atLeast"/>
              </w:trPr>
              <w:tc>
                <w:tcPr>
                  <w:tcW w:w="10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4</w:t>
                  </w:r>
                </w:p>
              </w:tc>
              <w:tc>
                <w:tcPr>
                  <w:tcW w:w="190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高堑村周家组</w:t>
                  </w:r>
                </w:p>
              </w:tc>
              <w:tc>
                <w:tcPr>
                  <w:tcW w:w="241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名扬酒店</w:t>
                  </w:r>
                </w:p>
              </w:tc>
              <w:tc>
                <w:tcPr>
                  <w:tcW w:w="241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东门加油站</w:t>
                  </w:r>
                </w:p>
              </w:tc>
              <w:tc>
                <w:tcPr>
                  <w:tcW w:w="217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1000</w:t>
                  </w:r>
                </w:p>
              </w:tc>
              <w:tc>
                <w:tcPr>
                  <w:tcW w:w="217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3.5</w:t>
                  </w:r>
                </w:p>
              </w:tc>
              <w:tc>
                <w:tcPr>
                  <w:tcW w:w="19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3500</w:t>
                  </w:r>
                </w:p>
              </w:tc>
            </w:tr>
            <w:tr>
              <w:tblPrEx>
                <w:tblLayout w:type="fixed"/>
                <w:tblCellMar>
                  <w:top w:w="0" w:type="dxa"/>
                  <w:left w:w="108" w:type="dxa"/>
                  <w:bottom w:w="0" w:type="dxa"/>
                  <w:right w:w="108" w:type="dxa"/>
                </w:tblCellMar>
              </w:tblPrEx>
              <w:trPr>
                <w:trHeight w:val="439" w:hRule="atLeast"/>
              </w:trPr>
              <w:tc>
                <w:tcPr>
                  <w:tcW w:w="10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5</w:t>
                  </w:r>
                </w:p>
              </w:tc>
              <w:tc>
                <w:tcPr>
                  <w:tcW w:w="190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高堑村周家组</w:t>
                  </w:r>
                </w:p>
              </w:tc>
              <w:tc>
                <w:tcPr>
                  <w:tcW w:w="241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竹兜下</w:t>
                  </w:r>
                </w:p>
              </w:tc>
              <w:tc>
                <w:tcPr>
                  <w:tcW w:w="241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r>
                    <w:rPr>
                      <w:rFonts w:hint="eastAsia" w:ascii="宋体" w:hAnsi="宋体" w:cs="宋体"/>
                      <w:sz w:val="24"/>
                      <w:szCs w:val="24"/>
                      <w:lang w:val="en-US" w:eastAsia="zh-CN"/>
                    </w:rPr>
                    <w:t>/</w:t>
                  </w:r>
                </w:p>
              </w:tc>
              <w:tc>
                <w:tcPr>
                  <w:tcW w:w="217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120</w:t>
                  </w:r>
                </w:p>
              </w:tc>
              <w:tc>
                <w:tcPr>
                  <w:tcW w:w="217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5</w:t>
                  </w:r>
                </w:p>
              </w:tc>
              <w:tc>
                <w:tcPr>
                  <w:tcW w:w="19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600</w:t>
                  </w:r>
                </w:p>
              </w:tc>
            </w:tr>
            <w:tr>
              <w:tblPrEx>
                <w:tblLayout w:type="fixed"/>
                <w:tblCellMar>
                  <w:top w:w="0" w:type="dxa"/>
                  <w:left w:w="108" w:type="dxa"/>
                  <w:bottom w:w="0" w:type="dxa"/>
                  <w:right w:w="108" w:type="dxa"/>
                </w:tblCellMar>
              </w:tblPrEx>
              <w:trPr>
                <w:trHeight w:val="439" w:hRule="atLeast"/>
              </w:trPr>
              <w:tc>
                <w:tcPr>
                  <w:tcW w:w="10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6</w:t>
                  </w:r>
                </w:p>
              </w:tc>
              <w:tc>
                <w:tcPr>
                  <w:tcW w:w="190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瓦庄村翠济路</w:t>
                  </w:r>
                </w:p>
              </w:tc>
              <w:tc>
                <w:tcPr>
                  <w:tcW w:w="241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兴林木业</w:t>
                  </w:r>
                </w:p>
              </w:tc>
              <w:tc>
                <w:tcPr>
                  <w:tcW w:w="241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塞凹路口赵家岭</w:t>
                  </w:r>
                </w:p>
              </w:tc>
              <w:tc>
                <w:tcPr>
                  <w:tcW w:w="217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1500</w:t>
                  </w:r>
                </w:p>
              </w:tc>
              <w:tc>
                <w:tcPr>
                  <w:tcW w:w="217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7</w:t>
                  </w:r>
                </w:p>
              </w:tc>
              <w:tc>
                <w:tcPr>
                  <w:tcW w:w="19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10500</w:t>
                  </w:r>
                </w:p>
              </w:tc>
            </w:tr>
            <w:tr>
              <w:tblPrEx>
                <w:tblLayout w:type="fixed"/>
                <w:tblCellMar>
                  <w:top w:w="0" w:type="dxa"/>
                  <w:left w:w="108" w:type="dxa"/>
                  <w:bottom w:w="0" w:type="dxa"/>
                  <w:right w:w="108" w:type="dxa"/>
                </w:tblCellMar>
              </w:tblPrEx>
              <w:trPr>
                <w:trHeight w:val="439" w:hRule="atLeast"/>
              </w:trPr>
              <w:tc>
                <w:tcPr>
                  <w:tcW w:w="10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7</w:t>
                  </w:r>
                </w:p>
              </w:tc>
              <w:tc>
                <w:tcPr>
                  <w:tcW w:w="190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瓦庄村翠济路</w:t>
                  </w:r>
                </w:p>
              </w:tc>
              <w:tc>
                <w:tcPr>
                  <w:tcW w:w="241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塞凹路口</w:t>
                  </w:r>
                </w:p>
              </w:tc>
              <w:tc>
                <w:tcPr>
                  <w:tcW w:w="241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狐狸墩大桥</w:t>
                  </w:r>
                </w:p>
              </w:tc>
              <w:tc>
                <w:tcPr>
                  <w:tcW w:w="217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1300</w:t>
                  </w:r>
                </w:p>
              </w:tc>
              <w:tc>
                <w:tcPr>
                  <w:tcW w:w="217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7</w:t>
                  </w:r>
                </w:p>
              </w:tc>
              <w:tc>
                <w:tcPr>
                  <w:tcW w:w="19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9100</w:t>
                  </w:r>
                </w:p>
              </w:tc>
            </w:tr>
            <w:tr>
              <w:tblPrEx>
                <w:tblLayout w:type="fixed"/>
                <w:tblCellMar>
                  <w:top w:w="0" w:type="dxa"/>
                  <w:left w:w="108" w:type="dxa"/>
                  <w:bottom w:w="0" w:type="dxa"/>
                  <w:right w:w="108" w:type="dxa"/>
                </w:tblCellMar>
              </w:tblPrEx>
              <w:trPr>
                <w:trHeight w:val="439" w:hRule="atLeast"/>
              </w:trPr>
              <w:tc>
                <w:tcPr>
                  <w:tcW w:w="10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8</w:t>
                  </w:r>
                </w:p>
              </w:tc>
              <w:tc>
                <w:tcPr>
                  <w:tcW w:w="190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瓦庄村长滩路</w:t>
                  </w:r>
                </w:p>
              </w:tc>
              <w:tc>
                <w:tcPr>
                  <w:tcW w:w="241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双卷桥</w:t>
                  </w:r>
                </w:p>
              </w:tc>
              <w:tc>
                <w:tcPr>
                  <w:tcW w:w="241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狐狸墩大桥</w:t>
                  </w:r>
                </w:p>
              </w:tc>
              <w:tc>
                <w:tcPr>
                  <w:tcW w:w="217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2500</w:t>
                  </w:r>
                </w:p>
              </w:tc>
              <w:tc>
                <w:tcPr>
                  <w:tcW w:w="217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5.5</w:t>
                  </w:r>
                </w:p>
              </w:tc>
              <w:tc>
                <w:tcPr>
                  <w:tcW w:w="19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13750</w:t>
                  </w:r>
                </w:p>
              </w:tc>
            </w:tr>
            <w:tr>
              <w:tblPrEx>
                <w:tblLayout w:type="fixed"/>
                <w:tblCellMar>
                  <w:top w:w="0" w:type="dxa"/>
                  <w:left w:w="108" w:type="dxa"/>
                  <w:bottom w:w="0" w:type="dxa"/>
                  <w:right w:w="108" w:type="dxa"/>
                </w:tblCellMar>
              </w:tblPrEx>
              <w:trPr>
                <w:trHeight w:val="439" w:hRule="atLeast"/>
              </w:trPr>
              <w:tc>
                <w:tcPr>
                  <w:tcW w:w="10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9</w:t>
                  </w:r>
                </w:p>
              </w:tc>
              <w:tc>
                <w:tcPr>
                  <w:tcW w:w="190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瓦庄组</w:t>
                  </w:r>
                </w:p>
              </w:tc>
              <w:tc>
                <w:tcPr>
                  <w:tcW w:w="241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瓦庄电站</w:t>
                  </w:r>
                </w:p>
              </w:tc>
              <w:tc>
                <w:tcPr>
                  <w:tcW w:w="241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瓦庄大桥</w:t>
                  </w:r>
                </w:p>
              </w:tc>
              <w:tc>
                <w:tcPr>
                  <w:tcW w:w="217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1700</w:t>
                  </w:r>
                </w:p>
              </w:tc>
              <w:tc>
                <w:tcPr>
                  <w:tcW w:w="217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9</w:t>
                  </w:r>
                </w:p>
              </w:tc>
              <w:tc>
                <w:tcPr>
                  <w:tcW w:w="19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15300</w:t>
                  </w:r>
                </w:p>
              </w:tc>
            </w:tr>
            <w:tr>
              <w:tblPrEx>
                <w:tblLayout w:type="fixed"/>
                <w:tblCellMar>
                  <w:top w:w="0" w:type="dxa"/>
                  <w:left w:w="108" w:type="dxa"/>
                  <w:bottom w:w="0" w:type="dxa"/>
                  <w:right w:w="108" w:type="dxa"/>
                </w:tblCellMar>
              </w:tblPrEx>
              <w:trPr>
                <w:trHeight w:val="439" w:hRule="atLeast"/>
              </w:trPr>
              <w:tc>
                <w:tcPr>
                  <w:tcW w:w="10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10</w:t>
                  </w:r>
                </w:p>
              </w:tc>
              <w:tc>
                <w:tcPr>
                  <w:tcW w:w="190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乌高新村</w:t>
                  </w:r>
                </w:p>
              </w:tc>
              <w:tc>
                <w:tcPr>
                  <w:tcW w:w="241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r>
                    <w:rPr>
                      <w:rFonts w:hint="eastAsia" w:ascii="宋体" w:hAnsi="宋体" w:cs="宋体"/>
                      <w:sz w:val="24"/>
                      <w:szCs w:val="24"/>
                      <w:lang w:val="en-US" w:eastAsia="zh-CN"/>
                    </w:rPr>
                    <w:t>/</w:t>
                  </w:r>
                </w:p>
              </w:tc>
              <w:tc>
                <w:tcPr>
                  <w:tcW w:w="241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cs="宋体"/>
                      <w:sz w:val="24"/>
                      <w:szCs w:val="24"/>
                      <w:lang w:val="en-US" w:eastAsia="zh-CN"/>
                    </w:rPr>
                    <w:t>/</w:t>
                  </w:r>
                  <w:r>
                    <w:rPr>
                      <w:rFonts w:hint="eastAsia" w:ascii="宋体" w:hAnsi="宋体" w:eastAsia="宋体" w:cs="宋体"/>
                      <w:kern w:val="0"/>
                      <w:sz w:val="24"/>
                      <w:szCs w:val="24"/>
                    </w:rPr>
                    <w:t>　</w:t>
                  </w:r>
                </w:p>
              </w:tc>
              <w:tc>
                <w:tcPr>
                  <w:tcW w:w="217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217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19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2000</w:t>
                  </w:r>
                </w:p>
              </w:tc>
            </w:tr>
            <w:tr>
              <w:tblPrEx>
                <w:tblLayout w:type="fixed"/>
                <w:tblCellMar>
                  <w:top w:w="0" w:type="dxa"/>
                  <w:left w:w="108" w:type="dxa"/>
                  <w:bottom w:w="0" w:type="dxa"/>
                  <w:right w:w="108" w:type="dxa"/>
                </w:tblCellMar>
              </w:tblPrEx>
              <w:trPr>
                <w:trHeight w:val="439" w:hRule="atLeast"/>
              </w:trPr>
              <w:tc>
                <w:tcPr>
                  <w:tcW w:w="10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190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241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241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4356"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合计：</w:t>
                  </w:r>
                </w:p>
              </w:tc>
              <w:tc>
                <w:tcPr>
                  <w:tcW w:w="19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63650</w:t>
                  </w:r>
                </w:p>
              </w:tc>
            </w:tr>
          </w:tbl>
          <w:p>
            <w:pPr>
              <w:widowControl/>
              <w:jc w:val="center"/>
              <w:textAlignment w:val="center"/>
              <w:rPr>
                <w:rFonts w:hint="eastAsia" w:ascii="宋体" w:hAnsi="宋体" w:eastAsia="宋体" w:cs="宋体"/>
                <w:b/>
                <w:kern w:val="0"/>
                <w:sz w:val="24"/>
                <w:szCs w:val="24"/>
              </w:rPr>
            </w:pPr>
          </w:p>
          <w:tbl>
            <w:tblPr>
              <w:tblStyle w:val="7"/>
              <w:tblW w:w="14034" w:type="dxa"/>
              <w:tblInd w:w="-90" w:type="dxa"/>
              <w:tblLayout w:type="fixed"/>
              <w:tblCellMar>
                <w:top w:w="0" w:type="dxa"/>
                <w:left w:w="108" w:type="dxa"/>
                <w:bottom w:w="0" w:type="dxa"/>
                <w:right w:w="108" w:type="dxa"/>
              </w:tblCellMar>
            </w:tblPr>
            <w:tblGrid>
              <w:gridCol w:w="963"/>
              <w:gridCol w:w="3814"/>
              <w:gridCol w:w="2529"/>
              <w:gridCol w:w="2582"/>
              <w:gridCol w:w="1370"/>
              <w:gridCol w:w="1039"/>
              <w:gridCol w:w="1737"/>
            </w:tblGrid>
            <w:tr>
              <w:tblPrEx>
                <w:tblLayout w:type="fixed"/>
                <w:tblCellMar>
                  <w:top w:w="0" w:type="dxa"/>
                  <w:left w:w="108" w:type="dxa"/>
                  <w:bottom w:w="0" w:type="dxa"/>
                  <w:right w:w="108" w:type="dxa"/>
                </w:tblCellMar>
              </w:tblPrEx>
              <w:trPr>
                <w:trHeight w:val="540" w:hRule="atLeast"/>
              </w:trPr>
              <w:tc>
                <w:tcPr>
                  <w:tcW w:w="14034" w:type="dxa"/>
                  <w:gridSpan w:val="7"/>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b/>
                      <w:bCs/>
                      <w:kern w:val="0"/>
                      <w:sz w:val="24"/>
                      <w:szCs w:val="24"/>
                    </w:rPr>
                  </w:pPr>
                  <w:r>
                    <w:rPr>
                      <w:rFonts w:hint="eastAsia" w:ascii="宋体" w:hAnsi="宋体" w:eastAsia="宋体" w:cs="宋体"/>
                      <w:b/>
                      <w:bCs/>
                      <w:kern w:val="0"/>
                      <w:sz w:val="24"/>
                      <w:szCs w:val="24"/>
                    </w:rPr>
                    <w:t>翠江镇新增道路清扫保洁面积</w:t>
                  </w:r>
                </w:p>
              </w:tc>
            </w:tr>
            <w:tr>
              <w:tblPrEx>
                <w:tblLayout w:type="fixed"/>
                <w:tblCellMar>
                  <w:top w:w="0" w:type="dxa"/>
                  <w:left w:w="108" w:type="dxa"/>
                  <w:bottom w:w="0" w:type="dxa"/>
                  <w:right w:w="108" w:type="dxa"/>
                </w:tblCellMar>
              </w:tblPrEx>
              <w:trPr>
                <w:trHeight w:val="499" w:hRule="atLeast"/>
              </w:trPr>
              <w:tc>
                <w:tcPr>
                  <w:tcW w:w="963"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社区</w:t>
                  </w:r>
                </w:p>
              </w:tc>
              <w:tc>
                <w:tcPr>
                  <w:tcW w:w="381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道路名称</w:t>
                  </w:r>
                </w:p>
              </w:tc>
              <w:tc>
                <w:tcPr>
                  <w:tcW w:w="2529"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起点</w:t>
                  </w:r>
                </w:p>
              </w:tc>
              <w:tc>
                <w:tcPr>
                  <w:tcW w:w="258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终点</w:t>
                  </w:r>
                </w:p>
              </w:tc>
              <w:tc>
                <w:tcPr>
                  <w:tcW w:w="2409"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道路面积(㎡) </w:t>
                  </w:r>
                </w:p>
              </w:tc>
              <w:tc>
                <w:tcPr>
                  <w:tcW w:w="173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小计(㎡)</w:t>
                  </w:r>
                </w:p>
              </w:tc>
            </w:tr>
            <w:tr>
              <w:tblPrEx>
                <w:tblLayout w:type="fixed"/>
                <w:tblCellMar>
                  <w:top w:w="0" w:type="dxa"/>
                  <w:left w:w="108" w:type="dxa"/>
                  <w:bottom w:w="0" w:type="dxa"/>
                  <w:right w:w="108" w:type="dxa"/>
                </w:tblCellMar>
              </w:tblPrEx>
              <w:trPr>
                <w:trHeight w:val="499" w:hRule="atLeast"/>
              </w:trPr>
              <w:tc>
                <w:tcPr>
                  <w:tcW w:w="96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24"/>
                      <w:szCs w:val="24"/>
                    </w:rPr>
                  </w:pPr>
                </w:p>
              </w:tc>
              <w:tc>
                <w:tcPr>
                  <w:tcW w:w="381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24"/>
                      <w:szCs w:val="24"/>
                    </w:rPr>
                  </w:pPr>
                </w:p>
              </w:tc>
              <w:tc>
                <w:tcPr>
                  <w:tcW w:w="252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24"/>
                      <w:szCs w:val="24"/>
                    </w:rPr>
                  </w:pPr>
                </w:p>
              </w:tc>
              <w:tc>
                <w:tcPr>
                  <w:tcW w:w="258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24"/>
                      <w:szCs w:val="24"/>
                    </w:rPr>
                  </w:pPr>
                </w:p>
              </w:tc>
              <w:tc>
                <w:tcPr>
                  <w:tcW w:w="137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长</w:t>
                  </w:r>
                </w:p>
              </w:tc>
              <w:tc>
                <w:tcPr>
                  <w:tcW w:w="10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宽</w:t>
                  </w:r>
                </w:p>
              </w:tc>
              <w:tc>
                <w:tcPr>
                  <w:tcW w:w="173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499" w:hRule="atLeast"/>
              </w:trPr>
              <w:tc>
                <w:tcPr>
                  <w:tcW w:w="963" w:type="dxa"/>
                  <w:vMerge w:val="restart"/>
                  <w:tcBorders>
                    <w:top w:val="single" w:color="auto" w:sz="4" w:space="0"/>
                    <w:left w:val="single" w:color="auto" w:sz="4" w:space="0"/>
                    <w:bottom w:val="single" w:color="auto" w:sz="4" w:space="0"/>
                    <w:right w:val="single" w:color="auto" w:sz="4" w:space="0"/>
                  </w:tcBorders>
                  <w:noWrap w:val="0"/>
                  <w:textDirection w:val="tbRlV"/>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北山社区</w:t>
                  </w:r>
                </w:p>
              </w:tc>
              <w:tc>
                <w:tcPr>
                  <w:tcW w:w="38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翠华小区主路</w:t>
                  </w:r>
                </w:p>
              </w:tc>
              <w:tc>
                <w:tcPr>
                  <w:tcW w:w="252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翠华小区大路口</w:t>
                  </w:r>
                </w:p>
              </w:tc>
              <w:tc>
                <w:tcPr>
                  <w:tcW w:w="258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锦绣华庭后面主路</w:t>
                  </w:r>
                </w:p>
              </w:tc>
              <w:tc>
                <w:tcPr>
                  <w:tcW w:w="137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260</w:t>
                  </w:r>
                </w:p>
              </w:tc>
              <w:tc>
                <w:tcPr>
                  <w:tcW w:w="10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10</w:t>
                  </w:r>
                </w:p>
              </w:tc>
              <w:tc>
                <w:tcPr>
                  <w:tcW w:w="173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2600</w:t>
                  </w:r>
                </w:p>
              </w:tc>
            </w:tr>
            <w:tr>
              <w:tblPrEx>
                <w:tblLayout w:type="fixed"/>
                <w:tblCellMar>
                  <w:top w:w="0" w:type="dxa"/>
                  <w:left w:w="108" w:type="dxa"/>
                  <w:bottom w:w="0" w:type="dxa"/>
                  <w:right w:w="108" w:type="dxa"/>
                </w:tblCellMar>
              </w:tblPrEx>
              <w:trPr>
                <w:trHeight w:val="499" w:hRule="atLeast"/>
              </w:trPr>
              <w:tc>
                <w:tcPr>
                  <w:tcW w:w="96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24"/>
                      <w:szCs w:val="24"/>
                    </w:rPr>
                  </w:pPr>
                </w:p>
              </w:tc>
              <w:tc>
                <w:tcPr>
                  <w:tcW w:w="38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锦绣华庭小区外围</w:t>
                  </w:r>
                </w:p>
              </w:tc>
              <w:tc>
                <w:tcPr>
                  <w:tcW w:w="252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锦绣华庭大门口</w:t>
                  </w:r>
                </w:p>
              </w:tc>
              <w:tc>
                <w:tcPr>
                  <w:tcW w:w="258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翠华小区J栋后面</w:t>
                  </w:r>
                </w:p>
              </w:tc>
              <w:tc>
                <w:tcPr>
                  <w:tcW w:w="137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497.6</w:t>
                  </w:r>
                </w:p>
              </w:tc>
              <w:tc>
                <w:tcPr>
                  <w:tcW w:w="10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6</w:t>
                  </w:r>
                </w:p>
              </w:tc>
              <w:tc>
                <w:tcPr>
                  <w:tcW w:w="173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2985</w:t>
                  </w:r>
                </w:p>
              </w:tc>
            </w:tr>
            <w:tr>
              <w:tblPrEx>
                <w:tblLayout w:type="fixed"/>
                <w:tblCellMar>
                  <w:top w:w="0" w:type="dxa"/>
                  <w:left w:w="108" w:type="dxa"/>
                  <w:bottom w:w="0" w:type="dxa"/>
                  <w:right w:w="108" w:type="dxa"/>
                </w:tblCellMar>
              </w:tblPrEx>
              <w:trPr>
                <w:trHeight w:val="499" w:hRule="atLeast"/>
              </w:trPr>
              <w:tc>
                <w:tcPr>
                  <w:tcW w:w="96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24"/>
                      <w:szCs w:val="24"/>
                    </w:rPr>
                  </w:pPr>
                </w:p>
              </w:tc>
              <w:tc>
                <w:tcPr>
                  <w:tcW w:w="38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翠华小区经济适用房</w:t>
                  </w:r>
                </w:p>
              </w:tc>
              <w:tc>
                <w:tcPr>
                  <w:tcW w:w="252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翠华小区经济适用房后排</w:t>
                  </w:r>
                </w:p>
              </w:tc>
              <w:tc>
                <w:tcPr>
                  <w:tcW w:w="258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西山路前排</w:t>
                  </w:r>
                </w:p>
              </w:tc>
              <w:tc>
                <w:tcPr>
                  <w:tcW w:w="137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223.3</w:t>
                  </w:r>
                </w:p>
              </w:tc>
              <w:tc>
                <w:tcPr>
                  <w:tcW w:w="10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6</w:t>
                  </w:r>
                </w:p>
              </w:tc>
              <w:tc>
                <w:tcPr>
                  <w:tcW w:w="173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1340</w:t>
                  </w:r>
                </w:p>
              </w:tc>
            </w:tr>
            <w:tr>
              <w:tblPrEx>
                <w:tblLayout w:type="fixed"/>
                <w:tblCellMar>
                  <w:top w:w="0" w:type="dxa"/>
                  <w:left w:w="108" w:type="dxa"/>
                  <w:bottom w:w="0" w:type="dxa"/>
                  <w:right w:w="108" w:type="dxa"/>
                </w:tblCellMar>
              </w:tblPrEx>
              <w:trPr>
                <w:trHeight w:val="499" w:hRule="atLeast"/>
              </w:trPr>
              <w:tc>
                <w:tcPr>
                  <w:tcW w:w="96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24"/>
                      <w:szCs w:val="24"/>
                    </w:rPr>
                  </w:pPr>
                </w:p>
              </w:tc>
              <w:tc>
                <w:tcPr>
                  <w:tcW w:w="38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翠华小区公租房</w:t>
                  </w:r>
                </w:p>
              </w:tc>
              <w:tc>
                <w:tcPr>
                  <w:tcW w:w="252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公租房外围前门</w:t>
                  </w:r>
                </w:p>
              </w:tc>
              <w:tc>
                <w:tcPr>
                  <w:tcW w:w="258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公租房外围后门</w:t>
                  </w:r>
                </w:p>
              </w:tc>
              <w:tc>
                <w:tcPr>
                  <w:tcW w:w="137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430</w:t>
                  </w:r>
                </w:p>
              </w:tc>
              <w:tc>
                <w:tcPr>
                  <w:tcW w:w="10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6</w:t>
                  </w:r>
                </w:p>
              </w:tc>
              <w:tc>
                <w:tcPr>
                  <w:tcW w:w="173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2580</w:t>
                  </w:r>
                </w:p>
              </w:tc>
            </w:tr>
            <w:tr>
              <w:tblPrEx>
                <w:tblLayout w:type="fixed"/>
                <w:tblCellMar>
                  <w:top w:w="0" w:type="dxa"/>
                  <w:left w:w="108" w:type="dxa"/>
                  <w:bottom w:w="0" w:type="dxa"/>
                  <w:right w:w="108" w:type="dxa"/>
                </w:tblCellMar>
              </w:tblPrEx>
              <w:trPr>
                <w:trHeight w:val="499" w:hRule="atLeast"/>
              </w:trPr>
              <w:tc>
                <w:tcPr>
                  <w:tcW w:w="96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24"/>
                      <w:szCs w:val="24"/>
                    </w:rPr>
                  </w:pPr>
                </w:p>
              </w:tc>
              <w:tc>
                <w:tcPr>
                  <w:tcW w:w="38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翠华小区新公租房</w:t>
                  </w:r>
                </w:p>
              </w:tc>
              <w:tc>
                <w:tcPr>
                  <w:tcW w:w="252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公租房外围前门主干道</w:t>
                  </w:r>
                </w:p>
              </w:tc>
              <w:tc>
                <w:tcPr>
                  <w:tcW w:w="258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新公租房主路</w:t>
                  </w:r>
                </w:p>
              </w:tc>
              <w:tc>
                <w:tcPr>
                  <w:tcW w:w="137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560</w:t>
                  </w:r>
                </w:p>
              </w:tc>
              <w:tc>
                <w:tcPr>
                  <w:tcW w:w="10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7</w:t>
                  </w:r>
                </w:p>
              </w:tc>
              <w:tc>
                <w:tcPr>
                  <w:tcW w:w="173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3920</w:t>
                  </w:r>
                </w:p>
              </w:tc>
            </w:tr>
            <w:tr>
              <w:tblPrEx>
                <w:tblLayout w:type="fixed"/>
                <w:tblCellMar>
                  <w:top w:w="0" w:type="dxa"/>
                  <w:left w:w="108" w:type="dxa"/>
                  <w:bottom w:w="0" w:type="dxa"/>
                  <w:right w:w="108" w:type="dxa"/>
                </w:tblCellMar>
              </w:tblPrEx>
              <w:trPr>
                <w:trHeight w:val="499" w:hRule="atLeast"/>
              </w:trPr>
              <w:tc>
                <w:tcPr>
                  <w:tcW w:w="96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24"/>
                      <w:szCs w:val="24"/>
                    </w:rPr>
                  </w:pPr>
                </w:p>
              </w:tc>
              <w:tc>
                <w:tcPr>
                  <w:tcW w:w="38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西门路</w:t>
                  </w:r>
                </w:p>
              </w:tc>
              <w:tc>
                <w:tcPr>
                  <w:tcW w:w="252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干休所宿舍楼</w:t>
                  </w:r>
                </w:p>
              </w:tc>
              <w:tc>
                <w:tcPr>
                  <w:tcW w:w="258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cs="宋体"/>
                      <w:sz w:val="24"/>
                      <w:szCs w:val="24"/>
                      <w:lang w:val="en-US" w:eastAsia="zh-CN"/>
                    </w:rPr>
                    <w:t>/</w:t>
                  </w:r>
                  <w:r>
                    <w:rPr>
                      <w:rFonts w:hint="eastAsia" w:ascii="宋体" w:hAnsi="宋体" w:eastAsia="宋体" w:cs="宋体"/>
                      <w:kern w:val="0"/>
                      <w:sz w:val="24"/>
                      <w:szCs w:val="24"/>
                    </w:rPr>
                    <w:t>　</w:t>
                  </w:r>
                </w:p>
              </w:tc>
              <w:tc>
                <w:tcPr>
                  <w:tcW w:w="137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363</w:t>
                  </w:r>
                </w:p>
              </w:tc>
              <w:tc>
                <w:tcPr>
                  <w:tcW w:w="10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6</w:t>
                  </w:r>
                </w:p>
              </w:tc>
              <w:tc>
                <w:tcPr>
                  <w:tcW w:w="173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2173.4</w:t>
                  </w:r>
                </w:p>
              </w:tc>
            </w:tr>
            <w:tr>
              <w:tblPrEx>
                <w:tblLayout w:type="fixed"/>
                <w:tblCellMar>
                  <w:top w:w="0" w:type="dxa"/>
                  <w:left w:w="108" w:type="dxa"/>
                  <w:bottom w:w="0" w:type="dxa"/>
                  <w:right w:w="108" w:type="dxa"/>
                </w:tblCellMar>
              </w:tblPrEx>
              <w:trPr>
                <w:trHeight w:val="499" w:hRule="atLeast"/>
              </w:trPr>
              <w:tc>
                <w:tcPr>
                  <w:tcW w:w="96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24"/>
                      <w:szCs w:val="24"/>
                    </w:rPr>
                  </w:pPr>
                </w:p>
              </w:tc>
              <w:tc>
                <w:tcPr>
                  <w:tcW w:w="38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翠华小区经济适用房</w:t>
                  </w:r>
                </w:p>
              </w:tc>
              <w:tc>
                <w:tcPr>
                  <w:tcW w:w="252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经济适用房A栋</w:t>
                  </w:r>
                </w:p>
              </w:tc>
              <w:tc>
                <w:tcPr>
                  <w:tcW w:w="258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经济适用房F栋</w:t>
                  </w:r>
                </w:p>
              </w:tc>
              <w:tc>
                <w:tcPr>
                  <w:tcW w:w="137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1916.1</w:t>
                  </w:r>
                </w:p>
              </w:tc>
              <w:tc>
                <w:tcPr>
                  <w:tcW w:w="10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6</w:t>
                  </w:r>
                </w:p>
              </w:tc>
              <w:tc>
                <w:tcPr>
                  <w:tcW w:w="173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11496.6</w:t>
                  </w:r>
                </w:p>
              </w:tc>
            </w:tr>
            <w:tr>
              <w:tblPrEx>
                <w:tblLayout w:type="fixed"/>
                <w:tblCellMar>
                  <w:top w:w="0" w:type="dxa"/>
                  <w:left w:w="108" w:type="dxa"/>
                  <w:bottom w:w="0" w:type="dxa"/>
                  <w:right w:w="108" w:type="dxa"/>
                </w:tblCellMar>
              </w:tblPrEx>
              <w:trPr>
                <w:trHeight w:val="499" w:hRule="atLeast"/>
              </w:trPr>
              <w:tc>
                <w:tcPr>
                  <w:tcW w:w="963" w:type="dxa"/>
                  <w:vMerge w:val="restart"/>
                  <w:tcBorders>
                    <w:top w:val="single" w:color="auto" w:sz="4" w:space="0"/>
                    <w:left w:val="single" w:color="auto" w:sz="4" w:space="0"/>
                    <w:bottom w:val="single" w:color="auto" w:sz="4" w:space="0"/>
                    <w:right w:val="single" w:color="auto" w:sz="4" w:space="0"/>
                  </w:tcBorders>
                  <w:noWrap w:val="0"/>
                  <w:textDirection w:val="tbRlV"/>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朝阳社区</w:t>
                  </w:r>
                </w:p>
              </w:tc>
              <w:tc>
                <w:tcPr>
                  <w:tcW w:w="38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泗竹坑</w:t>
                  </w:r>
                </w:p>
              </w:tc>
              <w:tc>
                <w:tcPr>
                  <w:tcW w:w="252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泗竹坑新村.村头</w:t>
                  </w:r>
                </w:p>
              </w:tc>
              <w:tc>
                <w:tcPr>
                  <w:tcW w:w="258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泗竹坑新村.村尾</w:t>
                  </w:r>
                </w:p>
              </w:tc>
              <w:tc>
                <w:tcPr>
                  <w:tcW w:w="137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707.8</w:t>
                  </w:r>
                </w:p>
              </w:tc>
              <w:tc>
                <w:tcPr>
                  <w:tcW w:w="10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7</w:t>
                  </w:r>
                </w:p>
              </w:tc>
              <w:tc>
                <w:tcPr>
                  <w:tcW w:w="173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4954.6</w:t>
                  </w:r>
                </w:p>
              </w:tc>
            </w:tr>
            <w:tr>
              <w:tblPrEx>
                <w:tblLayout w:type="fixed"/>
                <w:tblCellMar>
                  <w:top w:w="0" w:type="dxa"/>
                  <w:left w:w="108" w:type="dxa"/>
                  <w:bottom w:w="0" w:type="dxa"/>
                  <w:right w:w="108" w:type="dxa"/>
                </w:tblCellMar>
              </w:tblPrEx>
              <w:trPr>
                <w:trHeight w:val="499" w:hRule="atLeast"/>
              </w:trPr>
              <w:tc>
                <w:tcPr>
                  <w:tcW w:w="96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24"/>
                      <w:szCs w:val="24"/>
                    </w:rPr>
                  </w:pPr>
                </w:p>
              </w:tc>
              <w:tc>
                <w:tcPr>
                  <w:tcW w:w="38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一中体育场沿围墙外边</w:t>
                  </w:r>
                </w:p>
              </w:tc>
              <w:tc>
                <w:tcPr>
                  <w:tcW w:w="252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一中体育场沿围墙外边</w:t>
                  </w:r>
                </w:p>
              </w:tc>
              <w:tc>
                <w:tcPr>
                  <w:tcW w:w="258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马岭坑口</w:t>
                  </w:r>
                </w:p>
              </w:tc>
              <w:tc>
                <w:tcPr>
                  <w:tcW w:w="137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886</w:t>
                  </w:r>
                </w:p>
              </w:tc>
              <w:tc>
                <w:tcPr>
                  <w:tcW w:w="10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7</w:t>
                  </w:r>
                </w:p>
              </w:tc>
              <w:tc>
                <w:tcPr>
                  <w:tcW w:w="173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6202</w:t>
                  </w:r>
                </w:p>
              </w:tc>
            </w:tr>
            <w:tr>
              <w:tblPrEx>
                <w:tblLayout w:type="fixed"/>
                <w:tblCellMar>
                  <w:top w:w="0" w:type="dxa"/>
                  <w:left w:w="108" w:type="dxa"/>
                  <w:bottom w:w="0" w:type="dxa"/>
                  <w:right w:w="108" w:type="dxa"/>
                </w:tblCellMar>
              </w:tblPrEx>
              <w:trPr>
                <w:trHeight w:val="499" w:hRule="atLeast"/>
              </w:trPr>
              <w:tc>
                <w:tcPr>
                  <w:tcW w:w="96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24"/>
                      <w:szCs w:val="24"/>
                    </w:rPr>
                  </w:pPr>
                </w:p>
              </w:tc>
              <w:tc>
                <w:tcPr>
                  <w:tcW w:w="38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家多福超市与地㙂老宿舍之间</w:t>
                  </w:r>
                </w:p>
              </w:tc>
              <w:tc>
                <w:tcPr>
                  <w:tcW w:w="252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家多福超市后门</w:t>
                  </w:r>
                </w:p>
              </w:tc>
              <w:tc>
                <w:tcPr>
                  <w:tcW w:w="258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地税老宿舍店面</w:t>
                  </w:r>
                </w:p>
              </w:tc>
              <w:tc>
                <w:tcPr>
                  <w:tcW w:w="137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35</w:t>
                  </w:r>
                </w:p>
              </w:tc>
              <w:tc>
                <w:tcPr>
                  <w:tcW w:w="10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6</w:t>
                  </w:r>
                </w:p>
              </w:tc>
              <w:tc>
                <w:tcPr>
                  <w:tcW w:w="173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210</w:t>
                  </w:r>
                </w:p>
              </w:tc>
            </w:tr>
            <w:tr>
              <w:tblPrEx>
                <w:tblLayout w:type="fixed"/>
                <w:tblCellMar>
                  <w:top w:w="0" w:type="dxa"/>
                  <w:left w:w="108" w:type="dxa"/>
                  <w:bottom w:w="0" w:type="dxa"/>
                  <w:right w:w="108" w:type="dxa"/>
                </w:tblCellMar>
              </w:tblPrEx>
              <w:trPr>
                <w:trHeight w:val="499" w:hRule="atLeast"/>
              </w:trPr>
              <w:tc>
                <w:tcPr>
                  <w:tcW w:w="96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24"/>
                      <w:szCs w:val="24"/>
                    </w:rPr>
                  </w:pPr>
                </w:p>
              </w:tc>
              <w:tc>
                <w:tcPr>
                  <w:tcW w:w="38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朝阳农贸市场周围</w:t>
                  </w:r>
                </w:p>
              </w:tc>
              <w:tc>
                <w:tcPr>
                  <w:tcW w:w="252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朝阳农贸市场周围头</w:t>
                  </w:r>
                </w:p>
              </w:tc>
              <w:tc>
                <w:tcPr>
                  <w:tcW w:w="258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朝阳农贸市场周围尾</w:t>
                  </w:r>
                </w:p>
              </w:tc>
              <w:tc>
                <w:tcPr>
                  <w:tcW w:w="137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29.7</w:t>
                  </w:r>
                </w:p>
              </w:tc>
              <w:tc>
                <w:tcPr>
                  <w:tcW w:w="10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14</w:t>
                  </w:r>
                </w:p>
              </w:tc>
              <w:tc>
                <w:tcPr>
                  <w:tcW w:w="173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415.8</w:t>
                  </w:r>
                </w:p>
              </w:tc>
            </w:tr>
            <w:tr>
              <w:tblPrEx>
                <w:tblLayout w:type="fixed"/>
                <w:tblCellMar>
                  <w:top w:w="0" w:type="dxa"/>
                  <w:left w:w="108" w:type="dxa"/>
                  <w:bottom w:w="0" w:type="dxa"/>
                  <w:right w:w="108" w:type="dxa"/>
                </w:tblCellMar>
              </w:tblPrEx>
              <w:trPr>
                <w:trHeight w:val="499" w:hRule="atLeast"/>
              </w:trPr>
              <w:tc>
                <w:tcPr>
                  <w:tcW w:w="96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24"/>
                      <w:szCs w:val="24"/>
                    </w:rPr>
                  </w:pPr>
                </w:p>
              </w:tc>
              <w:tc>
                <w:tcPr>
                  <w:tcW w:w="38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泗竹坑菜市场跟紫竹新村交界</w:t>
                  </w:r>
                </w:p>
              </w:tc>
              <w:tc>
                <w:tcPr>
                  <w:tcW w:w="252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泗竹坑菜市场边</w:t>
                  </w:r>
                </w:p>
              </w:tc>
              <w:tc>
                <w:tcPr>
                  <w:tcW w:w="258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紫竹新村交界边</w:t>
                  </w:r>
                </w:p>
              </w:tc>
              <w:tc>
                <w:tcPr>
                  <w:tcW w:w="137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33.4</w:t>
                  </w:r>
                </w:p>
              </w:tc>
              <w:tc>
                <w:tcPr>
                  <w:tcW w:w="10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25</w:t>
                  </w:r>
                </w:p>
              </w:tc>
              <w:tc>
                <w:tcPr>
                  <w:tcW w:w="173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835</w:t>
                  </w:r>
                </w:p>
              </w:tc>
            </w:tr>
            <w:tr>
              <w:tblPrEx>
                <w:tblLayout w:type="fixed"/>
                <w:tblCellMar>
                  <w:top w:w="0" w:type="dxa"/>
                  <w:left w:w="108" w:type="dxa"/>
                  <w:bottom w:w="0" w:type="dxa"/>
                  <w:right w:w="108" w:type="dxa"/>
                </w:tblCellMar>
              </w:tblPrEx>
              <w:trPr>
                <w:trHeight w:val="499" w:hRule="atLeast"/>
              </w:trPr>
              <w:tc>
                <w:tcPr>
                  <w:tcW w:w="96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24"/>
                      <w:szCs w:val="24"/>
                    </w:rPr>
                  </w:pPr>
                </w:p>
              </w:tc>
              <w:tc>
                <w:tcPr>
                  <w:tcW w:w="38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紫竹新村法制公园门口</w:t>
                  </w:r>
                </w:p>
              </w:tc>
              <w:tc>
                <w:tcPr>
                  <w:tcW w:w="252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紫竹新村法制公园路口</w:t>
                  </w:r>
                </w:p>
              </w:tc>
              <w:tc>
                <w:tcPr>
                  <w:tcW w:w="258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紫竹新村法制公园门口</w:t>
                  </w:r>
                </w:p>
              </w:tc>
              <w:tc>
                <w:tcPr>
                  <w:tcW w:w="137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49.2</w:t>
                  </w:r>
                </w:p>
              </w:tc>
              <w:tc>
                <w:tcPr>
                  <w:tcW w:w="10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12.3</w:t>
                  </w:r>
                </w:p>
              </w:tc>
              <w:tc>
                <w:tcPr>
                  <w:tcW w:w="173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605.16</w:t>
                  </w:r>
                </w:p>
              </w:tc>
            </w:tr>
            <w:tr>
              <w:tblPrEx>
                <w:tblLayout w:type="fixed"/>
                <w:tblCellMar>
                  <w:top w:w="0" w:type="dxa"/>
                  <w:left w:w="108" w:type="dxa"/>
                  <w:bottom w:w="0" w:type="dxa"/>
                  <w:right w:w="108" w:type="dxa"/>
                </w:tblCellMar>
              </w:tblPrEx>
              <w:trPr>
                <w:trHeight w:val="499" w:hRule="atLeast"/>
              </w:trPr>
              <w:tc>
                <w:tcPr>
                  <w:tcW w:w="96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24"/>
                      <w:szCs w:val="24"/>
                    </w:rPr>
                  </w:pPr>
                </w:p>
              </w:tc>
              <w:tc>
                <w:tcPr>
                  <w:tcW w:w="38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交警大队大门左侧</w:t>
                  </w:r>
                </w:p>
              </w:tc>
              <w:tc>
                <w:tcPr>
                  <w:tcW w:w="252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交警大队大门左侧前</w:t>
                  </w:r>
                </w:p>
              </w:tc>
              <w:tc>
                <w:tcPr>
                  <w:tcW w:w="258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交警大队大门左侧后</w:t>
                  </w:r>
                </w:p>
              </w:tc>
              <w:tc>
                <w:tcPr>
                  <w:tcW w:w="137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33.3</w:t>
                  </w:r>
                </w:p>
              </w:tc>
              <w:tc>
                <w:tcPr>
                  <w:tcW w:w="10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7</w:t>
                  </w:r>
                </w:p>
              </w:tc>
              <w:tc>
                <w:tcPr>
                  <w:tcW w:w="173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233.1</w:t>
                  </w:r>
                </w:p>
              </w:tc>
            </w:tr>
            <w:tr>
              <w:tblPrEx>
                <w:tblLayout w:type="fixed"/>
                <w:tblCellMar>
                  <w:top w:w="0" w:type="dxa"/>
                  <w:left w:w="108" w:type="dxa"/>
                  <w:bottom w:w="0" w:type="dxa"/>
                  <w:right w:w="108" w:type="dxa"/>
                </w:tblCellMar>
              </w:tblPrEx>
              <w:trPr>
                <w:trHeight w:val="499" w:hRule="atLeast"/>
              </w:trPr>
              <w:tc>
                <w:tcPr>
                  <w:tcW w:w="96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24"/>
                      <w:szCs w:val="24"/>
                    </w:rPr>
                  </w:pPr>
                </w:p>
              </w:tc>
              <w:tc>
                <w:tcPr>
                  <w:tcW w:w="38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交警大队的后围墙跟朝阳新村交界的小弄</w:t>
                  </w:r>
                </w:p>
              </w:tc>
              <w:tc>
                <w:tcPr>
                  <w:tcW w:w="252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交警大队的后围墙</w:t>
                  </w:r>
                </w:p>
              </w:tc>
              <w:tc>
                <w:tcPr>
                  <w:tcW w:w="258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朝阳新村交界的小弄</w:t>
                  </w:r>
                </w:p>
              </w:tc>
              <w:tc>
                <w:tcPr>
                  <w:tcW w:w="137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162</w:t>
                  </w:r>
                </w:p>
              </w:tc>
              <w:tc>
                <w:tcPr>
                  <w:tcW w:w="10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5.5</w:t>
                  </w:r>
                </w:p>
              </w:tc>
              <w:tc>
                <w:tcPr>
                  <w:tcW w:w="173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891</w:t>
                  </w:r>
                </w:p>
              </w:tc>
            </w:tr>
            <w:tr>
              <w:tblPrEx>
                <w:tblLayout w:type="fixed"/>
                <w:tblCellMar>
                  <w:top w:w="0" w:type="dxa"/>
                  <w:left w:w="108" w:type="dxa"/>
                  <w:bottom w:w="0" w:type="dxa"/>
                  <w:right w:w="108" w:type="dxa"/>
                </w:tblCellMar>
              </w:tblPrEx>
              <w:trPr>
                <w:trHeight w:val="499" w:hRule="atLeast"/>
              </w:trPr>
              <w:tc>
                <w:tcPr>
                  <w:tcW w:w="96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24"/>
                      <w:szCs w:val="24"/>
                    </w:rPr>
                  </w:pPr>
                </w:p>
              </w:tc>
              <w:tc>
                <w:tcPr>
                  <w:tcW w:w="38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建委大门右侧头至左侧尾</w:t>
                  </w:r>
                </w:p>
              </w:tc>
              <w:tc>
                <w:tcPr>
                  <w:tcW w:w="252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建委大门右侧头</w:t>
                  </w:r>
                </w:p>
              </w:tc>
              <w:tc>
                <w:tcPr>
                  <w:tcW w:w="258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建委大门左侧头尾</w:t>
                  </w:r>
                </w:p>
              </w:tc>
              <w:tc>
                <w:tcPr>
                  <w:tcW w:w="137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174</w:t>
                  </w:r>
                </w:p>
              </w:tc>
              <w:tc>
                <w:tcPr>
                  <w:tcW w:w="10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12</w:t>
                  </w:r>
                </w:p>
              </w:tc>
              <w:tc>
                <w:tcPr>
                  <w:tcW w:w="173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2088</w:t>
                  </w:r>
                </w:p>
              </w:tc>
            </w:tr>
            <w:tr>
              <w:tblPrEx>
                <w:tblLayout w:type="fixed"/>
                <w:tblCellMar>
                  <w:top w:w="0" w:type="dxa"/>
                  <w:left w:w="108" w:type="dxa"/>
                  <w:bottom w:w="0" w:type="dxa"/>
                  <w:right w:w="108" w:type="dxa"/>
                </w:tblCellMar>
              </w:tblPrEx>
              <w:trPr>
                <w:trHeight w:val="499" w:hRule="atLeast"/>
              </w:trPr>
              <w:tc>
                <w:tcPr>
                  <w:tcW w:w="96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24"/>
                      <w:szCs w:val="24"/>
                    </w:rPr>
                  </w:pPr>
                </w:p>
              </w:tc>
              <w:tc>
                <w:tcPr>
                  <w:tcW w:w="38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种子公司大门左侧面</w:t>
                  </w:r>
                </w:p>
              </w:tc>
              <w:tc>
                <w:tcPr>
                  <w:tcW w:w="252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种子公司大门左侧面前</w:t>
                  </w:r>
                </w:p>
              </w:tc>
              <w:tc>
                <w:tcPr>
                  <w:tcW w:w="258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种子公司大门左侧面后</w:t>
                  </w:r>
                </w:p>
              </w:tc>
              <w:tc>
                <w:tcPr>
                  <w:tcW w:w="137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50</w:t>
                  </w:r>
                </w:p>
              </w:tc>
              <w:tc>
                <w:tcPr>
                  <w:tcW w:w="10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12</w:t>
                  </w:r>
                </w:p>
              </w:tc>
              <w:tc>
                <w:tcPr>
                  <w:tcW w:w="173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600</w:t>
                  </w:r>
                </w:p>
              </w:tc>
            </w:tr>
            <w:tr>
              <w:tblPrEx>
                <w:tblLayout w:type="fixed"/>
                <w:tblCellMar>
                  <w:top w:w="0" w:type="dxa"/>
                  <w:left w:w="108" w:type="dxa"/>
                  <w:bottom w:w="0" w:type="dxa"/>
                  <w:right w:w="108" w:type="dxa"/>
                </w:tblCellMar>
              </w:tblPrEx>
              <w:trPr>
                <w:trHeight w:val="499" w:hRule="atLeast"/>
              </w:trPr>
              <w:tc>
                <w:tcPr>
                  <w:tcW w:w="963" w:type="dxa"/>
                  <w:vMerge w:val="restart"/>
                  <w:tcBorders>
                    <w:top w:val="single" w:color="auto" w:sz="4" w:space="0"/>
                    <w:left w:val="single" w:color="auto" w:sz="4" w:space="0"/>
                    <w:bottom w:val="single" w:color="auto" w:sz="4" w:space="0"/>
                    <w:right w:val="single" w:color="auto" w:sz="4" w:space="0"/>
                  </w:tcBorders>
                  <w:noWrap w:val="0"/>
                  <w:textDirection w:val="tbRlV"/>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南街社区</w:t>
                  </w:r>
                </w:p>
              </w:tc>
              <w:tc>
                <w:tcPr>
                  <w:tcW w:w="38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农贸市场商住楼下</w:t>
                  </w:r>
                </w:p>
              </w:tc>
              <w:tc>
                <w:tcPr>
                  <w:tcW w:w="252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立新弄58号A幢</w:t>
                  </w:r>
                </w:p>
              </w:tc>
              <w:tc>
                <w:tcPr>
                  <w:tcW w:w="258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立新弄58号B幢</w:t>
                  </w:r>
                </w:p>
              </w:tc>
              <w:tc>
                <w:tcPr>
                  <w:tcW w:w="137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200</w:t>
                  </w:r>
                </w:p>
              </w:tc>
              <w:tc>
                <w:tcPr>
                  <w:tcW w:w="10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2.5</w:t>
                  </w:r>
                </w:p>
              </w:tc>
              <w:tc>
                <w:tcPr>
                  <w:tcW w:w="173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500</w:t>
                  </w:r>
                </w:p>
              </w:tc>
            </w:tr>
            <w:tr>
              <w:tblPrEx>
                <w:tblLayout w:type="fixed"/>
                <w:tblCellMar>
                  <w:top w:w="0" w:type="dxa"/>
                  <w:left w:w="108" w:type="dxa"/>
                  <w:bottom w:w="0" w:type="dxa"/>
                  <w:right w:w="108" w:type="dxa"/>
                </w:tblCellMar>
              </w:tblPrEx>
              <w:trPr>
                <w:trHeight w:val="499" w:hRule="atLeast"/>
              </w:trPr>
              <w:tc>
                <w:tcPr>
                  <w:tcW w:w="96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24"/>
                      <w:szCs w:val="24"/>
                    </w:rPr>
                  </w:pPr>
                </w:p>
              </w:tc>
              <w:tc>
                <w:tcPr>
                  <w:tcW w:w="38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老地税院子及周围弄子</w:t>
                  </w:r>
                </w:p>
              </w:tc>
              <w:tc>
                <w:tcPr>
                  <w:tcW w:w="252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农行宿舍门口弄子</w:t>
                  </w:r>
                </w:p>
              </w:tc>
              <w:tc>
                <w:tcPr>
                  <w:tcW w:w="2582"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eastAsia="宋体" w:cs="宋体"/>
                      <w:kern w:val="0"/>
                      <w:sz w:val="24"/>
                      <w:szCs w:val="24"/>
                    </w:rPr>
                  </w:pPr>
                  <w:r>
                    <w:rPr>
                      <w:rFonts w:hint="eastAsia" w:ascii="宋体" w:hAnsi="宋体" w:eastAsia="宋体" w:cs="宋体"/>
                      <w:kern w:val="0"/>
                      <w:sz w:val="24"/>
                      <w:szCs w:val="24"/>
                    </w:rPr>
                    <w:t>生活用品总公司楼下弄子</w:t>
                  </w:r>
                </w:p>
              </w:tc>
              <w:tc>
                <w:tcPr>
                  <w:tcW w:w="137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145</w:t>
                  </w:r>
                </w:p>
              </w:tc>
              <w:tc>
                <w:tcPr>
                  <w:tcW w:w="10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2.5</w:t>
                  </w:r>
                </w:p>
              </w:tc>
              <w:tc>
                <w:tcPr>
                  <w:tcW w:w="173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360.5</w:t>
                  </w:r>
                </w:p>
              </w:tc>
            </w:tr>
            <w:tr>
              <w:tblPrEx>
                <w:tblLayout w:type="fixed"/>
                <w:tblCellMar>
                  <w:top w:w="0" w:type="dxa"/>
                  <w:left w:w="108" w:type="dxa"/>
                  <w:bottom w:w="0" w:type="dxa"/>
                  <w:right w:w="108" w:type="dxa"/>
                </w:tblCellMar>
              </w:tblPrEx>
              <w:trPr>
                <w:trHeight w:val="499" w:hRule="atLeast"/>
              </w:trPr>
              <w:tc>
                <w:tcPr>
                  <w:tcW w:w="96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24"/>
                      <w:szCs w:val="24"/>
                    </w:rPr>
                  </w:pPr>
                </w:p>
              </w:tc>
              <w:tc>
                <w:tcPr>
                  <w:tcW w:w="38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南大街140号弄子</w:t>
                  </w:r>
                </w:p>
              </w:tc>
              <w:tc>
                <w:tcPr>
                  <w:tcW w:w="252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如家宾馆门口</w:t>
                  </w:r>
                </w:p>
              </w:tc>
              <w:tc>
                <w:tcPr>
                  <w:tcW w:w="258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星源娱乐城楼下院子</w:t>
                  </w:r>
                </w:p>
              </w:tc>
              <w:tc>
                <w:tcPr>
                  <w:tcW w:w="137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40</w:t>
                  </w:r>
                </w:p>
              </w:tc>
              <w:tc>
                <w:tcPr>
                  <w:tcW w:w="10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2.5</w:t>
                  </w:r>
                </w:p>
              </w:tc>
              <w:tc>
                <w:tcPr>
                  <w:tcW w:w="173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100</w:t>
                  </w:r>
                </w:p>
              </w:tc>
            </w:tr>
            <w:tr>
              <w:tblPrEx>
                <w:tblLayout w:type="fixed"/>
                <w:tblCellMar>
                  <w:top w:w="0" w:type="dxa"/>
                  <w:left w:w="108" w:type="dxa"/>
                  <w:bottom w:w="0" w:type="dxa"/>
                  <w:right w:w="108" w:type="dxa"/>
                </w:tblCellMar>
              </w:tblPrEx>
              <w:trPr>
                <w:trHeight w:val="499" w:hRule="atLeast"/>
              </w:trPr>
              <w:tc>
                <w:tcPr>
                  <w:tcW w:w="96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24"/>
                      <w:szCs w:val="24"/>
                    </w:rPr>
                  </w:pPr>
                </w:p>
              </w:tc>
              <w:tc>
                <w:tcPr>
                  <w:tcW w:w="38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4边贸城牛肉店门口</w:t>
                  </w:r>
                </w:p>
              </w:tc>
              <w:tc>
                <w:tcPr>
                  <w:tcW w:w="252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边贸城牛肉店门口</w:t>
                  </w:r>
                </w:p>
              </w:tc>
              <w:tc>
                <w:tcPr>
                  <w:tcW w:w="258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边贸城大门</w:t>
                  </w:r>
                </w:p>
              </w:tc>
              <w:tc>
                <w:tcPr>
                  <w:tcW w:w="137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120</w:t>
                  </w:r>
                </w:p>
              </w:tc>
              <w:tc>
                <w:tcPr>
                  <w:tcW w:w="10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3.5</w:t>
                  </w:r>
                </w:p>
              </w:tc>
              <w:tc>
                <w:tcPr>
                  <w:tcW w:w="173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420</w:t>
                  </w:r>
                </w:p>
              </w:tc>
            </w:tr>
            <w:tr>
              <w:tblPrEx>
                <w:tblLayout w:type="fixed"/>
                <w:tblCellMar>
                  <w:top w:w="0" w:type="dxa"/>
                  <w:left w:w="108" w:type="dxa"/>
                  <w:bottom w:w="0" w:type="dxa"/>
                  <w:right w:w="108" w:type="dxa"/>
                </w:tblCellMar>
              </w:tblPrEx>
              <w:trPr>
                <w:trHeight w:val="1023" w:hRule="atLeast"/>
              </w:trPr>
              <w:tc>
                <w:tcPr>
                  <w:tcW w:w="963" w:type="dxa"/>
                  <w:tcBorders>
                    <w:top w:val="single" w:color="auto" w:sz="4" w:space="0"/>
                    <w:left w:val="single" w:color="auto" w:sz="4" w:space="0"/>
                    <w:bottom w:val="single" w:color="auto" w:sz="4" w:space="0"/>
                    <w:right w:val="single" w:color="auto" w:sz="4" w:space="0"/>
                  </w:tcBorders>
                  <w:noWrap w:val="0"/>
                  <w:textDirection w:val="tbRlV"/>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红卫社区</w:t>
                  </w:r>
                </w:p>
              </w:tc>
              <w:tc>
                <w:tcPr>
                  <w:tcW w:w="38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北山公园脚下</w:t>
                  </w:r>
                </w:p>
              </w:tc>
              <w:tc>
                <w:tcPr>
                  <w:tcW w:w="252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纪念馆宿舍</w:t>
                  </w:r>
                </w:p>
              </w:tc>
              <w:tc>
                <w:tcPr>
                  <w:tcW w:w="258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城西路39号</w:t>
                  </w:r>
                </w:p>
              </w:tc>
              <w:tc>
                <w:tcPr>
                  <w:tcW w:w="137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150</w:t>
                  </w:r>
                </w:p>
              </w:tc>
              <w:tc>
                <w:tcPr>
                  <w:tcW w:w="10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7.8</w:t>
                  </w:r>
                </w:p>
              </w:tc>
              <w:tc>
                <w:tcPr>
                  <w:tcW w:w="173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1170</w:t>
                  </w:r>
                </w:p>
              </w:tc>
            </w:tr>
            <w:tr>
              <w:tblPrEx>
                <w:tblLayout w:type="fixed"/>
                <w:tblCellMar>
                  <w:top w:w="0" w:type="dxa"/>
                  <w:left w:w="108" w:type="dxa"/>
                  <w:bottom w:w="0" w:type="dxa"/>
                  <w:right w:w="108" w:type="dxa"/>
                </w:tblCellMar>
              </w:tblPrEx>
              <w:trPr>
                <w:trHeight w:val="499" w:hRule="atLeast"/>
              </w:trPr>
              <w:tc>
                <w:tcPr>
                  <w:tcW w:w="963" w:type="dxa"/>
                  <w:vMerge w:val="restart"/>
                  <w:tcBorders>
                    <w:top w:val="single" w:color="auto" w:sz="4" w:space="0"/>
                    <w:left w:val="single" w:color="auto" w:sz="4" w:space="0"/>
                    <w:bottom w:val="single" w:color="auto" w:sz="4" w:space="0"/>
                    <w:right w:val="single" w:color="auto" w:sz="4" w:space="0"/>
                  </w:tcBorders>
                  <w:noWrap w:val="0"/>
                  <w:textDirection w:val="tbRlV"/>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小溪社区</w:t>
                  </w:r>
                </w:p>
              </w:tc>
              <w:tc>
                <w:tcPr>
                  <w:tcW w:w="38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金山水郡右侧至小溪新村46号</w:t>
                  </w:r>
                </w:p>
              </w:tc>
              <w:tc>
                <w:tcPr>
                  <w:tcW w:w="252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金山水郡右侧路口</w:t>
                  </w:r>
                </w:p>
              </w:tc>
              <w:tc>
                <w:tcPr>
                  <w:tcW w:w="258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小溪新村46号</w:t>
                  </w:r>
                </w:p>
              </w:tc>
              <w:tc>
                <w:tcPr>
                  <w:tcW w:w="137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240.78</w:t>
                  </w:r>
                </w:p>
              </w:tc>
              <w:tc>
                <w:tcPr>
                  <w:tcW w:w="10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7</w:t>
                  </w:r>
                </w:p>
              </w:tc>
              <w:tc>
                <w:tcPr>
                  <w:tcW w:w="173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1685.45</w:t>
                  </w:r>
                </w:p>
              </w:tc>
            </w:tr>
            <w:tr>
              <w:tblPrEx>
                <w:tblLayout w:type="fixed"/>
                <w:tblCellMar>
                  <w:top w:w="0" w:type="dxa"/>
                  <w:left w:w="108" w:type="dxa"/>
                  <w:bottom w:w="0" w:type="dxa"/>
                  <w:right w:w="108" w:type="dxa"/>
                </w:tblCellMar>
              </w:tblPrEx>
              <w:trPr>
                <w:trHeight w:val="499" w:hRule="atLeast"/>
              </w:trPr>
              <w:tc>
                <w:tcPr>
                  <w:tcW w:w="96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24"/>
                      <w:szCs w:val="24"/>
                    </w:rPr>
                  </w:pPr>
                </w:p>
              </w:tc>
              <w:tc>
                <w:tcPr>
                  <w:tcW w:w="38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文心苑与金山水郡之间</w:t>
                  </w:r>
                </w:p>
              </w:tc>
              <w:tc>
                <w:tcPr>
                  <w:tcW w:w="252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文心苑门口大路</w:t>
                  </w:r>
                </w:p>
              </w:tc>
              <w:tc>
                <w:tcPr>
                  <w:tcW w:w="258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金山水郡路口</w:t>
                  </w:r>
                </w:p>
              </w:tc>
              <w:tc>
                <w:tcPr>
                  <w:tcW w:w="137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282.6</w:t>
                  </w:r>
                </w:p>
              </w:tc>
              <w:tc>
                <w:tcPr>
                  <w:tcW w:w="10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8</w:t>
                  </w:r>
                </w:p>
              </w:tc>
              <w:tc>
                <w:tcPr>
                  <w:tcW w:w="173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2260.8</w:t>
                  </w:r>
                </w:p>
              </w:tc>
            </w:tr>
            <w:tr>
              <w:tblPrEx>
                <w:tblLayout w:type="fixed"/>
                <w:tblCellMar>
                  <w:top w:w="0" w:type="dxa"/>
                  <w:left w:w="108" w:type="dxa"/>
                  <w:bottom w:w="0" w:type="dxa"/>
                  <w:right w:w="108" w:type="dxa"/>
                </w:tblCellMar>
              </w:tblPrEx>
              <w:trPr>
                <w:trHeight w:val="499" w:hRule="atLeast"/>
              </w:trPr>
              <w:tc>
                <w:tcPr>
                  <w:tcW w:w="96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24"/>
                      <w:szCs w:val="24"/>
                    </w:rPr>
                  </w:pPr>
                </w:p>
              </w:tc>
              <w:tc>
                <w:tcPr>
                  <w:tcW w:w="38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巫家上</w:t>
                  </w:r>
                </w:p>
              </w:tc>
              <w:tc>
                <w:tcPr>
                  <w:tcW w:w="252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巫家上1号</w:t>
                  </w:r>
                </w:p>
              </w:tc>
              <w:tc>
                <w:tcPr>
                  <w:tcW w:w="258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巫家上13号</w:t>
                  </w:r>
                </w:p>
              </w:tc>
              <w:tc>
                <w:tcPr>
                  <w:tcW w:w="137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120</w:t>
                  </w:r>
                </w:p>
              </w:tc>
              <w:tc>
                <w:tcPr>
                  <w:tcW w:w="10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5</w:t>
                  </w:r>
                </w:p>
              </w:tc>
              <w:tc>
                <w:tcPr>
                  <w:tcW w:w="173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600</w:t>
                  </w:r>
                </w:p>
              </w:tc>
            </w:tr>
            <w:tr>
              <w:tblPrEx>
                <w:tblLayout w:type="fixed"/>
                <w:tblCellMar>
                  <w:top w:w="0" w:type="dxa"/>
                  <w:left w:w="108" w:type="dxa"/>
                  <w:bottom w:w="0" w:type="dxa"/>
                  <w:right w:w="108" w:type="dxa"/>
                </w:tblCellMar>
              </w:tblPrEx>
              <w:trPr>
                <w:trHeight w:val="499" w:hRule="atLeast"/>
              </w:trPr>
              <w:tc>
                <w:tcPr>
                  <w:tcW w:w="96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24"/>
                      <w:szCs w:val="24"/>
                    </w:rPr>
                  </w:pPr>
                </w:p>
              </w:tc>
              <w:tc>
                <w:tcPr>
                  <w:tcW w:w="38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小河边220号至266号</w:t>
                  </w:r>
                </w:p>
              </w:tc>
              <w:tc>
                <w:tcPr>
                  <w:tcW w:w="252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小河边220号</w:t>
                  </w:r>
                </w:p>
              </w:tc>
              <w:tc>
                <w:tcPr>
                  <w:tcW w:w="258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小河边266号</w:t>
                  </w:r>
                </w:p>
              </w:tc>
              <w:tc>
                <w:tcPr>
                  <w:tcW w:w="137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180</w:t>
                  </w:r>
                </w:p>
              </w:tc>
              <w:tc>
                <w:tcPr>
                  <w:tcW w:w="10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7</w:t>
                  </w:r>
                </w:p>
              </w:tc>
              <w:tc>
                <w:tcPr>
                  <w:tcW w:w="173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1260</w:t>
                  </w:r>
                </w:p>
              </w:tc>
            </w:tr>
            <w:tr>
              <w:tblPrEx>
                <w:tblLayout w:type="fixed"/>
                <w:tblCellMar>
                  <w:top w:w="0" w:type="dxa"/>
                  <w:left w:w="108" w:type="dxa"/>
                  <w:bottom w:w="0" w:type="dxa"/>
                  <w:right w:w="108" w:type="dxa"/>
                </w:tblCellMar>
              </w:tblPrEx>
              <w:trPr>
                <w:trHeight w:val="499" w:hRule="atLeast"/>
              </w:trPr>
              <w:tc>
                <w:tcPr>
                  <w:tcW w:w="963" w:type="dxa"/>
                  <w:vMerge w:val="restart"/>
                  <w:tcBorders>
                    <w:top w:val="single" w:color="auto" w:sz="4" w:space="0"/>
                    <w:left w:val="single" w:color="auto" w:sz="4" w:space="0"/>
                    <w:bottom w:val="single" w:color="auto" w:sz="4" w:space="0"/>
                    <w:right w:val="single" w:color="auto" w:sz="4" w:space="0"/>
                  </w:tcBorders>
                  <w:noWrap w:val="0"/>
                  <w:textDirection w:val="tbRlV"/>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双虹社区</w:t>
                  </w:r>
                </w:p>
              </w:tc>
              <w:tc>
                <w:tcPr>
                  <w:tcW w:w="38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南门新村</w:t>
                  </w:r>
                </w:p>
              </w:tc>
              <w:tc>
                <w:tcPr>
                  <w:tcW w:w="252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南门新村前转盘</w:t>
                  </w:r>
                </w:p>
              </w:tc>
              <w:tc>
                <w:tcPr>
                  <w:tcW w:w="258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南门新村后</w:t>
                  </w:r>
                </w:p>
              </w:tc>
              <w:tc>
                <w:tcPr>
                  <w:tcW w:w="137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726.8</w:t>
                  </w:r>
                </w:p>
              </w:tc>
              <w:tc>
                <w:tcPr>
                  <w:tcW w:w="10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5</w:t>
                  </w:r>
                </w:p>
              </w:tc>
              <w:tc>
                <w:tcPr>
                  <w:tcW w:w="173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3634</w:t>
                  </w:r>
                </w:p>
              </w:tc>
            </w:tr>
            <w:tr>
              <w:tblPrEx>
                <w:tblLayout w:type="fixed"/>
                <w:tblCellMar>
                  <w:top w:w="0" w:type="dxa"/>
                  <w:left w:w="108" w:type="dxa"/>
                  <w:bottom w:w="0" w:type="dxa"/>
                  <w:right w:w="108" w:type="dxa"/>
                </w:tblCellMar>
              </w:tblPrEx>
              <w:trPr>
                <w:trHeight w:val="499" w:hRule="atLeast"/>
              </w:trPr>
              <w:tc>
                <w:tcPr>
                  <w:tcW w:w="96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24"/>
                      <w:szCs w:val="24"/>
                    </w:rPr>
                  </w:pPr>
                </w:p>
              </w:tc>
              <w:tc>
                <w:tcPr>
                  <w:tcW w:w="38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何家园</w:t>
                  </w:r>
                </w:p>
              </w:tc>
              <w:tc>
                <w:tcPr>
                  <w:tcW w:w="252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老制材厂</w:t>
                  </w:r>
                </w:p>
              </w:tc>
              <w:tc>
                <w:tcPr>
                  <w:tcW w:w="258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慈恩塔</w:t>
                  </w:r>
                </w:p>
              </w:tc>
              <w:tc>
                <w:tcPr>
                  <w:tcW w:w="137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1536.5</w:t>
                  </w:r>
                </w:p>
              </w:tc>
              <w:tc>
                <w:tcPr>
                  <w:tcW w:w="10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5</w:t>
                  </w:r>
                </w:p>
              </w:tc>
              <w:tc>
                <w:tcPr>
                  <w:tcW w:w="173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7682.7</w:t>
                  </w:r>
                </w:p>
              </w:tc>
            </w:tr>
            <w:tr>
              <w:tblPrEx>
                <w:tblLayout w:type="fixed"/>
                <w:tblCellMar>
                  <w:top w:w="0" w:type="dxa"/>
                  <w:left w:w="108" w:type="dxa"/>
                  <w:bottom w:w="0" w:type="dxa"/>
                  <w:right w:w="108" w:type="dxa"/>
                </w:tblCellMar>
              </w:tblPrEx>
              <w:trPr>
                <w:trHeight w:val="499" w:hRule="atLeast"/>
              </w:trPr>
              <w:tc>
                <w:tcPr>
                  <w:tcW w:w="96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24"/>
                      <w:szCs w:val="24"/>
                    </w:rPr>
                  </w:pPr>
                </w:p>
              </w:tc>
              <w:tc>
                <w:tcPr>
                  <w:tcW w:w="38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东方新城至东方广场整条大路</w:t>
                  </w:r>
                </w:p>
              </w:tc>
              <w:tc>
                <w:tcPr>
                  <w:tcW w:w="252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东方新城</w:t>
                  </w:r>
                </w:p>
              </w:tc>
              <w:tc>
                <w:tcPr>
                  <w:tcW w:w="258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东方广场</w:t>
                  </w:r>
                </w:p>
              </w:tc>
              <w:tc>
                <w:tcPr>
                  <w:tcW w:w="137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517.2</w:t>
                  </w:r>
                </w:p>
              </w:tc>
              <w:tc>
                <w:tcPr>
                  <w:tcW w:w="10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5</w:t>
                  </w:r>
                </w:p>
              </w:tc>
              <w:tc>
                <w:tcPr>
                  <w:tcW w:w="173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2586</w:t>
                  </w:r>
                </w:p>
              </w:tc>
            </w:tr>
            <w:tr>
              <w:tblPrEx>
                <w:tblLayout w:type="fixed"/>
                <w:tblCellMar>
                  <w:top w:w="0" w:type="dxa"/>
                  <w:left w:w="108" w:type="dxa"/>
                  <w:bottom w:w="0" w:type="dxa"/>
                  <w:right w:w="108" w:type="dxa"/>
                </w:tblCellMar>
              </w:tblPrEx>
              <w:trPr>
                <w:trHeight w:val="499" w:hRule="atLeast"/>
              </w:trPr>
              <w:tc>
                <w:tcPr>
                  <w:tcW w:w="963" w:type="dxa"/>
                  <w:vMerge w:val="restart"/>
                  <w:tcBorders>
                    <w:top w:val="single" w:color="auto" w:sz="4" w:space="0"/>
                    <w:left w:val="single" w:color="auto" w:sz="4" w:space="0"/>
                    <w:bottom w:val="single" w:color="auto" w:sz="4" w:space="0"/>
                    <w:right w:val="single" w:color="auto" w:sz="4" w:space="0"/>
                  </w:tcBorders>
                  <w:noWrap w:val="0"/>
                  <w:textDirection w:val="tbRlV"/>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中山社区</w:t>
                  </w:r>
                </w:p>
              </w:tc>
              <w:tc>
                <w:tcPr>
                  <w:tcW w:w="38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一中体育场沿墙路面</w:t>
                  </w:r>
                </w:p>
              </w:tc>
              <w:tc>
                <w:tcPr>
                  <w:tcW w:w="252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城隍巷121号</w:t>
                  </w:r>
                </w:p>
              </w:tc>
              <w:tc>
                <w:tcPr>
                  <w:tcW w:w="258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一中大门</w:t>
                  </w:r>
                </w:p>
              </w:tc>
              <w:tc>
                <w:tcPr>
                  <w:tcW w:w="137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229.14</w:t>
                  </w:r>
                </w:p>
              </w:tc>
              <w:tc>
                <w:tcPr>
                  <w:tcW w:w="10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8.7</w:t>
                  </w:r>
                </w:p>
              </w:tc>
              <w:tc>
                <w:tcPr>
                  <w:tcW w:w="173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1992.3</w:t>
                  </w:r>
                </w:p>
              </w:tc>
            </w:tr>
            <w:tr>
              <w:tblPrEx>
                <w:tblLayout w:type="fixed"/>
                <w:tblCellMar>
                  <w:top w:w="0" w:type="dxa"/>
                  <w:left w:w="108" w:type="dxa"/>
                  <w:bottom w:w="0" w:type="dxa"/>
                  <w:right w:w="108" w:type="dxa"/>
                </w:tblCellMar>
              </w:tblPrEx>
              <w:trPr>
                <w:trHeight w:val="499" w:hRule="atLeast"/>
              </w:trPr>
              <w:tc>
                <w:tcPr>
                  <w:tcW w:w="96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24"/>
                      <w:szCs w:val="24"/>
                    </w:rPr>
                  </w:pPr>
                </w:p>
              </w:tc>
              <w:tc>
                <w:tcPr>
                  <w:tcW w:w="38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宁阳御景与法院、新国税、公安局之间</w:t>
                  </w:r>
                </w:p>
              </w:tc>
              <w:tc>
                <w:tcPr>
                  <w:tcW w:w="252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公安局路口</w:t>
                  </w:r>
                </w:p>
              </w:tc>
              <w:tc>
                <w:tcPr>
                  <w:tcW w:w="258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法院路口</w:t>
                  </w:r>
                </w:p>
              </w:tc>
              <w:tc>
                <w:tcPr>
                  <w:tcW w:w="137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400</w:t>
                  </w:r>
                </w:p>
              </w:tc>
              <w:tc>
                <w:tcPr>
                  <w:tcW w:w="10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14</w:t>
                  </w:r>
                </w:p>
              </w:tc>
              <w:tc>
                <w:tcPr>
                  <w:tcW w:w="173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5600</w:t>
                  </w:r>
                </w:p>
              </w:tc>
            </w:tr>
            <w:tr>
              <w:tblPrEx>
                <w:tblLayout w:type="fixed"/>
                <w:tblCellMar>
                  <w:top w:w="0" w:type="dxa"/>
                  <w:left w:w="108" w:type="dxa"/>
                  <w:bottom w:w="0" w:type="dxa"/>
                  <w:right w:w="108" w:type="dxa"/>
                </w:tblCellMar>
              </w:tblPrEx>
              <w:trPr>
                <w:trHeight w:val="499" w:hRule="atLeast"/>
              </w:trPr>
              <w:tc>
                <w:tcPr>
                  <w:tcW w:w="96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24"/>
                      <w:szCs w:val="24"/>
                    </w:rPr>
                  </w:pPr>
                </w:p>
              </w:tc>
              <w:tc>
                <w:tcPr>
                  <w:tcW w:w="38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宁阳御景与中山嘉苑之间</w:t>
                  </w:r>
                </w:p>
              </w:tc>
              <w:tc>
                <w:tcPr>
                  <w:tcW w:w="252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勇跃家具厂路口</w:t>
                  </w:r>
                </w:p>
              </w:tc>
              <w:tc>
                <w:tcPr>
                  <w:tcW w:w="258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中裕酒店路口</w:t>
                  </w:r>
                </w:p>
              </w:tc>
              <w:tc>
                <w:tcPr>
                  <w:tcW w:w="137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400</w:t>
                  </w:r>
                </w:p>
              </w:tc>
              <w:tc>
                <w:tcPr>
                  <w:tcW w:w="10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15.3</w:t>
                  </w:r>
                </w:p>
              </w:tc>
              <w:tc>
                <w:tcPr>
                  <w:tcW w:w="173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6120</w:t>
                  </w:r>
                </w:p>
              </w:tc>
            </w:tr>
            <w:tr>
              <w:tblPrEx>
                <w:tblLayout w:type="fixed"/>
                <w:tblCellMar>
                  <w:top w:w="0" w:type="dxa"/>
                  <w:left w:w="108" w:type="dxa"/>
                  <w:bottom w:w="0" w:type="dxa"/>
                  <w:right w:w="108" w:type="dxa"/>
                </w:tblCellMar>
              </w:tblPrEx>
              <w:trPr>
                <w:trHeight w:val="499" w:hRule="atLeast"/>
              </w:trPr>
              <w:tc>
                <w:tcPr>
                  <w:tcW w:w="96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24"/>
                      <w:szCs w:val="24"/>
                    </w:rPr>
                  </w:pPr>
                </w:p>
              </w:tc>
              <w:tc>
                <w:tcPr>
                  <w:tcW w:w="38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城东广场二期与中山嘉苑之间</w:t>
                  </w:r>
                </w:p>
              </w:tc>
              <w:tc>
                <w:tcPr>
                  <w:tcW w:w="252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二期洗车路口</w:t>
                  </w:r>
                </w:p>
              </w:tc>
              <w:tc>
                <w:tcPr>
                  <w:tcW w:w="258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福建水泥专营店路口</w:t>
                  </w:r>
                </w:p>
              </w:tc>
              <w:tc>
                <w:tcPr>
                  <w:tcW w:w="137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413.69</w:t>
                  </w:r>
                </w:p>
              </w:tc>
              <w:tc>
                <w:tcPr>
                  <w:tcW w:w="10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6.6</w:t>
                  </w:r>
                </w:p>
              </w:tc>
              <w:tc>
                <w:tcPr>
                  <w:tcW w:w="173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2730.4</w:t>
                  </w:r>
                </w:p>
              </w:tc>
            </w:tr>
            <w:tr>
              <w:tblPrEx>
                <w:tblLayout w:type="fixed"/>
                <w:tblCellMar>
                  <w:top w:w="0" w:type="dxa"/>
                  <w:left w:w="108" w:type="dxa"/>
                  <w:bottom w:w="0" w:type="dxa"/>
                  <w:right w:w="108" w:type="dxa"/>
                </w:tblCellMar>
              </w:tblPrEx>
              <w:trPr>
                <w:trHeight w:val="499" w:hRule="atLeast"/>
              </w:trPr>
              <w:tc>
                <w:tcPr>
                  <w:tcW w:w="96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24"/>
                      <w:szCs w:val="24"/>
                    </w:rPr>
                  </w:pPr>
                </w:p>
              </w:tc>
              <w:tc>
                <w:tcPr>
                  <w:tcW w:w="38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城东广场一期与城东广场二期之间</w:t>
                  </w:r>
                </w:p>
              </w:tc>
              <w:tc>
                <w:tcPr>
                  <w:tcW w:w="252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天鹅酒店路口</w:t>
                  </w:r>
                </w:p>
              </w:tc>
              <w:tc>
                <w:tcPr>
                  <w:tcW w:w="258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正和开锁</w:t>
                  </w:r>
                </w:p>
              </w:tc>
              <w:tc>
                <w:tcPr>
                  <w:tcW w:w="137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400</w:t>
                  </w:r>
                </w:p>
              </w:tc>
              <w:tc>
                <w:tcPr>
                  <w:tcW w:w="10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10.5</w:t>
                  </w:r>
                </w:p>
              </w:tc>
              <w:tc>
                <w:tcPr>
                  <w:tcW w:w="173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4200</w:t>
                  </w:r>
                </w:p>
              </w:tc>
            </w:tr>
            <w:tr>
              <w:tblPrEx>
                <w:tblLayout w:type="fixed"/>
                <w:tblCellMar>
                  <w:top w:w="0" w:type="dxa"/>
                  <w:left w:w="108" w:type="dxa"/>
                  <w:bottom w:w="0" w:type="dxa"/>
                  <w:right w:w="108" w:type="dxa"/>
                </w:tblCellMar>
              </w:tblPrEx>
              <w:trPr>
                <w:trHeight w:val="645" w:hRule="atLeast"/>
              </w:trPr>
              <w:tc>
                <w:tcPr>
                  <w:tcW w:w="96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24"/>
                      <w:szCs w:val="24"/>
                    </w:rPr>
                  </w:pPr>
                </w:p>
              </w:tc>
              <w:tc>
                <w:tcPr>
                  <w:tcW w:w="38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城东中学与东城雅苑之间</w:t>
                  </w:r>
                </w:p>
              </w:tc>
              <w:tc>
                <w:tcPr>
                  <w:tcW w:w="252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中环东路四路12号路口</w:t>
                  </w:r>
                </w:p>
              </w:tc>
              <w:tc>
                <w:tcPr>
                  <w:tcW w:w="258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鑫通用汽车美容店路口</w:t>
                  </w:r>
                </w:p>
              </w:tc>
              <w:tc>
                <w:tcPr>
                  <w:tcW w:w="137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349.6</w:t>
                  </w:r>
                </w:p>
              </w:tc>
              <w:tc>
                <w:tcPr>
                  <w:tcW w:w="10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12.5</w:t>
                  </w:r>
                </w:p>
              </w:tc>
              <w:tc>
                <w:tcPr>
                  <w:tcW w:w="173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4370</w:t>
                  </w:r>
                </w:p>
              </w:tc>
            </w:tr>
            <w:tr>
              <w:tblPrEx>
                <w:tblLayout w:type="fixed"/>
                <w:tblCellMar>
                  <w:top w:w="0" w:type="dxa"/>
                  <w:left w:w="108" w:type="dxa"/>
                  <w:bottom w:w="0" w:type="dxa"/>
                  <w:right w:w="108" w:type="dxa"/>
                </w:tblCellMar>
              </w:tblPrEx>
              <w:trPr>
                <w:trHeight w:val="499" w:hRule="atLeast"/>
              </w:trPr>
              <w:tc>
                <w:tcPr>
                  <w:tcW w:w="96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24"/>
                      <w:szCs w:val="24"/>
                    </w:rPr>
                  </w:pPr>
                </w:p>
              </w:tc>
              <w:tc>
                <w:tcPr>
                  <w:tcW w:w="38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天骏与城东中学之间</w:t>
                  </w:r>
                </w:p>
              </w:tc>
              <w:tc>
                <w:tcPr>
                  <w:tcW w:w="252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城东中学路口</w:t>
                  </w:r>
                </w:p>
              </w:tc>
              <w:tc>
                <w:tcPr>
                  <w:tcW w:w="258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天骏3号楼路口靠江下</w:t>
                  </w:r>
                </w:p>
              </w:tc>
              <w:tc>
                <w:tcPr>
                  <w:tcW w:w="137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472.2</w:t>
                  </w:r>
                </w:p>
              </w:tc>
              <w:tc>
                <w:tcPr>
                  <w:tcW w:w="10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9</w:t>
                  </w:r>
                </w:p>
              </w:tc>
              <w:tc>
                <w:tcPr>
                  <w:tcW w:w="173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4250</w:t>
                  </w:r>
                </w:p>
              </w:tc>
            </w:tr>
            <w:tr>
              <w:tblPrEx>
                <w:tblLayout w:type="fixed"/>
                <w:tblCellMar>
                  <w:top w:w="0" w:type="dxa"/>
                  <w:left w:w="108" w:type="dxa"/>
                  <w:bottom w:w="0" w:type="dxa"/>
                  <w:right w:w="108" w:type="dxa"/>
                </w:tblCellMar>
              </w:tblPrEx>
              <w:trPr>
                <w:trHeight w:val="499" w:hRule="atLeast"/>
              </w:trPr>
              <w:tc>
                <w:tcPr>
                  <w:tcW w:w="96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24"/>
                      <w:szCs w:val="24"/>
                    </w:rPr>
                  </w:pPr>
                </w:p>
              </w:tc>
              <w:tc>
                <w:tcPr>
                  <w:tcW w:w="38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天悦与富贵世家之间</w:t>
                  </w:r>
                </w:p>
              </w:tc>
              <w:tc>
                <w:tcPr>
                  <w:tcW w:w="252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天悦前门路口</w:t>
                  </w:r>
                </w:p>
              </w:tc>
              <w:tc>
                <w:tcPr>
                  <w:tcW w:w="258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天悦后门路口</w:t>
                  </w:r>
                </w:p>
              </w:tc>
              <w:tc>
                <w:tcPr>
                  <w:tcW w:w="137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533</w:t>
                  </w:r>
                </w:p>
              </w:tc>
              <w:tc>
                <w:tcPr>
                  <w:tcW w:w="10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10</w:t>
                  </w:r>
                </w:p>
              </w:tc>
              <w:tc>
                <w:tcPr>
                  <w:tcW w:w="173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5330</w:t>
                  </w:r>
                </w:p>
              </w:tc>
            </w:tr>
            <w:tr>
              <w:tblPrEx>
                <w:tblLayout w:type="fixed"/>
                <w:tblCellMar>
                  <w:top w:w="0" w:type="dxa"/>
                  <w:left w:w="108" w:type="dxa"/>
                  <w:bottom w:w="0" w:type="dxa"/>
                  <w:right w:w="108" w:type="dxa"/>
                </w:tblCellMar>
              </w:tblPrEx>
              <w:trPr>
                <w:trHeight w:val="499" w:hRule="atLeast"/>
              </w:trPr>
              <w:tc>
                <w:tcPr>
                  <w:tcW w:w="96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24"/>
                      <w:szCs w:val="24"/>
                    </w:rPr>
                  </w:pPr>
                </w:p>
              </w:tc>
              <w:tc>
                <w:tcPr>
                  <w:tcW w:w="38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东街路农行路段与中环世纪广场</w:t>
                  </w:r>
                </w:p>
              </w:tc>
              <w:tc>
                <w:tcPr>
                  <w:tcW w:w="252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农行路段路口</w:t>
                  </w:r>
                </w:p>
              </w:tc>
              <w:tc>
                <w:tcPr>
                  <w:tcW w:w="258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中环世纪广场靠停车场</w:t>
                  </w:r>
                </w:p>
              </w:tc>
              <w:tc>
                <w:tcPr>
                  <w:tcW w:w="137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190</w:t>
                  </w:r>
                </w:p>
              </w:tc>
              <w:tc>
                <w:tcPr>
                  <w:tcW w:w="10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4.5</w:t>
                  </w:r>
                </w:p>
              </w:tc>
              <w:tc>
                <w:tcPr>
                  <w:tcW w:w="173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855</w:t>
                  </w:r>
                </w:p>
              </w:tc>
            </w:tr>
            <w:tr>
              <w:tblPrEx>
                <w:tblLayout w:type="fixed"/>
                <w:tblCellMar>
                  <w:top w:w="0" w:type="dxa"/>
                  <w:left w:w="108" w:type="dxa"/>
                  <w:bottom w:w="0" w:type="dxa"/>
                  <w:right w:w="108" w:type="dxa"/>
                </w:tblCellMar>
              </w:tblPrEx>
              <w:trPr>
                <w:trHeight w:val="499" w:hRule="atLeast"/>
              </w:trPr>
              <w:tc>
                <w:tcPr>
                  <w:tcW w:w="96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24"/>
                      <w:szCs w:val="24"/>
                    </w:rPr>
                  </w:pPr>
                </w:p>
              </w:tc>
              <w:tc>
                <w:tcPr>
                  <w:tcW w:w="38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中裕酒店门口与城东二期洗车路口</w:t>
                  </w:r>
                </w:p>
              </w:tc>
              <w:tc>
                <w:tcPr>
                  <w:tcW w:w="252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中裕酒店门口</w:t>
                  </w:r>
                </w:p>
              </w:tc>
              <w:tc>
                <w:tcPr>
                  <w:tcW w:w="258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城东二期洗车路口</w:t>
                  </w:r>
                </w:p>
              </w:tc>
              <w:tc>
                <w:tcPr>
                  <w:tcW w:w="137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200</w:t>
                  </w:r>
                </w:p>
              </w:tc>
              <w:tc>
                <w:tcPr>
                  <w:tcW w:w="10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13.2</w:t>
                  </w:r>
                </w:p>
              </w:tc>
              <w:tc>
                <w:tcPr>
                  <w:tcW w:w="173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2640</w:t>
                  </w:r>
                </w:p>
              </w:tc>
            </w:tr>
            <w:tr>
              <w:tblPrEx>
                <w:tblLayout w:type="fixed"/>
                <w:tblCellMar>
                  <w:top w:w="0" w:type="dxa"/>
                  <w:left w:w="108" w:type="dxa"/>
                  <w:bottom w:w="0" w:type="dxa"/>
                  <w:right w:w="108" w:type="dxa"/>
                </w:tblCellMar>
              </w:tblPrEx>
              <w:trPr>
                <w:trHeight w:val="499" w:hRule="atLeast"/>
              </w:trPr>
              <w:tc>
                <w:tcPr>
                  <w:tcW w:w="963" w:type="dxa"/>
                  <w:vMerge w:val="restart"/>
                  <w:tcBorders>
                    <w:top w:val="single" w:color="auto" w:sz="4" w:space="0"/>
                    <w:left w:val="single" w:color="auto" w:sz="4" w:space="0"/>
                    <w:bottom w:val="single" w:color="auto" w:sz="4" w:space="0"/>
                    <w:right w:val="single" w:color="auto" w:sz="4" w:space="0"/>
                  </w:tcBorders>
                  <w:noWrap w:val="0"/>
                  <w:textDirection w:val="tbRlV"/>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城西社区</w:t>
                  </w:r>
                </w:p>
              </w:tc>
              <w:tc>
                <w:tcPr>
                  <w:tcW w:w="38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西大二路</w:t>
                  </w:r>
                </w:p>
              </w:tc>
              <w:tc>
                <w:tcPr>
                  <w:tcW w:w="252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屠宰场</w:t>
                  </w:r>
                </w:p>
              </w:tc>
              <w:tc>
                <w:tcPr>
                  <w:tcW w:w="258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西大二路120号</w:t>
                  </w:r>
                </w:p>
              </w:tc>
              <w:tc>
                <w:tcPr>
                  <w:tcW w:w="137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1403</w:t>
                  </w:r>
                </w:p>
              </w:tc>
              <w:tc>
                <w:tcPr>
                  <w:tcW w:w="10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3</w:t>
                  </w:r>
                </w:p>
              </w:tc>
              <w:tc>
                <w:tcPr>
                  <w:tcW w:w="173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4210</w:t>
                  </w:r>
                </w:p>
              </w:tc>
            </w:tr>
            <w:tr>
              <w:tblPrEx>
                <w:tblLayout w:type="fixed"/>
                <w:tblCellMar>
                  <w:top w:w="0" w:type="dxa"/>
                  <w:left w:w="108" w:type="dxa"/>
                  <w:bottom w:w="0" w:type="dxa"/>
                  <w:right w:w="108" w:type="dxa"/>
                </w:tblCellMar>
              </w:tblPrEx>
              <w:trPr>
                <w:trHeight w:val="499" w:hRule="atLeast"/>
              </w:trPr>
              <w:tc>
                <w:tcPr>
                  <w:tcW w:w="96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24"/>
                      <w:szCs w:val="24"/>
                    </w:rPr>
                  </w:pPr>
                </w:p>
              </w:tc>
              <w:tc>
                <w:tcPr>
                  <w:tcW w:w="38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金鸡山六中后门围墙边</w:t>
                  </w:r>
                </w:p>
              </w:tc>
              <w:tc>
                <w:tcPr>
                  <w:tcW w:w="252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金鸡山六中后门</w:t>
                  </w:r>
                </w:p>
              </w:tc>
              <w:tc>
                <w:tcPr>
                  <w:tcW w:w="258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后门围墙边</w:t>
                  </w:r>
                </w:p>
              </w:tc>
              <w:tc>
                <w:tcPr>
                  <w:tcW w:w="137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439</w:t>
                  </w:r>
                </w:p>
              </w:tc>
              <w:tc>
                <w:tcPr>
                  <w:tcW w:w="10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3</w:t>
                  </w:r>
                </w:p>
              </w:tc>
              <w:tc>
                <w:tcPr>
                  <w:tcW w:w="173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879</w:t>
                  </w:r>
                </w:p>
              </w:tc>
            </w:tr>
            <w:tr>
              <w:tblPrEx>
                <w:tblLayout w:type="fixed"/>
                <w:tblCellMar>
                  <w:top w:w="0" w:type="dxa"/>
                  <w:left w:w="108" w:type="dxa"/>
                  <w:bottom w:w="0" w:type="dxa"/>
                  <w:right w:w="108" w:type="dxa"/>
                </w:tblCellMar>
              </w:tblPrEx>
              <w:trPr>
                <w:trHeight w:val="499" w:hRule="atLeast"/>
              </w:trPr>
              <w:tc>
                <w:tcPr>
                  <w:tcW w:w="96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24"/>
                      <w:szCs w:val="24"/>
                    </w:rPr>
                  </w:pPr>
                </w:p>
              </w:tc>
              <w:tc>
                <w:tcPr>
                  <w:tcW w:w="38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新庙塅43号入五坑口</w:t>
                  </w:r>
                </w:p>
              </w:tc>
              <w:tc>
                <w:tcPr>
                  <w:tcW w:w="252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新庙塅43号</w:t>
                  </w:r>
                </w:p>
              </w:tc>
              <w:tc>
                <w:tcPr>
                  <w:tcW w:w="258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五坑口</w:t>
                  </w:r>
                </w:p>
              </w:tc>
              <w:tc>
                <w:tcPr>
                  <w:tcW w:w="137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2216</w:t>
                  </w:r>
                </w:p>
              </w:tc>
              <w:tc>
                <w:tcPr>
                  <w:tcW w:w="10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3</w:t>
                  </w:r>
                </w:p>
              </w:tc>
              <w:tc>
                <w:tcPr>
                  <w:tcW w:w="173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6650</w:t>
                  </w:r>
                </w:p>
              </w:tc>
            </w:tr>
            <w:tr>
              <w:tblPrEx>
                <w:tblLayout w:type="fixed"/>
                <w:tblCellMar>
                  <w:top w:w="0" w:type="dxa"/>
                  <w:left w:w="108" w:type="dxa"/>
                  <w:bottom w:w="0" w:type="dxa"/>
                  <w:right w:w="108" w:type="dxa"/>
                </w:tblCellMar>
              </w:tblPrEx>
              <w:trPr>
                <w:trHeight w:val="499" w:hRule="atLeast"/>
              </w:trPr>
              <w:tc>
                <w:tcPr>
                  <w:tcW w:w="96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24"/>
                      <w:szCs w:val="24"/>
                    </w:rPr>
                  </w:pPr>
                </w:p>
              </w:tc>
              <w:tc>
                <w:tcPr>
                  <w:tcW w:w="38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五坑口进40号至金鸡山坡顶</w:t>
                  </w:r>
                </w:p>
              </w:tc>
              <w:tc>
                <w:tcPr>
                  <w:tcW w:w="252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五坑口进40号</w:t>
                  </w:r>
                </w:p>
              </w:tc>
              <w:tc>
                <w:tcPr>
                  <w:tcW w:w="258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金鸡山坡顶</w:t>
                  </w:r>
                </w:p>
              </w:tc>
              <w:tc>
                <w:tcPr>
                  <w:tcW w:w="137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945</w:t>
                  </w:r>
                </w:p>
              </w:tc>
              <w:tc>
                <w:tcPr>
                  <w:tcW w:w="10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3</w:t>
                  </w:r>
                </w:p>
              </w:tc>
              <w:tc>
                <w:tcPr>
                  <w:tcW w:w="173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2835</w:t>
                  </w:r>
                </w:p>
              </w:tc>
            </w:tr>
            <w:tr>
              <w:tblPrEx>
                <w:tblLayout w:type="fixed"/>
                <w:tblCellMar>
                  <w:top w:w="0" w:type="dxa"/>
                  <w:left w:w="108" w:type="dxa"/>
                  <w:bottom w:w="0" w:type="dxa"/>
                  <w:right w:w="108" w:type="dxa"/>
                </w:tblCellMar>
              </w:tblPrEx>
              <w:trPr>
                <w:trHeight w:val="472" w:hRule="atLeast"/>
              </w:trPr>
              <w:tc>
                <w:tcPr>
                  <w:tcW w:w="963" w:type="dxa"/>
                  <w:tcBorders>
                    <w:top w:val="single" w:color="auto" w:sz="4" w:space="0"/>
                    <w:left w:val="single" w:color="auto" w:sz="4" w:space="0"/>
                    <w:bottom w:val="single" w:color="auto" w:sz="4" w:space="0"/>
                    <w:right w:val="single" w:color="auto" w:sz="4" w:space="0"/>
                  </w:tcBorders>
                  <w:noWrap w:val="0"/>
                  <w:textDirection w:val="tbRlV"/>
                  <w:vAlign w:val="center"/>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381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2529"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258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137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10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bCs/>
                      <w:kern w:val="0"/>
                      <w:sz w:val="24"/>
                      <w:szCs w:val="24"/>
                    </w:rPr>
                  </w:pPr>
                  <w:r>
                    <w:rPr>
                      <w:rFonts w:hint="eastAsia" w:ascii="宋体" w:hAnsi="宋体" w:eastAsia="宋体" w:cs="宋体"/>
                      <w:b/>
                      <w:bCs/>
                      <w:kern w:val="0"/>
                      <w:sz w:val="24"/>
                      <w:szCs w:val="24"/>
                    </w:rPr>
                    <w:t>合计</w:t>
                  </w:r>
                </w:p>
              </w:tc>
              <w:tc>
                <w:tcPr>
                  <w:tcW w:w="173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bCs/>
                      <w:kern w:val="0"/>
                      <w:sz w:val="24"/>
                      <w:szCs w:val="24"/>
                    </w:rPr>
                  </w:pPr>
                  <w:r>
                    <w:rPr>
                      <w:rFonts w:hint="eastAsia" w:ascii="宋体" w:hAnsi="宋体" w:eastAsia="宋体" w:cs="宋体"/>
                      <w:b/>
                      <w:bCs/>
                      <w:kern w:val="0"/>
                      <w:sz w:val="24"/>
                      <w:szCs w:val="24"/>
                    </w:rPr>
                    <w:t>119050.81</w:t>
                  </w:r>
                </w:p>
              </w:tc>
            </w:tr>
          </w:tbl>
          <w:p>
            <w:pPr>
              <w:widowControl/>
              <w:jc w:val="center"/>
              <w:textAlignment w:val="center"/>
              <w:rPr>
                <w:rFonts w:hint="eastAsia" w:ascii="宋体" w:hAnsi="宋体" w:eastAsia="宋体" w:cs="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12635" w:type="dxa"/>
          <w:trHeight w:val="522" w:hRule="atLeast"/>
        </w:trPr>
        <w:tc>
          <w:tcPr>
            <w:tcW w:w="13704" w:type="dxa"/>
            <w:gridSpan w:val="13"/>
            <w:noWrap w:val="0"/>
            <w:vAlign w:val="center"/>
          </w:tcPr>
          <w:p>
            <w:pPr>
              <w:widowControl/>
              <w:jc w:val="center"/>
              <w:textAlignment w:val="center"/>
              <w:rPr>
                <w:rFonts w:hint="eastAsia" w:ascii="宋体" w:hAnsi="宋体" w:eastAsia="宋体" w:cs="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635" w:type="dxa"/>
          <w:trHeight w:val="720" w:hRule="atLeast"/>
        </w:trPr>
        <w:tc>
          <w:tcPr>
            <w:tcW w:w="13704" w:type="dxa"/>
            <w:gridSpan w:val="13"/>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rPr>
                <w:rFonts w:hint="eastAsia" w:ascii="宋体" w:hAnsi="宋体" w:eastAsia="宋体" w:cs="宋体"/>
                <w:kern w:val="0"/>
                <w:sz w:val="24"/>
                <w:szCs w:val="24"/>
              </w:rPr>
            </w:pPr>
            <w:r>
              <w:rPr>
                <w:rFonts w:hint="eastAsia" w:ascii="宋体" w:hAnsi="宋体" w:eastAsia="宋体" w:cs="宋体"/>
                <w:b/>
                <w:bCs/>
                <w:kern w:val="0"/>
                <w:sz w:val="24"/>
                <w:szCs w:val="24"/>
              </w:rPr>
              <w:t>宁化县一级环卫道路新增清扫保洁面积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635" w:type="dxa"/>
          <w:trHeight w:val="285" w:hRule="atLeast"/>
        </w:trPr>
        <w:tc>
          <w:tcPr>
            <w:tcW w:w="1080" w:type="dxa"/>
            <w:gridSpan w:val="2"/>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序号</w:t>
            </w:r>
          </w:p>
        </w:tc>
        <w:tc>
          <w:tcPr>
            <w:tcW w:w="1750"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道路名称</w:t>
            </w:r>
          </w:p>
        </w:tc>
        <w:tc>
          <w:tcPr>
            <w:tcW w:w="2470" w:type="dxa"/>
            <w:gridSpan w:val="2"/>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起点</w:t>
            </w:r>
          </w:p>
        </w:tc>
        <w:tc>
          <w:tcPr>
            <w:tcW w:w="2700" w:type="dxa"/>
            <w:gridSpan w:val="2"/>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终点</w:t>
            </w:r>
          </w:p>
        </w:tc>
        <w:tc>
          <w:tcPr>
            <w:tcW w:w="4460" w:type="dxa"/>
            <w:gridSpan w:val="5"/>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xml:space="preserve">道路面积(m) </w:t>
            </w:r>
          </w:p>
        </w:tc>
        <w:tc>
          <w:tcPr>
            <w:tcW w:w="1244"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635" w:type="dxa"/>
          <w:trHeight w:val="285" w:hRule="atLeast"/>
        </w:trPr>
        <w:tc>
          <w:tcPr>
            <w:tcW w:w="1080" w:type="dxa"/>
            <w:gridSpan w:val="2"/>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rPr>
                <w:rFonts w:hint="eastAsia" w:ascii="宋体" w:hAnsi="宋体" w:eastAsia="宋体" w:cs="宋体"/>
                <w:kern w:val="0"/>
                <w:sz w:val="24"/>
                <w:szCs w:val="24"/>
              </w:rPr>
            </w:pPr>
          </w:p>
        </w:tc>
        <w:tc>
          <w:tcPr>
            <w:tcW w:w="1750"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rPr>
                <w:rFonts w:hint="eastAsia" w:ascii="宋体" w:hAnsi="宋体" w:eastAsia="宋体" w:cs="宋体"/>
                <w:kern w:val="0"/>
                <w:sz w:val="24"/>
                <w:szCs w:val="24"/>
              </w:rPr>
            </w:pPr>
          </w:p>
        </w:tc>
        <w:tc>
          <w:tcPr>
            <w:tcW w:w="2470" w:type="dxa"/>
            <w:gridSpan w:val="2"/>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rPr>
                <w:rFonts w:hint="eastAsia" w:ascii="宋体" w:hAnsi="宋体" w:eastAsia="宋体" w:cs="宋体"/>
                <w:kern w:val="0"/>
                <w:sz w:val="24"/>
                <w:szCs w:val="24"/>
              </w:rPr>
            </w:pPr>
          </w:p>
        </w:tc>
        <w:tc>
          <w:tcPr>
            <w:tcW w:w="2700" w:type="dxa"/>
            <w:gridSpan w:val="2"/>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rPr>
                <w:rFonts w:hint="eastAsia" w:ascii="宋体" w:hAnsi="宋体" w:eastAsia="宋体" w:cs="宋体"/>
                <w:kern w:val="0"/>
                <w:sz w:val="24"/>
                <w:szCs w:val="24"/>
              </w:rPr>
            </w:pPr>
          </w:p>
        </w:tc>
        <w:tc>
          <w:tcPr>
            <w:tcW w:w="2230" w:type="dxa"/>
            <w:gridSpan w:val="3"/>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长</w:t>
            </w:r>
          </w:p>
        </w:tc>
        <w:tc>
          <w:tcPr>
            <w:tcW w:w="2230"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宽</w:t>
            </w:r>
          </w:p>
        </w:tc>
        <w:tc>
          <w:tcPr>
            <w:tcW w:w="1244"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40" w:hRule="atLeast"/>
        </w:trPr>
        <w:tc>
          <w:tcPr>
            <w:tcW w:w="1080"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1</w:t>
            </w:r>
          </w:p>
        </w:tc>
        <w:tc>
          <w:tcPr>
            <w:tcW w:w="175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南门路</w:t>
            </w:r>
          </w:p>
        </w:tc>
        <w:tc>
          <w:tcPr>
            <w:tcW w:w="2470"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南门转盘</w:t>
            </w:r>
          </w:p>
        </w:tc>
        <w:tc>
          <w:tcPr>
            <w:tcW w:w="2700"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307线</w:t>
            </w:r>
          </w:p>
        </w:tc>
        <w:tc>
          <w:tcPr>
            <w:tcW w:w="2230" w:type="dxa"/>
            <w:gridSpan w:val="3"/>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645</w:t>
            </w:r>
          </w:p>
        </w:tc>
        <w:tc>
          <w:tcPr>
            <w:tcW w:w="2230"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11</w:t>
            </w:r>
          </w:p>
        </w:tc>
        <w:tc>
          <w:tcPr>
            <w:tcW w:w="13879"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7095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40" w:hRule="atLeast"/>
        </w:trPr>
        <w:tc>
          <w:tcPr>
            <w:tcW w:w="1080"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2</w:t>
            </w:r>
          </w:p>
        </w:tc>
        <w:tc>
          <w:tcPr>
            <w:tcW w:w="175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电商路</w:t>
            </w:r>
          </w:p>
        </w:tc>
        <w:tc>
          <w:tcPr>
            <w:tcW w:w="2470"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边贸路</w:t>
            </w:r>
          </w:p>
        </w:tc>
        <w:tc>
          <w:tcPr>
            <w:tcW w:w="2700"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电子商务城</w:t>
            </w:r>
          </w:p>
        </w:tc>
        <w:tc>
          <w:tcPr>
            <w:tcW w:w="2230" w:type="dxa"/>
            <w:gridSpan w:val="3"/>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128</w:t>
            </w:r>
          </w:p>
        </w:tc>
        <w:tc>
          <w:tcPr>
            <w:tcW w:w="2230"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17</w:t>
            </w:r>
          </w:p>
        </w:tc>
        <w:tc>
          <w:tcPr>
            <w:tcW w:w="13879"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2176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40" w:hRule="atLeast"/>
        </w:trPr>
        <w:tc>
          <w:tcPr>
            <w:tcW w:w="1080"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3</w:t>
            </w:r>
          </w:p>
        </w:tc>
        <w:tc>
          <w:tcPr>
            <w:tcW w:w="175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东方花园路</w:t>
            </w:r>
          </w:p>
        </w:tc>
        <w:tc>
          <w:tcPr>
            <w:tcW w:w="2470"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电子商务城</w:t>
            </w:r>
          </w:p>
        </w:tc>
        <w:tc>
          <w:tcPr>
            <w:tcW w:w="2700"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粮食交易批发市场</w:t>
            </w:r>
          </w:p>
        </w:tc>
        <w:tc>
          <w:tcPr>
            <w:tcW w:w="2230" w:type="dxa"/>
            <w:gridSpan w:val="3"/>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128</w:t>
            </w:r>
          </w:p>
        </w:tc>
        <w:tc>
          <w:tcPr>
            <w:tcW w:w="2230"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10.5</w:t>
            </w:r>
          </w:p>
        </w:tc>
        <w:tc>
          <w:tcPr>
            <w:tcW w:w="13879"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1344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40" w:hRule="atLeast"/>
        </w:trPr>
        <w:tc>
          <w:tcPr>
            <w:tcW w:w="1080"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4</w:t>
            </w:r>
          </w:p>
        </w:tc>
        <w:tc>
          <w:tcPr>
            <w:tcW w:w="175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东方塅路</w:t>
            </w:r>
          </w:p>
        </w:tc>
        <w:tc>
          <w:tcPr>
            <w:tcW w:w="2470"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边贸路</w:t>
            </w:r>
          </w:p>
        </w:tc>
        <w:tc>
          <w:tcPr>
            <w:tcW w:w="2700"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南门路</w:t>
            </w:r>
          </w:p>
        </w:tc>
        <w:tc>
          <w:tcPr>
            <w:tcW w:w="2230" w:type="dxa"/>
            <w:gridSpan w:val="3"/>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320</w:t>
            </w:r>
          </w:p>
        </w:tc>
        <w:tc>
          <w:tcPr>
            <w:tcW w:w="2230"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14</w:t>
            </w:r>
          </w:p>
        </w:tc>
        <w:tc>
          <w:tcPr>
            <w:tcW w:w="13879"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4480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40" w:hRule="atLeast"/>
        </w:trPr>
        <w:tc>
          <w:tcPr>
            <w:tcW w:w="1080"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5</w:t>
            </w:r>
          </w:p>
        </w:tc>
        <w:tc>
          <w:tcPr>
            <w:tcW w:w="175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叶家山路</w:t>
            </w:r>
          </w:p>
        </w:tc>
        <w:tc>
          <w:tcPr>
            <w:tcW w:w="2470"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南大街</w:t>
            </w:r>
          </w:p>
        </w:tc>
        <w:tc>
          <w:tcPr>
            <w:tcW w:w="2700"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307线</w:t>
            </w:r>
          </w:p>
        </w:tc>
        <w:tc>
          <w:tcPr>
            <w:tcW w:w="2230" w:type="dxa"/>
            <w:gridSpan w:val="3"/>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700</w:t>
            </w:r>
          </w:p>
        </w:tc>
        <w:tc>
          <w:tcPr>
            <w:tcW w:w="2230"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10</w:t>
            </w:r>
          </w:p>
        </w:tc>
        <w:tc>
          <w:tcPr>
            <w:tcW w:w="13879"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7000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40" w:hRule="atLeast"/>
        </w:trPr>
        <w:tc>
          <w:tcPr>
            <w:tcW w:w="1080"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6</w:t>
            </w:r>
          </w:p>
        </w:tc>
        <w:tc>
          <w:tcPr>
            <w:tcW w:w="175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龙门路延伸段</w:t>
            </w:r>
          </w:p>
        </w:tc>
        <w:tc>
          <w:tcPr>
            <w:tcW w:w="2470"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307线</w:t>
            </w:r>
          </w:p>
        </w:tc>
        <w:tc>
          <w:tcPr>
            <w:tcW w:w="2700"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宝骐</w:t>
            </w:r>
          </w:p>
        </w:tc>
        <w:tc>
          <w:tcPr>
            <w:tcW w:w="2230" w:type="dxa"/>
            <w:gridSpan w:val="3"/>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305</w:t>
            </w:r>
          </w:p>
        </w:tc>
        <w:tc>
          <w:tcPr>
            <w:tcW w:w="2230"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15</w:t>
            </w:r>
          </w:p>
        </w:tc>
        <w:tc>
          <w:tcPr>
            <w:tcW w:w="13879"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4575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40" w:hRule="atLeast"/>
        </w:trPr>
        <w:tc>
          <w:tcPr>
            <w:tcW w:w="1080"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7</w:t>
            </w:r>
          </w:p>
        </w:tc>
        <w:tc>
          <w:tcPr>
            <w:tcW w:w="175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新桥二路延伸段</w:t>
            </w:r>
          </w:p>
        </w:tc>
        <w:tc>
          <w:tcPr>
            <w:tcW w:w="2470"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307线</w:t>
            </w:r>
          </w:p>
        </w:tc>
        <w:tc>
          <w:tcPr>
            <w:tcW w:w="2700"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开辉悦城路口-开辉悦城小区尽头</w:t>
            </w:r>
          </w:p>
        </w:tc>
        <w:tc>
          <w:tcPr>
            <w:tcW w:w="2230" w:type="dxa"/>
            <w:gridSpan w:val="3"/>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180.6</w:t>
            </w:r>
          </w:p>
        </w:tc>
        <w:tc>
          <w:tcPr>
            <w:tcW w:w="2230"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14.5</w:t>
            </w:r>
          </w:p>
        </w:tc>
        <w:tc>
          <w:tcPr>
            <w:tcW w:w="13879"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2618.7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40" w:hRule="atLeast"/>
        </w:trPr>
        <w:tc>
          <w:tcPr>
            <w:tcW w:w="1080"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rPr>
                <w:rFonts w:hint="eastAsia" w:ascii="宋体" w:hAnsi="宋体" w:eastAsia="宋体" w:cs="宋体"/>
                <w:kern w:val="0"/>
                <w:sz w:val="24"/>
                <w:szCs w:val="24"/>
              </w:rPr>
            </w:pPr>
          </w:p>
        </w:tc>
        <w:tc>
          <w:tcPr>
            <w:tcW w:w="175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rPr>
                <w:rFonts w:hint="eastAsia" w:ascii="宋体" w:hAnsi="宋体" w:eastAsia="宋体" w:cs="宋体"/>
                <w:kern w:val="0"/>
                <w:sz w:val="24"/>
                <w:szCs w:val="24"/>
              </w:rPr>
            </w:pPr>
          </w:p>
        </w:tc>
        <w:tc>
          <w:tcPr>
            <w:tcW w:w="2470"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rPr>
                <w:rFonts w:hint="eastAsia" w:ascii="宋体" w:hAnsi="宋体" w:eastAsia="宋体" w:cs="宋体"/>
                <w:kern w:val="0"/>
                <w:sz w:val="24"/>
                <w:szCs w:val="24"/>
              </w:rPr>
            </w:pPr>
          </w:p>
        </w:tc>
        <w:tc>
          <w:tcPr>
            <w:tcW w:w="2700"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rPr>
                <w:rFonts w:hint="eastAsia" w:ascii="宋体" w:hAnsi="宋体" w:eastAsia="宋体" w:cs="宋体"/>
                <w:kern w:val="0"/>
                <w:sz w:val="24"/>
                <w:szCs w:val="24"/>
              </w:rPr>
            </w:pPr>
          </w:p>
        </w:tc>
        <w:tc>
          <w:tcPr>
            <w:tcW w:w="4460" w:type="dxa"/>
            <w:gridSpan w:val="5"/>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合计：</w:t>
            </w:r>
          </w:p>
        </w:tc>
        <w:tc>
          <w:tcPr>
            <w:tcW w:w="13879"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29288.7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635" w:type="dxa"/>
          <w:trHeight w:val="820" w:hRule="atLeast"/>
        </w:trPr>
        <w:tc>
          <w:tcPr>
            <w:tcW w:w="13704" w:type="dxa"/>
            <w:gridSpan w:val="13"/>
            <w:tcBorders>
              <w:top w:val="single" w:color="auto"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sz w:val="24"/>
                <w:szCs w:val="24"/>
              </w:rPr>
            </w:pPr>
            <w:r>
              <w:rPr>
                <w:rFonts w:hint="eastAsia" w:ascii="宋体" w:hAnsi="宋体" w:eastAsia="宋体" w:cs="宋体"/>
                <w:b/>
                <w:color w:val="000000"/>
                <w:kern w:val="0"/>
                <w:sz w:val="24"/>
                <w:szCs w:val="24"/>
              </w:rPr>
              <w:t>城南镇新增道路清扫保洁面积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40" w:hRule="atLeast"/>
        </w:trPr>
        <w:tc>
          <w:tcPr>
            <w:tcW w:w="1080" w:type="dxa"/>
            <w:gridSpan w:val="2"/>
            <w:vMerge w:val="restart"/>
            <w:noWrap w:val="0"/>
            <w:tcMar>
              <w:top w:w="15" w:type="dxa"/>
              <w:left w:w="15" w:type="dxa"/>
              <w:right w:w="15" w:type="dxa"/>
            </w:tcMar>
            <w:vAlign w:val="center"/>
          </w:tcPr>
          <w:p>
            <w:pPr>
              <w:widowControl/>
              <w:jc w:val="center"/>
              <w:textAlignment w:val="center"/>
              <w:rPr>
                <w:rFonts w:hint="eastAsia" w:ascii="宋体" w:hAnsi="宋体" w:eastAsia="宋体" w:cs="宋体"/>
                <w:b/>
                <w:sz w:val="24"/>
                <w:szCs w:val="24"/>
              </w:rPr>
            </w:pPr>
            <w:r>
              <w:rPr>
                <w:rFonts w:hint="eastAsia" w:ascii="宋体" w:hAnsi="宋体" w:eastAsia="宋体" w:cs="宋体"/>
                <w:b/>
                <w:kern w:val="0"/>
                <w:sz w:val="24"/>
                <w:szCs w:val="24"/>
              </w:rPr>
              <w:t>序号</w:t>
            </w:r>
          </w:p>
        </w:tc>
        <w:tc>
          <w:tcPr>
            <w:tcW w:w="1750" w:type="dxa"/>
            <w:vMerge w:val="restart"/>
            <w:noWrap w:val="0"/>
            <w:tcMar>
              <w:top w:w="15" w:type="dxa"/>
              <w:left w:w="15" w:type="dxa"/>
              <w:right w:w="15" w:type="dxa"/>
            </w:tcMar>
            <w:vAlign w:val="center"/>
          </w:tcPr>
          <w:p>
            <w:pPr>
              <w:widowControl/>
              <w:jc w:val="center"/>
              <w:textAlignment w:val="center"/>
              <w:rPr>
                <w:rFonts w:hint="eastAsia" w:ascii="宋体" w:hAnsi="宋体" w:eastAsia="宋体" w:cs="宋体"/>
                <w:b/>
                <w:sz w:val="24"/>
                <w:szCs w:val="24"/>
              </w:rPr>
            </w:pPr>
            <w:r>
              <w:rPr>
                <w:rFonts w:hint="eastAsia" w:ascii="宋体" w:hAnsi="宋体" w:eastAsia="宋体" w:cs="宋体"/>
                <w:b/>
                <w:kern w:val="0"/>
                <w:sz w:val="24"/>
                <w:szCs w:val="24"/>
              </w:rPr>
              <w:t>道路名称</w:t>
            </w:r>
          </w:p>
        </w:tc>
        <w:tc>
          <w:tcPr>
            <w:tcW w:w="2470" w:type="dxa"/>
            <w:gridSpan w:val="2"/>
            <w:vMerge w:val="restart"/>
            <w:noWrap w:val="0"/>
            <w:tcMar>
              <w:top w:w="15" w:type="dxa"/>
              <w:left w:w="15" w:type="dxa"/>
              <w:right w:w="15" w:type="dxa"/>
            </w:tcMar>
            <w:vAlign w:val="center"/>
          </w:tcPr>
          <w:p>
            <w:pPr>
              <w:widowControl/>
              <w:jc w:val="center"/>
              <w:textAlignment w:val="center"/>
              <w:rPr>
                <w:rFonts w:hint="eastAsia" w:ascii="宋体" w:hAnsi="宋体" w:eastAsia="宋体" w:cs="宋体"/>
                <w:b/>
                <w:sz w:val="24"/>
                <w:szCs w:val="24"/>
              </w:rPr>
            </w:pPr>
            <w:r>
              <w:rPr>
                <w:rFonts w:hint="eastAsia" w:ascii="宋体" w:hAnsi="宋体" w:eastAsia="宋体" w:cs="宋体"/>
                <w:b/>
                <w:kern w:val="0"/>
                <w:sz w:val="24"/>
                <w:szCs w:val="24"/>
              </w:rPr>
              <w:t>起点</w:t>
            </w:r>
          </w:p>
        </w:tc>
        <w:tc>
          <w:tcPr>
            <w:tcW w:w="2700" w:type="dxa"/>
            <w:gridSpan w:val="2"/>
            <w:vMerge w:val="restart"/>
            <w:noWrap w:val="0"/>
            <w:tcMar>
              <w:top w:w="15" w:type="dxa"/>
              <w:left w:w="15" w:type="dxa"/>
              <w:right w:w="15" w:type="dxa"/>
            </w:tcMar>
            <w:vAlign w:val="center"/>
          </w:tcPr>
          <w:p>
            <w:pPr>
              <w:widowControl/>
              <w:jc w:val="center"/>
              <w:textAlignment w:val="center"/>
              <w:rPr>
                <w:rFonts w:hint="eastAsia" w:ascii="宋体" w:hAnsi="宋体" w:eastAsia="宋体" w:cs="宋体"/>
                <w:b/>
                <w:sz w:val="24"/>
                <w:szCs w:val="24"/>
              </w:rPr>
            </w:pPr>
            <w:r>
              <w:rPr>
                <w:rFonts w:hint="eastAsia" w:ascii="宋体" w:hAnsi="宋体" w:eastAsia="宋体" w:cs="宋体"/>
                <w:b/>
                <w:kern w:val="0"/>
                <w:sz w:val="24"/>
                <w:szCs w:val="24"/>
              </w:rPr>
              <w:t>终点</w:t>
            </w:r>
          </w:p>
        </w:tc>
        <w:tc>
          <w:tcPr>
            <w:tcW w:w="4460" w:type="dxa"/>
            <w:gridSpan w:val="5"/>
            <w:noWrap w:val="0"/>
            <w:tcMar>
              <w:top w:w="15" w:type="dxa"/>
              <w:left w:w="15" w:type="dxa"/>
              <w:right w:w="15" w:type="dxa"/>
            </w:tcMar>
            <w:vAlign w:val="center"/>
          </w:tcPr>
          <w:p>
            <w:pPr>
              <w:widowControl/>
              <w:jc w:val="center"/>
              <w:textAlignment w:val="center"/>
              <w:rPr>
                <w:rFonts w:hint="eastAsia" w:ascii="宋体" w:hAnsi="宋体" w:eastAsia="宋体" w:cs="宋体"/>
                <w:b/>
                <w:sz w:val="24"/>
                <w:szCs w:val="24"/>
              </w:rPr>
            </w:pPr>
            <w:r>
              <w:rPr>
                <w:rFonts w:hint="eastAsia" w:ascii="宋体" w:hAnsi="宋体" w:eastAsia="宋体" w:cs="宋体"/>
                <w:b/>
                <w:kern w:val="0"/>
                <w:sz w:val="24"/>
                <w:szCs w:val="24"/>
              </w:rPr>
              <w:t>道路面积(m)</w:t>
            </w:r>
            <w:r>
              <w:rPr>
                <w:rStyle w:val="14"/>
                <w:rFonts w:hint="eastAsia" w:ascii="宋体" w:hAnsi="宋体" w:eastAsia="宋体" w:cs="宋体"/>
                <w:color w:val="auto"/>
                <w:sz w:val="24"/>
                <w:szCs w:val="24"/>
              </w:rPr>
              <w:t xml:space="preserve"> </w:t>
            </w:r>
          </w:p>
        </w:tc>
        <w:tc>
          <w:tcPr>
            <w:tcW w:w="13879" w:type="dxa"/>
            <w:gridSpan w:val="2"/>
            <w:vMerge w:val="restart"/>
            <w:noWrap w:val="0"/>
            <w:tcMar>
              <w:top w:w="15" w:type="dxa"/>
              <w:left w:w="15" w:type="dxa"/>
              <w:right w:w="15" w:type="dxa"/>
            </w:tcMar>
            <w:vAlign w:val="center"/>
          </w:tcPr>
          <w:p>
            <w:pPr>
              <w:widowControl/>
              <w:jc w:val="center"/>
              <w:textAlignment w:val="center"/>
              <w:rPr>
                <w:rFonts w:hint="eastAsia" w:ascii="宋体" w:hAnsi="宋体" w:eastAsia="宋体" w:cs="宋体"/>
                <w:b/>
                <w:sz w:val="24"/>
                <w:szCs w:val="24"/>
              </w:rPr>
            </w:pPr>
            <w:r>
              <w:rPr>
                <w:rFonts w:hint="eastAsia" w:ascii="宋体" w:hAnsi="宋体" w:eastAsia="宋体" w:cs="宋体"/>
                <w:b/>
                <w:kern w:val="0"/>
                <w:sz w:val="24"/>
                <w:szCs w:val="24"/>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40" w:hRule="atLeast"/>
        </w:trPr>
        <w:tc>
          <w:tcPr>
            <w:tcW w:w="1080" w:type="dxa"/>
            <w:gridSpan w:val="2"/>
            <w:vMerge w:val="continue"/>
            <w:noWrap w:val="0"/>
            <w:tcMar>
              <w:top w:w="15" w:type="dxa"/>
              <w:left w:w="15" w:type="dxa"/>
              <w:right w:w="15" w:type="dxa"/>
            </w:tcMar>
            <w:vAlign w:val="center"/>
          </w:tcPr>
          <w:p>
            <w:pPr>
              <w:jc w:val="center"/>
              <w:rPr>
                <w:rFonts w:hint="eastAsia" w:ascii="宋体" w:hAnsi="宋体" w:eastAsia="宋体" w:cs="宋体"/>
                <w:b/>
                <w:sz w:val="24"/>
                <w:szCs w:val="24"/>
              </w:rPr>
            </w:pPr>
          </w:p>
        </w:tc>
        <w:tc>
          <w:tcPr>
            <w:tcW w:w="1750" w:type="dxa"/>
            <w:vMerge w:val="continue"/>
            <w:noWrap w:val="0"/>
            <w:tcMar>
              <w:top w:w="15" w:type="dxa"/>
              <w:left w:w="15" w:type="dxa"/>
              <w:right w:w="15" w:type="dxa"/>
            </w:tcMar>
            <w:vAlign w:val="center"/>
          </w:tcPr>
          <w:p>
            <w:pPr>
              <w:jc w:val="center"/>
              <w:rPr>
                <w:rFonts w:hint="eastAsia" w:ascii="宋体" w:hAnsi="宋体" w:eastAsia="宋体" w:cs="宋体"/>
                <w:b/>
                <w:sz w:val="24"/>
                <w:szCs w:val="24"/>
              </w:rPr>
            </w:pPr>
          </w:p>
        </w:tc>
        <w:tc>
          <w:tcPr>
            <w:tcW w:w="2470" w:type="dxa"/>
            <w:gridSpan w:val="2"/>
            <w:vMerge w:val="continue"/>
            <w:noWrap w:val="0"/>
            <w:tcMar>
              <w:top w:w="15" w:type="dxa"/>
              <w:left w:w="15" w:type="dxa"/>
              <w:right w:w="15" w:type="dxa"/>
            </w:tcMar>
            <w:vAlign w:val="center"/>
          </w:tcPr>
          <w:p>
            <w:pPr>
              <w:jc w:val="center"/>
              <w:rPr>
                <w:rFonts w:hint="eastAsia" w:ascii="宋体" w:hAnsi="宋体" w:eastAsia="宋体" w:cs="宋体"/>
                <w:b/>
                <w:sz w:val="24"/>
                <w:szCs w:val="24"/>
              </w:rPr>
            </w:pPr>
          </w:p>
        </w:tc>
        <w:tc>
          <w:tcPr>
            <w:tcW w:w="2700" w:type="dxa"/>
            <w:gridSpan w:val="2"/>
            <w:vMerge w:val="continue"/>
            <w:noWrap w:val="0"/>
            <w:tcMar>
              <w:top w:w="15" w:type="dxa"/>
              <w:left w:w="15" w:type="dxa"/>
              <w:right w:w="15" w:type="dxa"/>
            </w:tcMar>
            <w:vAlign w:val="center"/>
          </w:tcPr>
          <w:p>
            <w:pPr>
              <w:jc w:val="center"/>
              <w:rPr>
                <w:rFonts w:hint="eastAsia" w:ascii="宋体" w:hAnsi="宋体" w:eastAsia="宋体" w:cs="宋体"/>
                <w:b/>
                <w:sz w:val="24"/>
                <w:szCs w:val="24"/>
              </w:rPr>
            </w:pPr>
          </w:p>
        </w:tc>
        <w:tc>
          <w:tcPr>
            <w:tcW w:w="2230" w:type="dxa"/>
            <w:gridSpan w:val="3"/>
            <w:noWrap w:val="0"/>
            <w:tcMar>
              <w:top w:w="15" w:type="dxa"/>
              <w:left w:w="15" w:type="dxa"/>
              <w:right w:w="15" w:type="dxa"/>
            </w:tcMar>
            <w:vAlign w:val="center"/>
          </w:tcPr>
          <w:p>
            <w:pPr>
              <w:widowControl/>
              <w:jc w:val="center"/>
              <w:textAlignment w:val="center"/>
              <w:rPr>
                <w:rFonts w:hint="eastAsia" w:ascii="宋体" w:hAnsi="宋体" w:eastAsia="宋体" w:cs="宋体"/>
                <w:b/>
                <w:sz w:val="24"/>
                <w:szCs w:val="24"/>
              </w:rPr>
            </w:pPr>
            <w:r>
              <w:rPr>
                <w:rFonts w:hint="eastAsia" w:ascii="宋体" w:hAnsi="宋体" w:eastAsia="宋体" w:cs="宋体"/>
                <w:b/>
                <w:kern w:val="0"/>
                <w:sz w:val="24"/>
                <w:szCs w:val="24"/>
              </w:rPr>
              <w:t>长</w:t>
            </w:r>
          </w:p>
        </w:tc>
        <w:tc>
          <w:tcPr>
            <w:tcW w:w="2230" w:type="dxa"/>
            <w:gridSpan w:val="2"/>
            <w:noWrap w:val="0"/>
            <w:tcMar>
              <w:top w:w="15" w:type="dxa"/>
              <w:left w:w="15" w:type="dxa"/>
              <w:right w:w="15" w:type="dxa"/>
            </w:tcMar>
            <w:vAlign w:val="center"/>
          </w:tcPr>
          <w:p>
            <w:pPr>
              <w:widowControl/>
              <w:jc w:val="center"/>
              <w:textAlignment w:val="center"/>
              <w:rPr>
                <w:rFonts w:hint="eastAsia" w:ascii="宋体" w:hAnsi="宋体" w:eastAsia="宋体" w:cs="宋体"/>
                <w:b/>
                <w:sz w:val="24"/>
                <w:szCs w:val="24"/>
              </w:rPr>
            </w:pPr>
            <w:r>
              <w:rPr>
                <w:rFonts w:hint="eastAsia" w:ascii="宋体" w:hAnsi="宋体" w:eastAsia="宋体" w:cs="宋体"/>
                <w:b/>
                <w:kern w:val="0"/>
                <w:sz w:val="24"/>
                <w:szCs w:val="24"/>
              </w:rPr>
              <w:t>宽</w:t>
            </w:r>
          </w:p>
        </w:tc>
        <w:tc>
          <w:tcPr>
            <w:tcW w:w="13879" w:type="dxa"/>
            <w:gridSpan w:val="2"/>
            <w:vMerge w:val="continue"/>
            <w:noWrap w:val="0"/>
            <w:tcMar>
              <w:top w:w="15" w:type="dxa"/>
              <w:left w:w="15" w:type="dxa"/>
              <w:right w:w="15" w:type="dxa"/>
            </w:tcMar>
            <w:vAlign w:val="center"/>
          </w:tcPr>
          <w:p>
            <w:pPr>
              <w:jc w:val="center"/>
              <w:rPr>
                <w:rFonts w:hint="eastAsia" w:ascii="宋体" w:hAnsi="宋体" w:eastAsia="宋体" w:cs="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40" w:hRule="atLeast"/>
        </w:trPr>
        <w:tc>
          <w:tcPr>
            <w:tcW w:w="1080" w:type="dxa"/>
            <w:gridSpan w:val="2"/>
            <w:noWrap w:val="0"/>
            <w:tcMar>
              <w:top w:w="15" w:type="dxa"/>
              <w:left w:w="15" w:type="dxa"/>
              <w:right w:w="15" w:type="dxa"/>
            </w:tcMar>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1</w:t>
            </w:r>
          </w:p>
        </w:tc>
        <w:tc>
          <w:tcPr>
            <w:tcW w:w="1750" w:type="dxa"/>
            <w:noWrap w:val="0"/>
            <w:tcMar>
              <w:top w:w="15" w:type="dxa"/>
              <w:left w:w="15" w:type="dxa"/>
              <w:right w:w="15" w:type="dxa"/>
            </w:tcMar>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城南镇政府、小学周边道路</w:t>
            </w:r>
          </w:p>
        </w:tc>
        <w:tc>
          <w:tcPr>
            <w:tcW w:w="2470" w:type="dxa"/>
            <w:gridSpan w:val="2"/>
            <w:noWrap w:val="0"/>
            <w:tcMar>
              <w:top w:w="15" w:type="dxa"/>
              <w:left w:w="15" w:type="dxa"/>
              <w:right w:w="15" w:type="dxa"/>
            </w:tcMar>
            <w:vAlign w:val="center"/>
          </w:tcPr>
          <w:p>
            <w:pPr>
              <w:widowControl/>
              <w:jc w:val="center"/>
              <w:textAlignment w:val="center"/>
              <w:rPr>
                <w:rFonts w:hint="eastAsia" w:ascii="宋体" w:hAnsi="宋体" w:eastAsia="宋体" w:cs="宋体"/>
                <w:sz w:val="24"/>
                <w:szCs w:val="24"/>
              </w:rPr>
            </w:pPr>
            <w:r>
              <w:rPr>
                <w:rFonts w:hint="eastAsia" w:ascii="宋体" w:hAnsi="宋体" w:cs="宋体"/>
                <w:sz w:val="24"/>
                <w:szCs w:val="24"/>
                <w:lang w:val="en-US" w:eastAsia="zh-CN"/>
              </w:rPr>
              <w:t>/</w:t>
            </w:r>
          </w:p>
        </w:tc>
        <w:tc>
          <w:tcPr>
            <w:tcW w:w="2700" w:type="dxa"/>
            <w:gridSpan w:val="2"/>
            <w:noWrap w:val="0"/>
            <w:tcMar>
              <w:top w:w="15" w:type="dxa"/>
              <w:left w:w="15" w:type="dxa"/>
              <w:right w:w="15" w:type="dxa"/>
            </w:tcMar>
            <w:vAlign w:val="center"/>
          </w:tcPr>
          <w:p>
            <w:pPr>
              <w:widowControl/>
              <w:jc w:val="center"/>
              <w:textAlignment w:val="center"/>
              <w:rPr>
                <w:rFonts w:hint="eastAsia" w:ascii="宋体" w:hAnsi="宋体" w:eastAsia="宋体" w:cs="宋体"/>
                <w:sz w:val="24"/>
                <w:szCs w:val="24"/>
              </w:rPr>
            </w:pPr>
            <w:r>
              <w:rPr>
                <w:rFonts w:hint="eastAsia" w:ascii="宋体" w:hAnsi="宋体" w:cs="宋体"/>
                <w:sz w:val="24"/>
                <w:szCs w:val="24"/>
                <w:lang w:val="en-US" w:eastAsia="zh-CN"/>
              </w:rPr>
              <w:t>/</w:t>
            </w:r>
          </w:p>
        </w:tc>
        <w:tc>
          <w:tcPr>
            <w:tcW w:w="2230" w:type="dxa"/>
            <w:gridSpan w:val="3"/>
            <w:noWrap w:val="0"/>
            <w:tcMar>
              <w:top w:w="15" w:type="dxa"/>
              <w:left w:w="15" w:type="dxa"/>
              <w:right w:w="15" w:type="dxa"/>
            </w:tcMar>
            <w:vAlign w:val="center"/>
          </w:tcPr>
          <w:p>
            <w:pPr>
              <w:widowControl/>
              <w:jc w:val="center"/>
              <w:textAlignment w:val="center"/>
              <w:rPr>
                <w:rFonts w:hint="eastAsia" w:ascii="宋体" w:hAnsi="宋体" w:eastAsia="宋体" w:cs="宋体"/>
                <w:sz w:val="24"/>
                <w:szCs w:val="24"/>
              </w:rPr>
            </w:pPr>
          </w:p>
        </w:tc>
        <w:tc>
          <w:tcPr>
            <w:tcW w:w="2230" w:type="dxa"/>
            <w:gridSpan w:val="2"/>
            <w:noWrap w:val="0"/>
            <w:tcMar>
              <w:top w:w="15" w:type="dxa"/>
              <w:left w:w="15" w:type="dxa"/>
              <w:right w:w="15" w:type="dxa"/>
            </w:tcMar>
            <w:vAlign w:val="center"/>
          </w:tcPr>
          <w:p>
            <w:pPr>
              <w:widowControl/>
              <w:jc w:val="center"/>
              <w:textAlignment w:val="center"/>
              <w:rPr>
                <w:rFonts w:hint="eastAsia" w:ascii="宋体" w:hAnsi="宋体" w:eastAsia="宋体" w:cs="宋体"/>
                <w:sz w:val="24"/>
                <w:szCs w:val="24"/>
              </w:rPr>
            </w:pPr>
          </w:p>
        </w:tc>
        <w:tc>
          <w:tcPr>
            <w:tcW w:w="13879" w:type="dxa"/>
            <w:gridSpan w:val="2"/>
            <w:noWrap w:val="0"/>
            <w:tcMar>
              <w:top w:w="15" w:type="dxa"/>
              <w:left w:w="15" w:type="dxa"/>
              <w:right w:w="15" w:type="dxa"/>
            </w:tcMar>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36000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40" w:hRule="atLeast"/>
        </w:trPr>
        <w:tc>
          <w:tcPr>
            <w:tcW w:w="1080" w:type="dxa"/>
            <w:gridSpan w:val="2"/>
            <w:noWrap w:val="0"/>
            <w:tcMar>
              <w:top w:w="15" w:type="dxa"/>
              <w:left w:w="15" w:type="dxa"/>
              <w:right w:w="15" w:type="dxa"/>
            </w:tcMar>
            <w:vAlign w:val="center"/>
          </w:tcPr>
          <w:p>
            <w:pPr>
              <w:jc w:val="center"/>
              <w:rPr>
                <w:rFonts w:hint="eastAsia" w:ascii="宋体" w:hAnsi="宋体" w:eastAsia="宋体" w:cs="宋体"/>
                <w:sz w:val="24"/>
                <w:szCs w:val="24"/>
              </w:rPr>
            </w:pPr>
          </w:p>
        </w:tc>
        <w:tc>
          <w:tcPr>
            <w:tcW w:w="1750" w:type="dxa"/>
            <w:noWrap w:val="0"/>
            <w:tcMar>
              <w:top w:w="15" w:type="dxa"/>
              <w:left w:w="15" w:type="dxa"/>
              <w:right w:w="15" w:type="dxa"/>
            </w:tcMar>
            <w:vAlign w:val="center"/>
          </w:tcPr>
          <w:p>
            <w:pPr>
              <w:jc w:val="center"/>
              <w:rPr>
                <w:rFonts w:hint="eastAsia" w:ascii="宋体" w:hAnsi="宋体" w:eastAsia="宋体" w:cs="宋体"/>
                <w:sz w:val="24"/>
                <w:szCs w:val="24"/>
              </w:rPr>
            </w:pPr>
          </w:p>
        </w:tc>
        <w:tc>
          <w:tcPr>
            <w:tcW w:w="2470" w:type="dxa"/>
            <w:gridSpan w:val="2"/>
            <w:noWrap w:val="0"/>
            <w:tcMar>
              <w:top w:w="15" w:type="dxa"/>
              <w:left w:w="15" w:type="dxa"/>
              <w:right w:w="15" w:type="dxa"/>
            </w:tcMar>
            <w:vAlign w:val="center"/>
          </w:tcPr>
          <w:p>
            <w:pPr>
              <w:jc w:val="center"/>
              <w:rPr>
                <w:rFonts w:hint="eastAsia" w:ascii="宋体" w:hAnsi="宋体" w:eastAsia="宋体" w:cs="宋体"/>
                <w:sz w:val="24"/>
                <w:szCs w:val="24"/>
              </w:rPr>
            </w:pPr>
          </w:p>
        </w:tc>
        <w:tc>
          <w:tcPr>
            <w:tcW w:w="2700" w:type="dxa"/>
            <w:gridSpan w:val="2"/>
            <w:noWrap w:val="0"/>
            <w:tcMar>
              <w:top w:w="15" w:type="dxa"/>
              <w:left w:w="15" w:type="dxa"/>
              <w:right w:w="15" w:type="dxa"/>
            </w:tcMar>
            <w:vAlign w:val="center"/>
          </w:tcPr>
          <w:p>
            <w:pPr>
              <w:jc w:val="center"/>
              <w:rPr>
                <w:rFonts w:hint="eastAsia" w:ascii="宋体" w:hAnsi="宋体" w:eastAsia="宋体" w:cs="宋体"/>
                <w:sz w:val="24"/>
                <w:szCs w:val="24"/>
              </w:rPr>
            </w:pPr>
          </w:p>
        </w:tc>
        <w:tc>
          <w:tcPr>
            <w:tcW w:w="4460" w:type="dxa"/>
            <w:gridSpan w:val="5"/>
            <w:noWrap w:val="0"/>
            <w:tcMar>
              <w:top w:w="15" w:type="dxa"/>
              <w:left w:w="15" w:type="dxa"/>
              <w:right w:w="15" w:type="dxa"/>
            </w:tcMar>
            <w:vAlign w:val="center"/>
          </w:tcPr>
          <w:p>
            <w:pPr>
              <w:widowControl/>
              <w:jc w:val="center"/>
              <w:textAlignment w:val="center"/>
              <w:rPr>
                <w:rFonts w:hint="eastAsia" w:ascii="宋体" w:hAnsi="宋体" w:eastAsia="宋体" w:cs="宋体"/>
                <w:b/>
                <w:sz w:val="24"/>
                <w:szCs w:val="24"/>
              </w:rPr>
            </w:pPr>
            <w:r>
              <w:rPr>
                <w:rFonts w:hint="eastAsia" w:ascii="宋体" w:hAnsi="宋体" w:eastAsia="宋体" w:cs="宋体"/>
                <w:b/>
                <w:kern w:val="0"/>
                <w:sz w:val="24"/>
                <w:szCs w:val="24"/>
              </w:rPr>
              <w:t>合计</w:t>
            </w:r>
          </w:p>
        </w:tc>
        <w:tc>
          <w:tcPr>
            <w:tcW w:w="13879" w:type="dxa"/>
            <w:gridSpan w:val="2"/>
            <w:noWrap w:val="0"/>
            <w:tcMar>
              <w:top w:w="15" w:type="dxa"/>
              <w:left w:w="15" w:type="dxa"/>
              <w:right w:w="15" w:type="dxa"/>
            </w:tcMar>
            <w:vAlign w:val="center"/>
          </w:tcPr>
          <w:p>
            <w:pPr>
              <w:widowControl/>
              <w:jc w:val="center"/>
              <w:textAlignment w:val="center"/>
              <w:rPr>
                <w:rFonts w:hint="eastAsia" w:ascii="宋体" w:hAnsi="宋体" w:eastAsia="宋体" w:cs="宋体"/>
                <w:b/>
                <w:sz w:val="24"/>
                <w:szCs w:val="24"/>
              </w:rPr>
            </w:pPr>
            <w:r>
              <w:rPr>
                <w:rFonts w:hint="eastAsia" w:ascii="宋体" w:hAnsi="宋体" w:eastAsia="宋体" w:cs="宋体"/>
                <w:b/>
                <w:kern w:val="0"/>
                <w:sz w:val="24"/>
                <w:szCs w:val="24"/>
              </w:rPr>
              <w:t>36000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635" w:type="dxa"/>
          <w:trHeight w:val="900" w:hRule="atLeast"/>
        </w:trPr>
        <w:tc>
          <w:tcPr>
            <w:tcW w:w="13704" w:type="dxa"/>
            <w:gridSpan w:val="13"/>
            <w:noWrap w:val="0"/>
            <w:tcMar>
              <w:top w:w="15" w:type="dxa"/>
              <w:left w:w="15" w:type="dxa"/>
              <w:right w:w="15" w:type="dxa"/>
            </w:tcMar>
            <w:vAlign w:val="center"/>
          </w:tcPr>
          <w:tbl>
            <w:tblPr>
              <w:tblStyle w:val="7"/>
              <w:tblW w:w="14430" w:type="dxa"/>
              <w:tblInd w:w="-30" w:type="dxa"/>
              <w:tblLayout w:type="fixed"/>
              <w:tblCellMar>
                <w:top w:w="0" w:type="dxa"/>
                <w:left w:w="108" w:type="dxa"/>
                <w:bottom w:w="0" w:type="dxa"/>
                <w:right w:w="108" w:type="dxa"/>
              </w:tblCellMar>
            </w:tblPr>
            <w:tblGrid>
              <w:gridCol w:w="1074"/>
              <w:gridCol w:w="2046"/>
              <w:gridCol w:w="2173"/>
              <w:gridCol w:w="2687"/>
              <w:gridCol w:w="2013"/>
              <w:gridCol w:w="1732"/>
              <w:gridCol w:w="2705"/>
            </w:tblGrid>
            <w:tr>
              <w:tblPrEx>
                <w:tblLayout w:type="fixed"/>
                <w:tblCellMar>
                  <w:top w:w="0" w:type="dxa"/>
                  <w:left w:w="108" w:type="dxa"/>
                  <w:bottom w:w="0" w:type="dxa"/>
                  <w:right w:w="108" w:type="dxa"/>
                </w:tblCellMar>
              </w:tblPrEx>
              <w:trPr>
                <w:trHeight w:val="900" w:hRule="atLeast"/>
              </w:trPr>
              <w:tc>
                <w:tcPr>
                  <w:tcW w:w="14430" w:type="dxa"/>
                  <w:gridSpan w:val="7"/>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b/>
                      <w:bCs/>
                      <w:kern w:val="0"/>
                      <w:sz w:val="24"/>
                      <w:szCs w:val="24"/>
                    </w:rPr>
                  </w:pPr>
                  <w:r>
                    <w:rPr>
                      <w:rFonts w:hint="eastAsia" w:ascii="宋体" w:hAnsi="宋体" w:eastAsia="宋体" w:cs="宋体"/>
                      <w:b/>
                      <w:bCs/>
                      <w:kern w:val="0"/>
                      <w:sz w:val="24"/>
                      <w:szCs w:val="24"/>
                    </w:rPr>
                    <w:t>城郊镇新增道路清扫保洁面积</w:t>
                  </w:r>
                </w:p>
              </w:tc>
            </w:tr>
            <w:tr>
              <w:tblPrEx>
                <w:tblLayout w:type="fixed"/>
                <w:tblCellMar>
                  <w:top w:w="0" w:type="dxa"/>
                  <w:left w:w="108" w:type="dxa"/>
                  <w:bottom w:w="0" w:type="dxa"/>
                  <w:right w:w="108" w:type="dxa"/>
                </w:tblCellMar>
              </w:tblPrEx>
              <w:trPr>
                <w:trHeight w:val="439" w:hRule="atLeast"/>
              </w:trPr>
              <w:tc>
                <w:tcPr>
                  <w:tcW w:w="107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bCs/>
                      <w:kern w:val="0"/>
                      <w:sz w:val="24"/>
                      <w:szCs w:val="24"/>
                    </w:rPr>
                  </w:pPr>
                  <w:r>
                    <w:rPr>
                      <w:rFonts w:hint="eastAsia" w:ascii="宋体" w:hAnsi="宋体" w:eastAsia="宋体" w:cs="宋体"/>
                      <w:b/>
                      <w:bCs/>
                      <w:kern w:val="0"/>
                      <w:sz w:val="24"/>
                      <w:szCs w:val="24"/>
                    </w:rPr>
                    <w:t>序号</w:t>
                  </w:r>
                </w:p>
              </w:tc>
              <w:tc>
                <w:tcPr>
                  <w:tcW w:w="204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bCs/>
                      <w:kern w:val="0"/>
                      <w:sz w:val="24"/>
                      <w:szCs w:val="24"/>
                    </w:rPr>
                  </w:pPr>
                  <w:r>
                    <w:rPr>
                      <w:rFonts w:hint="eastAsia" w:ascii="宋体" w:hAnsi="宋体" w:eastAsia="宋体" w:cs="宋体"/>
                      <w:b/>
                      <w:bCs/>
                      <w:kern w:val="0"/>
                      <w:sz w:val="24"/>
                      <w:szCs w:val="24"/>
                    </w:rPr>
                    <w:t>道路名称</w:t>
                  </w:r>
                </w:p>
              </w:tc>
              <w:tc>
                <w:tcPr>
                  <w:tcW w:w="2173"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bCs/>
                      <w:kern w:val="0"/>
                      <w:sz w:val="24"/>
                      <w:szCs w:val="24"/>
                    </w:rPr>
                  </w:pPr>
                  <w:r>
                    <w:rPr>
                      <w:rFonts w:hint="eastAsia" w:ascii="宋体" w:hAnsi="宋体" w:eastAsia="宋体" w:cs="宋体"/>
                      <w:b/>
                      <w:bCs/>
                      <w:kern w:val="0"/>
                      <w:sz w:val="24"/>
                      <w:szCs w:val="24"/>
                    </w:rPr>
                    <w:t>起点</w:t>
                  </w:r>
                </w:p>
              </w:tc>
              <w:tc>
                <w:tcPr>
                  <w:tcW w:w="268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bCs/>
                      <w:kern w:val="0"/>
                      <w:sz w:val="24"/>
                      <w:szCs w:val="24"/>
                    </w:rPr>
                  </w:pPr>
                  <w:r>
                    <w:rPr>
                      <w:rFonts w:hint="eastAsia" w:ascii="宋体" w:hAnsi="宋体" w:eastAsia="宋体" w:cs="宋体"/>
                      <w:b/>
                      <w:bCs/>
                      <w:kern w:val="0"/>
                      <w:sz w:val="24"/>
                      <w:szCs w:val="24"/>
                    </w:rPr>
                    <w:t>终点</w:t>
                  </w:r>
                </w:p>
              </w:tc>
              <w:tc>
                <w:tcPr>
                  <w:tcW w:w="3745"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bCs/>
                      <w:kern w:val="0"/>
                      <w:sz w:val="24"/>
                      <w:szCs w:val="24"/>
                    </w:rPr>
                  </w:pPr>
                  <w:r>
                    <w:rPr>
                      <w:rFonts w:hint="eastAsia" w:ascii="宋体" w:hAnsi="宋体" w:eastAsia="宋体" w:cs="宋体"/>
                      <w:b/>
                      <w:bCs/>
                      <w:kern w:val="0"/>
                      <w:sz w:val="24"/>
                      <w:szCs w:val="24"/>
                    </w:rPr>
                    <w:t>道路面积(㎡) </w:t>
                  </w:r>
                </w:p>
              </w:tc>
              <w:tc>
                <w:tcPr>
                  <w:tcW w:w="270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bCs/>
                      <w:kern w:val="0"/>
                      <w:sz w:val="24"/>
                      <w:szCs w:val="24"/>
                    </w:rPr>
                  </w:pPr>
                  <w:r>
                    <w:rPr>
                      <w:rFonts w:hint="eastAsia" w:ascii="宋体" w:hAnsi="宋体" w:eastAsia="宋体" w:cs="宋体"/>
                      <w:b/>
                      <w:bCs/>
                      <w:kern w:val="0"/>
                      <w:sz w:val="24"/>
                      <w:szCs w:val="24"/>
                    </w:rPr>
                    <w:t>小计(㎡)</w:t>
                  </w:r>
                </w:p>
              </w:tc>
            </w:tr>
            <w:tr>
              <w:tblPrEx>
                <w:tblLayout w:type="fixed"/>
                <w:tblCellMar>
                  <w:top w:w="0" w:type="dxa"/>
                  <w:left w:w="108" w:type="dxa"/>
                  <w:bottom w:w="0" w:type="dxa"/>
                  <w:right w:w="108" w:type="dxa"/>
                </w:tblCellMar>
              </w:tblPrEx>
              <w:trPr>
                <w:trHeight w:val="439" w:hRule="atLeast"/>
              </w:trPr>
              <w:tc>
                <w:tcPr>
                  <w:tcW w:w="107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b/>
                      <w:bCs/>
                      <w:kern w:val="0"/>
                      <w:sz w:val="24"/>
                      <w:szCs w:val="24"/>
                    </w:rPr>
                  </w:pPr>
                </w:p>
              </w:tc>
              <w:tc>
                <w:tcPr>
                  <w:tcW w:w="204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b/>
                      <w:bCs/>
                      <w:kern w:val="0"/>
                      <w:sz w:val="24"/>
                      <w:szCs w:val="24"/>
                    </w:rPr>
                  </w:pPr>
                </w:p>
              </w:tc>
              <w:tc>
                <w:tcPr>
                  <w:tcW w:w="217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b/>
                      <w:bCs/>
                      <w:kern w:val="0"/>
                      <w:sz w:val="24"/>
                      <w:szCs w:val="24"/>
                    </w:rPr>
                  </w:pPr>
                </w:p>
              </w:tc>
              <w:tc>
                <w:tcPr>
                  <w:tcW w:w="268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b/>
                      <w:bCs/>
                      <w:kern w:val="0"/>
                      <w:sz w:val="24"/>
                      <w:szCs w:val="24"/>
                    </w:rPr>
                  </w:pPr>
                </w:p>
              </w:tc>
              <w:tc>
                <w:tcPr>
                  <w:tcW w:w="201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bCs/>
                      <w:kern w:val="0"/>
                      <w:sz w:val="24"/>
                      <w:szCs w:val="24"/>
                    </w:rPr>
                  </w:pPr>
                  <w:r>
                    <w:rPr>
                      <w:rFonts w:hint="eastAsia" w:ascii="宋体" w:hAnsi="宋体" w:eastAsia="宋体" w:cs="宋体"/>
                      <w:b/>
                      <w:bCs/>
                      <w:kern w:val="0"/>
                      <w:sz w:val="24"/>
                      <w:szCs w:val="24"/>
                    </w:rPr>
                    <w:t>长</w:t>
                  </w:r>
                </w:p>
              </w:tc>
              <w:tc>
                <w:tcPr>
                  <w:tcW w:w="173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bCs/>
                      <w:kern w:val="0"/>
                      <w:sz w:val="24"/>
                      <w:szCs w:val="24"/>
                    </w:rPr>
                  </w:pPr>
                  <w:r>
                    <w:rPr>
                      <w:rFonts w:hint="eastAsia" w:ascii="宋体" w:hAnsi="宋体" w:eastAsia="宋体" w:cs="宋体"/>
                      <w:b/>
                      <w:bCs/>
                      <w:kern w:val="0"/>
                      <w:sz w:val="24"/>
                      <w:szCs w:val="24"/>
                    </w:rPr>
                    <w:t>宽</w:t>
                  </w:r>
                </w:p>
              </w:tc>
              <w:tc>
                <w:tcPr>
                  <w:tcW w:w="270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bCs/>
                      <w:kern w:val="0"/>
                      <w:sz w:val="24"/>
                      <w:szCs w:val="24"/>
                    </w:rPr>
                  </w:pPr>
                </w:p>
              </w:tc>
            </w:tr>
            <w:tr>
              <w:tblPrEx>
                <w:tblLayout w:type="fixed"/>
                <w:tblCellMar>
                  <w:top w:w="0" w:type="dxa"/>
                  <w:left w:w="108" w:type="dxa"/>
                  <w:bottom w:w="0" w:type="dxa"/>
                  <w:right w:w="108" w:type="dxa"/>
                </w:tblCellMar>
              </w:tblPrEx>
              <w:trPr>
                <w:trHeight w:val="439" w:hRule="atLeast"/>
              </w:trPr>
              <w:tc>
                <w:tcPr>
                  <w:tcW w:w="107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1</w:t>
                  </w:r>
                </w:p>
              </w:tc>
              <w:tc>
                <w:tcPr>
                  <w:tcW w:w="204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创业路</w:t>
                  </w:r>
                </w:p>
              </w:tc>
              <w:tc>
                <w:tcPr>
                  <w:tcW w:w="217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新广济桥</w:t>
                  </w:r>
                </w:p>
              </w:tc>
              <w:tc>
                <w:tcPr>
                  <w:tcW w:w="268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福特科交界处</w:t>
                  </w:r>
                </w:p>
              </w:tc>
              <w:tc>
                <w:tcPr>
                  <w:tcW w:w="201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173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27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62000</w:t>
                  </w:r>
                </w:p>
              </w:tc>
            </w:tr>
            <w:tr>
              <w:tblPrEx>
                <w:tblLayout w:type="fixed"/>
                <w:tblCellMar>
                  <w:top w:w="0" w:type="dxa"/>
                  <w:left w:w="108" w:type="dxa"/>
                  <w:bottom w:w="0" w:type="dxa"/>
                  <w:right w:w="108" w:type="dxa"/>
                </w:tblCellMar>
              </w:tblPrEx>
              <w:trPr>
                <w:trHeight w:val="439" w:hRule="atLeast"/>
              </w:trPr>
              <w:tc>
                <w:tcPr>
                  <w:tcW w:w="107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2</w:t>
                  </w:r>
                </w:p>
              </w:tc>
              <w:tc>
                <w:tcPr>
                  <w:tcW w:w="204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边贸路</w:t>
                  </w:r>
                </w:p>
              </w:tc>
              <w:tc>
                <w:tcPr>
                  <w:tcW w:w="217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边贸桥</w:t>
                  </w:r>
                </w:p>
              </w:tc>
              <w:tc>
                <w:tcPr>
                  <w:tcW w:w="268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工业路</w:t>
                  </w:r>
                </w:p>
              </w:tc>
              <w:tc>
                <w:tcPr>
                  <w:tcW w:w="201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173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27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42000</w:t>
                  </w:r>
                </w:p>
              </w:tc>
            </w:tr>
            <w:tr>
              <w:tblPrEx>
                <w:tblLayout w:type="fixed"/>
                <w:tblCellMar>
                  <w:top w:w="0" w:type="dxa"/>
                  <w:left w:w="108" w:type="dxa"/>
                  <w:bottom w:w="0" w:type="dxa"/>
                  <w:right w:w="108" w:type="dxa"/>
                </w:tblCellMar>
              </w:tblPrEx>
              <w:trPr>
                <w:trHeight w:val="702" w:hRule="atLeast"/>
              </w:trPr>
              <w:tc>
                <w:tcPr>
                  <w:tcW w:w="107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3</w:t>
                  </w:r>
                </w:p>
              </w:tc>
              <w:tc>
                <w:tcPr>
                  <w:tcW w:w="204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宁泉路</w:t>
                  </w:r>
                </w:p>
              </w:tc>
              <w:tc>
                <w:tcPr>
                  <w:tcW w:w="217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高堑村部</w:t>
                  </w:r>
                </w:p>
              </w:tc>
              <w:tc>
                <w:tcPr>
                  <w:tcW w:w="268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东山桥头</w:t>
                  </w:r>
                </w:p>
              </w:tc>
              <w:tc>
                <w:tcPr>
                  <w:tcW w:w="201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1000</w:t>
                  </w:r>
                </w:p>
              </w:tc>
              <w:tc>
                <w:tcPr>
                  <w:tcW w:w="173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10</w:t>
                  </w:r>
                </w:p>
              </w:tc>
              <w:tc>
                <w:tcPr>
                  <w:tcW w:w="27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10000</w:t>
                  </w:r>
                </w:p>
              </w:tc>
            </w:tr>
            <w:tr>
              <w:tblPrEx>
                <w:tblLayout w:type="fixed"/>
                <w:tblCellMar>
                  <w:top w:w="0" w:type="dxa"/>
                  <w:left w:w="108" w:type="dxa"/>
                  <w:bottom w:w="0" w:type="dxa"/>
                  <w:right w:w="108" w:type="dxa"/>
                </w:tblCellMar>
              </w:tblPrEx>
              <w:trPr>
                <w:trHeight w:val="439" w:hRule="atLeast"/>
              </w:trPr>
              <w:tc>
                <w:tcPr>
                  <w:tcW w:w="107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4</w:t>
                  </w:r>
                </w:p>
              </w:tc>
              <w:tc>
                <w:tcPr>
                  <w:tcW w:w="204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慈恩文化园A线</w:t>
                  </w:r>
                </w:p>
              </w:tc>
              <w:tc>
                <w:tcPr>
                  <w:tcW w:w="217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cs="宋体"/>
                      <w:sz w:val="24"/>
                      <w:szCs w:val="24"/>
                      <w:lang w:val="en-US" w:eastAsia="zh-CN"/>
                    </w:rPr>
                    <w:t>/</w:t>
                  </w:r>
                </w:p>
              </w:tc>
              <w:tc>
                <w:tcPr>
                  <w:tcW w:w="268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cs="宋体"/>
                      <w:sz w:val="24"/>
                      <w:szCs w:val="24"/>
                      <w:lang w:val="en-US" w:eastAsia="zh-CN"/>
                    </w:rPr>
                    <w:t>/</w:t>
                  </w:r>
                </w:p>
              </w:tc>
              <w:tc>
                <w:tcPr>
                  <w:tcW w:w="201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800</w:t>
                  </w:r>
                </w:p>
              </w:tc>
              <w:tc>
                <w:tcPr>
                  <w:tcW w:w="173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14</w:t>
                  </w:r>
                </w:p>
              </w:tc>
              <w:tc>
                <w:tcPr>
                  <w:tcW w:w="27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11200</w:t>
                  </w:r>
                </w:p>
              </w:tc>
            </w:tr>
            <w:tr>
              <w:tblPrEx>
                <w:tblLayout w:type="fixed"/>
                <w:tblCellMar>
                  <w:top w:w="0" w:type="dxa"/>
                  <w:left w:w="108" w:type="dxa"/>
                  <w:bottom w:w="0" w:type="dxa"/>
                  <w:right w:w="108" w:type="dxa"/>
                </w:tblCellMar>
              </w:tblPrEx>
              <w:trPr>
                <w:trHeight w:val="439" w:hRule="atLeast"/>
              </w:trPr>
              <w:tc>
                <w:tcPr>
                  <w:tcW w:w="107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5</w:t>
                  </w:r>
                </w:p>
              </w:tc>
              <w:tc>
                <w:tcPr>
                  <w:tcW w:w="204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慈恩文化园B线</w:t>
                  </w:r>
                </w:p>
              </w:tc>
              <w:tc>
                <w:tcPr>
                  <w:tcW w:w="217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cs="宋体"/>
                      <w:sz w:val="24"/>
                      <w:szCs w:val="24"/>
                      <w:lang w:val="en-US" w:eastAsia="zh-CN"/>
                    </w:rPr>
                    <w:t>/</w:t>
                  </w:r>
                </w:p>
              </w:tc>
              <w:tc>
                <w:tcPr>
                  <w:tcW w:w="268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cs="宋体"/>
                      <w:sz w:val="24"/>
                      <w:szCs w:val="24"/>
                      <w:lang w:val="en-US" w:eastAsia="zh-CN"/>
                    </w:rPr>
                    <w:t>/</w:t>
                  </w:r>
                </w:p>
              </w:tc>
              <w:tc>
                <w:tcPr>
                  <w:tcW w:w="201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700</w:t>
                  </w:r>
                </w:p>
              </w:tc>
              <w:tc>
                <w:tcPr>
                  <w:tcW w:w="173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14</w:t>
                  </w:r>
                </w:p>
              </w:tc>
              <w:tc>
                <w:tcPr>
                  <w:tcW w:w="27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9800</w:t>
                  </w:r>
                </w:p>
              </w:tc>
            </w:tr>
            <w:tr>
              <w:tblPrEx>
                <w:tblLayout w:type="fixed"/>
                <w:tblCellMar>
                  <w:top w:w="0" w:type="dxa"/>
                  <w:left w:w="108" w:type="dxa"/>
                  <w:bottom w:w="0" w:type="dxa"/>
                  <w:right w:w="108" w:type="dxa"/>
                </w:tblCellMar>
              </w:tblPrEx>
              <w:trPr>
                <w:trHeight w:val="439" w:hRule="atLeast"/>
              </w:trPr>
              <w:tc>
                <w:tcPr>
                  <w:tcW w:w="107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5</w:t>
                  </w:r>
                </w:p>
              </w:tc>
              <w:tc>
                <w:tcPr>
                  <w:tcW w:w="204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名远路</w:t>
                  </w:r>
                </w:p>
              </w:tc>
              <w:tc>
                <w:tcPr>
                  <w:tcW w:w="217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cs="宋体"/>
                      <w:sz w:val="24"/>
                      <w:szCs w:val="24"/>
                      <w:lang w:val="en-US" w:eastAsia="zh-CN"/>
                    </w:rPr>
                    <w:t>/</w:t>
                  </w:r>
                </w:p>
              </w:tc>
              <w:tc>
                <w:tcPr>
                  <w:tcW w:w="268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cs="宋体"/>
                      <w:sz w:val="24"/>
                      <w:szCs w:val="24"/>
                      <w:lang w:val="en-US" w:eastAsia="zh-CN"/>
                    </w:rPr>
                    <w:t>/</w:t>
                  </w:r>
                </w:p>
              </w:tc>
              <w:tc>
                <w:tcPr>
                  <w:tcW w:w="201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350</w:t>
                  </w:r>
                </w:p>
              </w:tc>
              <w:tc>
                <w:tcPr>
                  <w:tcW w:w="173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16</w:t>
                  </w:r>
                </w:p>
              </w:tc>
              <w:tc>
                <w:tcPr>
                  <w:tcW w:w="27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5600</w:t>
                  </w:r>
                </w:p>
              </w:tc>
            </w:tr>
            <w:tr>
              <w:tblPrEx>
                <w:tblLayout w:type="fixed"/>
                <w:tblCellMar>
                  <w:top w:w="0" w:type="dxa"/>
                  <w:left w:w="108" w:type="dxa"/>
                  <w:bottom w:w="0" w:type="dxa"/>
                  <w:right w:w="108" w:type="dxa"/>
                </w:tblCellMar>
              </w:tblPrEx>
              <w:trPr>
                <w:trHeight w:val="439" w:hRule="atLeast"/>
              </w:trPr>
              <w:tc>
                <w:tcPr>
                  <w:tcW w:w="107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204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217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268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3745"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合计：</w:t>
                  </w:r>
                </w:p>
              </w:tc>
              <w:tc>
                <w:tcPr>
                  <w:tcW w:w="27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140600</w:t>
                  </w:r>
                </w:p>
              </w:tc>
            </w:tr>
          </w:tbl>
          <w:p>
            <w:pPr>
              <w:widowControl/>
              <w:jc w:val="center"/>
              <w:textAlignment w:val="center"/>
              <w:rPr>
                <w:rFonts w:hint="eastAsia" w:ascii="宋体" w:hAnsi="宋体" w:eastAsia="宋体" w:cs="宋体"/>
                <w:b/>
                <w:sz w:val="24"/>
                <w:szCs w:val="24"/>
              </w:rPr>
            </w:pPr>
          </w:p>
        </w:tc>
      </w:tr>
    </w:tbl>
    <w:p>
      <w:pPr>
        <w:pStyle w:val="6"/>
        <w:keepNext w:val="0"/>
        <w:keepLines w:val="0"/>
        <w:widowControl/>
        <w:suppressLineNumbers w:val="0"/>
        <w:spacing w:before="100" w:beforeAutospacing="1" w:after="100" w:afterAutospacing="1" w:line="345" w:lineRule="atLeast"/>
        <w:jc w:val="left"/>
        <w:rPr>
          <w:rStyle w:val="10"/>
          <w:rFonts w:hint="eastAsia" w:ascii="宋体" w:hAnsi="宋体" w:eastAsia="宋体" w:cs="宋体"/>
          <w:sz w:val="24"/>
          <w:szCs w:val="24"/>
          <w:lang w:val="en-US" w:eastAsia="zh-CN"/>
        </w:rPr>
        <w:sectPr>
          <w:pgSz w:w="16838" w:h="11906" w:orient="landscape"/>
          <w:pgMar w:top="1803" w:right="1440" w:bottom="1803" w:left="1440" w:header="851" w:footer="992" w:gutter="0"/>
          <w:pgBorders w:offsetFrom="page">
            <w:top w:val="none" w:sz="0" w:space="0"/>
            <w:left w:val="none" w:sz="0" w:space="0"/>
            <w:bottom w:val="none" w:sz="0" w:space="0"/>
            <w:right w:val="none" w:sz="0" w:space="0"/>
          </w:pgBorders>
          <w:cols w:space="720" w:num="1"/>
          <w:rtlGutter w:val="0"/>
          <w:docGrid w:type="lines" w:linePitch="319" w:charSpace="0"/>
        </w:sectPr>
      </w:pPr>
    </w:p>
    <w:p/>
    <w:p>
      <w:pPr>
        <w:pStyle w:val="6"/>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60" w:lineRule="exact"/>
        <w:ind w:left="0" w:right="0" w:rightChars="0" w:firstLine="361" w:firstLineChars="150"/>
        <w:jc w:val="both"/>
        <w:textAlignment w:val="auto"/>
        <w:rPr>
          <w:rStyle w:val="10"/>
          <w:rFonts w:hint="eastAsia" w:ascii="宋体" w:hAnsi="宋体" w:eastAsia="宋体" w:cs="宋体"/>
          <w:sz w:val="24"/>
          <w:szCs w:val="24"/>
        </w:rPr>
      </w:pPr>
      <w:r>
        <w:rPr>
          <w:rStyle w:val="10"/>
          <w:rFonts w:hint="eastAsia" w:ascii="宋体" w:hAnsi="宋体" w:eastAsia="宋体" w:cs="宋体"/>
          <w:sz w:val="24"/>
          <w:szCs w:val="24"/>
          <w:lang w:val="en-US" w:eastAsia="zh-CN"/>
        </w:rPr>
        <w:t>1.3</w:t>
      </w:r>
      <w:r>
        <w:rPr>
          <w:rStyle w:val="10"/>
          <w:rFonts w:hint="eastAsia" w:ascii="宋体" w:hAnsi="宋体" w:cs="宋体"/>
          <w:sz w:val="24"/>
          <w:szCs w:val="24"/>
          <w:lang w:val="en-US" w:eastAsia="zh-CN"/>
        </w:rPr>
        <w:t>一级</w:t>
      </w:r>
      <w:r>
        <w:rPr>
          <w:rStyle w:val="10"/>
          <w:rFonts w:hint="eastAsia" w:ascii="宋体" w:hAnsi="宋体" w:eastAsia="宋体" w:cs="宋体"/>
          <w:sz w:val="24"/>
          <w:szCs w:val="24"/>
        </w:rPr>
        <w:t>作业要求与质量标准</w:t>
      </w:r>
    </w:p>
    <w:p>
      <w:pPr>
        <w:pStyle w:val="6"/>
        <w:keepNext w:val="0"/>
        <w:keepLines w:val="0"/>
        <w:pageBreakBefore w:val="0"/>
        <w:widowControl/>
        <w:numPr>
          <w:ilvl w:val="0"/>
          <w:numId w:val="3"/>
        </w:numPr>
        <w:suppressLineNumbers w:val="0"/>
        <w:kinsoku/>
        <w:wordWrap/>
        <w:overflowPunct/>
        <w:topLinePunct w:val="0"/>
        <w:autoSpaceDE/>
        <w:autoSpaceDN/>
        <w:bidi w:val="0"/>
        <w:adjustRightInd/>
        <w:snapToGrid/>
        <w:spacing w:before="0" w:beforeAutospacing="0" w:after="0" w:afterAutospacing="0" w:line="460" w:lineRule="exact"/>
        <w:ind w:left="0" w:firstLine="361" w:firstLineChars="150"/>
        <w:jc w:val="both"/>
        <w:textAlignment w:val="auto"/>
        <w:rPr>
          <w:rStyle w:val="10"/>
          <w:rFonts w:hint="eastAsia" w:ascii="宋体" w:hAnsi="宋体" w:eastAsia="宋体" w:cs="宋体"/>
          <w:sz w:val="24"/>
          <w:szCs w:val="24"/>
        </w:rPr>
      </w:pPr>
      <w:r>
        <w:rPr>
          <w:rStyle w:val="10"/>
          <w:rFonts w:hint="eastAsia" w:ascii="宋体" w:hAnsi="宋体" w:cs="宋体"/>
          <w:sz w:val="24"/>
          <w:szCs w:val="24"/>
          <w:lang w:val="en-US" w:eastAsia="zh-CN"/>
        </w:rPr>
        <w:t>一级</w:t>
      </w:r>
      <w:r>
        <w:rPr>
          <w:rStyle w:val="10"/>
          <w:rFonts w:hint="eastAsia" w:ascii="宋体" w:hAnsi="宋体" w:eastAsia="宋体" w:cs="宋体"/>
          <w:sz w:val="24"/>
          <w:szCs w:val="24"/>
        </w:rPr>
        <w:t>清扫等级、作业时间安排：</w:t>
      </w:r>
    </w:p>
    <w:p>
      <w:pPr>
        <w:pStyle w:val="6"/>
        <w:keepNext w:val="0"/>
        <w:keepLines w:val="0"/>
        <w:pageBreakBefore w:val="0"/>
        <w:widowControl/>
        <w:numPr>
          <w:ilvl w:val="0"/>
          <w:numId w:val="4"/>
        </w:numPr>
        <w:suppressLineNumbers w:val="0"/>
        <w:kinsoku/>
        <w:wordWrap/>
        <w:overflowPunct/>
        <w:topLinePunct w:val="0"/>
        <w:autoSpaceDE/>
        <w:autoSpaceDN/>
        <w:bidi w:val="0"/>
        <w:adjustRightInd/>
        <w:snapToGrid/>
        <w:spacing w:before="0" w:beforeAutospacing="0" w:after="0" w:afterAutospacing="0" w:line="460" w:lineRule="exact"/>
        <w:ind w:left="0" w:firstLine="360" w:firstLineChars="150"/>
        <w:jc w:val="both"/>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划分依据：城区商业网点集中路段；政府机关所在地段；车站、商场等交通重点路段；旅游景点、大型文体娱乐场所、广场、展览馆等所在路段；其他对城市形象有重大影响的路段。</w:t>
      </w:r>
    </w:p>
    <w:p>
      <w:pPr>
        <w:pStyle w:val="6"/>
        <w:keepNext w:val="0"/>
        <w:keepLines w:val="0"/>
        <w:pageBreakBefore w:val="0"/>
        <w:widowControl/>
        <w:numPr>
          <w:ilvl w:val="0"/>
          <w:numId w:val="4"/>
        </w:numPr>
        <w:suppressLineNumbers w:val="0"/>
        <w:kinsoku/>
        <w:wordWrap/>
        <w:overflowPunct/>
        <w:topLinePunct w:val="0"/>
        <w:autoSpaceDE/>
        <w:autoSpaceDN/>
        <w:bidi w:val="0"/>
        <w:adjustRightInd/>
        <w:snapToGrid/>
        <w:spacing w:before="0" w:beforeAutospacing="0" w:after="0" w:afterAutospacing="0" w:line="460" w:lineRule="exact"/>
        <w:ind w:left="0" w:firstLine="360" w:firstLineChars="150"/>
        <w:jc w:val="both"/>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清扫保洁等级划分为一级，一</w:t>
      </w:r>
      <w:r>
        <w:rPr>
          <w:rFonts w:hint="eastAsia" w:ascii="宋体" w:hAnsi="宋体" w:cs="宋体"/>
          <w:sz w:val="24"/>
          <w:szCs w:val="24"/>
          <w:highlight w:val="none"/>
          <w:lang w:eastAsia="zh-CN"/>
        </w:rPr>
        <w:t>级</w:t>
      </w:r>
      <w:r>
        <w:rPr>
          <w:rFonts w:hint="eastAsia" w:ascii="宋体" w:hAnsi="宋体" w:eastAsia="宋体" w:cs="宋体"/>
          <w:sz w:val="24"/>
          <w:szCs w:val="24"/>
          <w:highlight w:val="none"/>
        </w:rPr>
        <w:t>道路作业时间为1</w:t>
      </w:r>
      <w:r>
        <w:rPr>
          <w:rFonts w:hint="eastAsia" w:ascii="宋体" w:hAnsi="宋体" w:cs="宋体"/>
          <w:sz w:val="24"/>
          <w:szCs w:val="24"/>
          <w:highlight w:val="none"/>
          <w:lang w:eastAsia="zh-CN"/>
        </w:rPr>
        <w:t>8</w:t>
      </w:r>
      <w:r>
        <w:rPr>
          <w:rFonts w:hint="eastAsia" w:ascii="宋体" w:hAnsi="宋体" w:eastAsia="宋体" w:cs="宋体"/>
          <w:sz w:val="24"/>
          <w:szCs w:val="24"/>
          <w:highlight w:val="none"/>
          <w:lang w:val="en-US" w:eastAsia="zh-CN"/>
        </w:rPr>
        <w:t>个</w:t>
      </w:r>
      <w:r>
        <w:rPr>
          <w:rFonts w:hint="eastAsia" w:ascii="宋体" w:hAnsi="宋体" w:eastAsia="宋体" w:cs="宋体"/>
          <w:sz w:val="24"/>
          <w:szCs w:val="24"/>
          <w:highlight w:val="none"/>
        </w:rPr>
        <w:t>小时以上；</w:t>
      </w:r>
      <w:r>
        <w:rPr>
          <w:rFonts w:hint="eastAsia" w:ascii="宋体" w:hAnsi="宋体" w:cs="宋体"/>
          <w:sz w:val="24"/>
          <w:szCs w:val="24"/>
          <w:highlight w:val="none"/>
          <w:lang w:eastAsia="zh-CN"/>
        </w:rPr>
        <w:t>春夏季</w:t>
      </w:r>
      <w:r>
        <w:rPr>
          <w:rFonts w:hint="eastAsia" w:ascii="宋体" w:hAnsi="宋体" w:cs="宋体"/>
          <w:sz w:val="24"/>
          <w:szCs w:val="24"/>
          <w:highlight w:val="none"/>
          <w:lang w:val="en-US" w:eastAsia="zh-CN"/>
        </w:rPr>
        <w:t>5：00-23：00；秋冬季作业时间4：00-22：00；</w:t>
      </w:r>
      <w:r>
        <w:rPr>
          <w:rFonts w:hint="eastAsia" w:ascii="宋体" w:hAnsi="宋体" w:eastAsia="宋体" w:cs="宋体"/>
          <w:color w:val="000000"/>
          <w:sz w:val="24"/>
          <w:szCs w:val="24"/>
          <w:highlight w:val="none"/>
          <w:lang w:val="en-US" w:eastAsia="zh-CN"/>
        </w:rPr>
        <w:t>早上</w:t>
      </w:r>
      <w:r>
        <w:rPr>
          <w:rFonts w:hint="eastAsia" w:ascii="宋体" w:hAnsi="宋体" w:eastAsia="宋体" w:cs="宋体"/>
          <w:color w:val="000000"/>
          <w:sz w:val="24"/>
          <w:szCs w:val="24"/>
          <w:highlight w:val="none"/>
        </w:rPr>
        <w:t>6：30前</w:t>
      </w:r>
      <w:r>
        <w:rPr>
          <w:rFonts w:hint="eastAsia" w:ascii="宋体" w:hAnsi="宋体" w:eastAsia="宋体" w:cs="宋体"/>
          <w:color w:val="000000"/>
          <w:sz w:val="24"/>
          <w:szCs w:val="24"/>
          <w:highlight w:val="none"/>
          <w:lang w:eastAsia="zh-CN"/>
        </w:rPr>
        <w:t>、</w:t>
      </w:r>
      <w:r>
        <w:rPr>
          <w:rFonts w:hint="eastAsia" w:ascii="宋体" w:hAnsi="宋体" w:eastAsia="宋体" w:cs="宋体"/>
          <w:color w:val="000000"/>
          <w:sz w:val="24"/>
          <w:szCs w:val="24"/>
          <w:highlight w:val="none"/>
          <w:lang w:val="en-US" w:eastAsia="zh-CN"/>
        </w:rPr>
        <w:t>下午</w:t>
      </w:r>
      <w:r>
        <w:rPr>
          <w:rFonts w:hint="eastAsia" w:ascii="宋体" w:hAnsi="宋体" w:cs="宋体"/>
          <w:color w:val="000000"/>
          <w:sz w:val="24"/>
          <w:szCs w:val="24"/>
          <w:highlight w:val="none"/>
          <w:lang w:val="en-US" w:eastAsia="zh-CN"/>
        </w:rPr>
        <w:t>2</w:t>
      </w:r>
      <w:r>
        <w:rPr>
          <w:rFonts w:hint="eastAsia" w:ascii="宋体" w:hAnsi="宋体" w:eastAsia="宋体" w:cs="宋体"/>
          <w:color w:val="000000"/>
          <w:sz w:val="24"/>
          <w:szCs w:val="24"/>
          <w:highlight w:val="none"/>
          <w:lang w:val="en-US" w:eastAsia="zh-CN"/>
        </w:rPr>
        <w:t>:</w:t>
      </w:r>
      <w:r>
        <w:rPr>
          <w:rFonts w:hint="eastAsia" w:ascii="宋体" w:hAnsi="宋体" w:cs="宋体"/>
          <w:color w:val="000000"/>
          <w:sz w:val="24"/>
          <w:szCs w:val="24"/>
          <w:highlight w:val="none"/>
          <w:lang w:val="en-US" w:eastAsia="zh-CN"/>
        </w:rPr>
        <w:t>30</w:t>
      </w:r>
      <w:r>
        <w:rPr>
          <w:rFonts w:hint="eastAsia" w:ascii="宋体" w:hAnsi="宋体" w:eastAsia="宋体" w:cs="宋体"/>
          <w:color w:val="000000"/>
          <w:sz w:val="24"/>
          <w:szCs w:val="24"/>
          <w:highlight w:val="none"/>
          <w:lang w:val="en-US" w:eastAsia="zh-CN"/>
        </w:rPr>
        <w:t>前普</w:t>
      </w:r>
      <w:r>
        <w:rPr>
          <w:rFonts w:hint="eastAsia" w:ascii="宋体" w:hAnsi="宋体" w:eastAsia="宋体" w:cs="宋体"/>
          <w:color w:val="000000"/>
          <w:sz w:val="24"/>
          <w:szCs w:val="24"/>
          <w:highlight w:val="none"/>
        </w:rPr>
        <w:t>扫结束，</w:t>
      </w:r>
      <w:r>
        <w:rPr>
          <w:rFonts w:hint="eastAsia" w:ascii="宋体" w:hAnsi="宋体" w:cs="宋体"/>
          <w:color w:val="000000"/>
          <w:sz w:val="24"/>
          <w:szCs w:val="24"/>
          <w:highlight w:val="none"/>
          <w:lang w:eastAsia="zh-CN"/>
        </w:rPr>
        <w:t>其余时间</w:t>
      </w:r>
      <w:r>
        <w:rPr>
          <w:rFonts w:hint="eastAsia" w:ascii="宋体" w:hAnsi="宋体" w:eastAsia="宋体" w:cs="宋体"/>
          <w:sz w:val="24"/>
          <w:szCs w:val="24"/>
          <w:highlight w:val="none"/>
        </w:rPr>
        <w:t>巡回保洁</w:t>
      </w:r>
      <w:r>
        <w:rPr>
          <w:rFonts w:hint="eastAsia" w:ascii="宋体" w:hAnsi="宋体" w:eastAsia="宋体" w:cs="宋体"/>
          <w:sz w:val="24"/>
          <w:szCs w:val="24"/>
          <w:highlight w:val="none"/>
          <w:lang w:eastAsia="zh-CN"/>
        </w:rPr>
        <w:t>。</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firstLine="361" w:firstLineChars="150"/>
        <w:jc w:val="both"/>
        <w:textAlignment w:val="auto"/>
        <w:rPr>
          <w:rFonts w:hint="eastAsia" w:ascii="宋体" w:hAnsi="宋体" w:eastAsia="宋体" w:cs="宋体"/>
          <w:sz w:val="24"/>
          <w:szCs w:val="24"/>
          <w:highlight w:val="none"/>
        </w:rPr>
      </w:pPr>
      <w:r>
        <w:rPr>
          <w:rStyle w:val="10"/>
          <w:rFonts w:hint="eastAsia" w:ascii="宋体" w:hAnsi="宋体" w:eastAsia="宋体" w:cs="宋体"/>
          <w:sz w:val="24"/>
          <w:szCs w:val="24"/>
          <w:highlight w:val="none"/>
        </w:rPr>
        <w:t>B、</w:t>
      </w:r>
      <w:r>
        <w:rPr>
          <w:rStyle w:val="10"/>
          <w:rFonts w:hint="eastAsia" w:ascii="宋体" w:hAnsi="宋体" w:cs="宋体"/>
          <w:sz w:val="24"/>
          <w:szCs w:val="24"/>
          <w:highlight w:val="none"/>
          <w:lang w:val="en-US" w:eastAsia="zh-CN"/>
        </w:rPr>
        <w:t>一级</w:t>
      </w:r>
      <w:r>
        <w:rPr>
          <w:rStyle w:val="10"/>
          <w:rFonts w:hint="eastAsia" w:ascii="宋体" w:hAnsi="宋体" w:eastAsia="宋体" w:cs="宋体"/>
          <w:sz w:val="24"/>
          <w:szCs w:val="24"/>
          <w:highlight w:val="none"/>
        </w:rPr>
        <w:t>清扫保洁作业要求：</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360" w:firstLineChars="150"/>
        <w:jc w:val="both"/>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（1）道路车行道宽15米以上的道路实行每日两机扫、</w:t>
      </w:r>
      <w:r>
        <w:rPr>
          <w:rFonts w:hint="eastAsia" w:ascii="宋体" w:hAnsi="宋体" w:cs="宋体"/>
          <w:sz w:val="24"/>
          <w:szCs w:val="24"/>
          <w:highlight w:val="none"/>
          <w:lang w:eastAsia="zh-CN"/>
        </w:rPr>
        <w:t>洒水</w:t>
      </w:r>
      <w:r>
        <w:rPr>
          <w:rFonts w:hint="eastAsia" w:ascii="宋体" w:hAnsi="宋体" w:eastAsia="宋体" w:cs="宋体"/>
          <w:sz w:val="24"/>
          <w:szCs w:val="24"/>
          <w:highlight w:val="none"/>
        </w:rPr>
        <w:t>降尘作业</w:t>
      </w:r>
      <w:r>
        <w:rPr>
          <w:rFonts w:hint="eastAsia" w:ascii="宋体" w:hAnsi="宋体" w:eastAsia="宋体" w:cs="宋体"/>
          <w:sz w:val="24"/>
          <w:szCs w:val="24"/>
          <w:highlight w:val="none"/>
          <w:lang w:val="en-US" w:eastAsia="zh-CN"/>
        </w:rPr>
        <w:t>每日</w:t>
      </w:r>
      <w:r>
        <w:rPr>
          <w:rFonts w:hint="eastAsia" w:ascii="宋体" w:hAnsi="宋体" w:eastAsia="宋体" w:cs="宋体"/>
          <w:sz w:val="24"/>
          <w:szCs w:val="24"/>
          <w:highlight w:val="none"/>
        </w:rPr>
        <w:t>不少于两次</w:t>
      </w:r>
      <w:r>
        <w:rPr>
          <w:rFonts w:hint="eastAsia" w:ascii="宋体" w:hAnsi="宋体" w:eastAsia="宋体" w:cs="宋体"/>
          <w:sz w:val="24"/>
          <w:szCs w:val="24"/>
          <w:highlight w:val="none"/>
          <w:lang w:eastAsia="zh-CN"/>
        </w:rPr>
        <w:t>；</w:t>
      </w:r>
      <w:r>
        <w:rPr>
          <w:rFonts w:hint="eastAsia" w:ascii="宋体" w:hAnsi="宋体" w:cs="宋体"/>
          <w:sz w:val="24"/>
          <w:szCs w:val="24"/>
          <w:highlight w:val="none"/>
          <w:lang w:eastAsia="zh-CN"/>
        </w:rPr>
        <w:t>路面清洗每周不少于两次；</w:t>
      </w:r>
      <w:r>
        <w:rPr>
          <w:rFonts w:hint="eastAsia" w:ascii="宋体" w:hAnsi="宋体" w:eastAsia="宋体" w:cs="宋体"/>
          <w:sz w:val="24"/>
          <w:szCs w:val="24"/>
          <w:highlight w:val="none"/>
        </w:rPr>
        <w:t>气温高于30℃增加洒水次数，气温低于2℃时应停止清洗和洒水</w:t>
      </w:r>
      <w:r>
        <w:rPr>
          <w:rFonts w:hint="eastAsia" w:ascii="宋体" w:hAnsi="宋体" w:eastAsia="宋体" w:cs="宋体"/>
          <w:sz w:val="24"/>
          <w:szCs w:val="24"/>
          <w:highlight w:val="none"/>
          <w:lang w:eastAsia="zh-CN"/>
        </w:rPr>
        <w:t>。</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360" w:firstLineChars="150"/>
        <w:jc w:val="both"/>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w:t>
      </w:r>
      <w:r>
        <w:rPr>
          <w:rFonts w:hint="eastAsia" w:ascii="宋体" w:hAnsi="宋体" w:eastAsia="宋体" w:cs="宋体"/>
          <w:sz w:val="24"/>
          <w:szCs w:val="24"/>
          <w:highlight w:val="none"/>
          <w:lang w:val="en-US" w:eastAsia="zh-CN"/>
        </w:rPr>
        <w:t>3</w:t>
      </w:r>
      <w:r>
        <w:rPr>
          <w:rFonts w:hint="eastAsia" w:ascii="宋体" w:hAnsi="宋体" w:eastAsia="宋体" w:cs="宋体"/>
          <w:sz w:val="24"/>
          <w:szCs w:val="24"/>
          <w:highlight w:val="none"/>
        </w:rPr>
        <w:t>）道路清扫保洁面积“横到边、纵到底、墙对墙”之间的公共位置的面积；</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360" w:firstLineChars="150"/>
        <w:jc w:val="both"/>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w:t>
      </w:r>
      <w:r>
        <w:rPr>
          <w:rFonts w:hint="eastAsia" w:ascii="宋体" w:hAnsi="宋体" w:eastAsia="宋体" w:cs="宋体"/>
          <w:sz w:val="24"/>
          <w:szCs w:val="24"/>
          <w:highlight w:val="none"/>
          <w:lang w:val="en-US" w:eastAsia="zh-CN"/>
        </w:rPr>
        <w:t>4</w:t>
      </w:r>
      <w:r>
        <w:rPr>
          <w:rFonts w:hint="eastAsia" w:ascii="宋体" w:hAnsi="宋体" w:eastAsia="宋体" w:cs="宋体"/>
          <w:sz w:val="24"/>
          <w:szCs w:val="24"/>
          <w:highlight w:val="none"/>
        </w:rPr>
        <w:t>）路面垃圾落地不超过10分钟。</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360" w:firstLineChars="150"/>
        <w:jc w:val="both"/>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5</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建、构筑物四周及道路周边可视区域内无废弃杂物及成堆成片垃圾和明显散落垃圾。</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360" w:firstLineChars="150"/>
        <w:jc w:val="both"/>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6</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及时清洗交通护栏，保持干净、整洁。</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360" w:firstLineChars="150"/>
        <w:jc w:val="both"/>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7</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城区生活垃圾日产日清。</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360" w:firstLineChars="150"/>
        <w:jc w:val="both"/>
        <w:textAlignment w:val="auto"/>
        <w:rPr>
          <w:rFonts w:hint="eastAsia" w:ascii="宋体" w:hAnsi="宋体" w:eastAsia="宋体" w:cs="宋体"/>
          <w:sz w:val="24"/>
          <w:szCs w:val="24"/>
          <w:highlight w:val="none"/>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8</w:t>
      </w:r>
      <w:r>
        <w:rPr>
          <w:rFonts w:hint="eastAsia" w:ascii="宋体" w:hAnsi="宋体" w:eastAsia="宋体" w:cs="宋体"/>
          <w:sz w:val="24"/>
          <w:szCs w:val="24"/>
          <w:lang w:eastAsia="zh-CN"/>
        </w:rPr>
        <w:t>）</w:t>
      </w:r>
      <w:r>
        <w:rPr>
          <w:rFonts w:hint="eastAsia" w:ascii="宋体" w:hAnsi="宋体" w:eastAsia="宋体" w:cs="宋体"/>
          <w:sz w:val="24"/>
          <w:szCs w:val="24"/>
          <w:highlight w:val="none"/>
        </w:rPr>
        <w:t>道路清扫保洁人员必须穿着反光安全工作服上岗，作业时，应按车行线反方向清扫，保洁车辆停放应地点适宜，不能太靠近车行线，车容应整洁。</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360" w:firstLineChars="150"/>
        <w:jc w:val="both"/>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w:t>
      </w:r>
      <w:r>
        <w:rPr>
          <w:rFonts w:hint="eastAsia" w:ascii="宋体" w:hAnsi="宋体" w:eastAsia="宋体" w:cs="宋体"/>
          <w:sz w:val="24"/>
          <w:szCs w:val="24"/>
          <w:highlight w:val="none"/>
          <w:lang w:val="en-US" w:eastAsia="zh-CN"/>
        </w:rPr>
        <w:t>9</w:t>
      </w:r>
      <w:r>
        <w:rPr>
          <w:rFonts w:hint="eastAsia" w:ascii="宋体" w:hAnsi="宋体" w:eastAsia="宋体" w:cs="宋体"/>
          <w:sz w:val="24"/>
          <w:szCs w:val="24"/>
          <w:highlight w:val="none"/>
        </w:rPr>
        <w:t>）道路清扫保洁人员应文明作业，不得将垃圾、污水扫到、溅到行人身上，禁止将垃圾堆放或停留在客井盖上，禁止将垃圾扫入或倒入客井、道路绿地、河道等处，必须运送到指定地点。</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360" w:firstLineChars="150"/>
        <w:jc w:val="both"/>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w:t>
      </w:r>
      <w:r>
        <w:rPr>
          <w:rFonts w:hint="eastAsia" w:ascii="宋体" w:hAnsi="宋体" w:eastAsia="宋体" w:cs="宋体"/>
          <w:sz w:val="24"/>
          <w:szCs w:val="24"/>
          <w:highlight w:val="none"/>
          <w:lang w:val="en-US" w:eastAsia="zh-CN"/>
        </w:rPr>
        <w:t>10</w:t>
      </w:r>
      <w:r>
        <w:rPr>
          <w:rFonts w:hint="eastAsia" w:ascii="宋体" w:hAnsi="宋体" w:eastAsia="宋体" w:cs="宋体"/>
          <w:sz w:val="24"/>
          <w:szCs w:val="24"/>
          <w:highlight w:val="none"/>
        </w:rPr>
        <w:t>）及时上报责任区域内环卫设施的损坏、丢失情况。</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360" w:firstLineChars="150"/>
        <w:jc w:val="both"/>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w:t>
      </w:r>
      <w:r>
        <w:rPr>
          <w:rFonts w:hint="eastAsia" w:ascii="宋体" w:hAnsi="宋体" w:cs="宋体"/>
          <w:sz w:val="24"/>
          <w:szCs w:val="24"/>
          <w:highlight w:val="none"/>
          <w:lang w:val="en-US" w:eastAsia="zh-CN"/>
        </w:rPr>
        <w:t>11</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桥面、通行隧道、公交站台的保洁质量与所在的道路保洁质量标准相同。</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361" w:firstLineChars="150"/>
        <w:jc w:val="both"/>
        <w:textAlignment w:val="auto"/>
        <w:rPr>
          <w:rFonts w:hint="eastAsia" w:ascii="宋体" w:hAnsi="宋体" w:eastAsia="宋体" w:cs="宋体"/>
          <w:sz w:val="24"/>
          <w:szCs w:val="24"/>
        </w:rPr>
      </w:pPr>
      <w:r>
        <w:rPr>
          <w:rStyle w:val="10"/>
          <w:rFonts w:hint="eastAsia" w:ascii="宋体" w:hAnsi="宋体" w:eastAsia="宋体" w:cs="宋体"/>
          <w:sz w:val="24"/>
          <w:szCs w:val="24"/>
        </w:rPr>
        <w:t>C、清扫保洁质量标准：</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firstLine="360" w:firstLineChars="150"/>
        <w:jc w:val="both"/>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（1）路面无垃圾、污渍，积泥较少，人行道无杂草，晴天无积水，道路两侧3米内无垃圾。</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firstLine="360" w:firstLineChars="150"/>
        <w:jc w:val="both"/>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（2）交通路面见本色，路面污染物如烟蒂、塑料袋、纸屑果皮、树叶等杂物控制在每500m2不多与5片（个）；路面基本上没有积土、积沙问题。地面分车道交通标识线基本清晰、污渍较少；</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firstLine="360" w:firstLineChars="150"/>
        <w:jc w:val="both"/>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（3）路沿石（边）含沟井干净，无积沙、积土：无烟蒂、纸屑、果皮、树叶、杂草等其他废弃物：无明显积水；</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firstLine="360" w:firstLineChars="150"/>
        <w:jc w:val="both"/>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（4）人行道上不能有显见的沙土、烟蒂、塑料袋、纸屑、果皮、树叶、石块、杂草等各类废弃物，且每500m2不多于5片（个）；</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firstLine="360" w:firstLineChars="150"/>
        <w:jc w:val="both"/>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（5）绿化带不能有显示的烟蒂、塑料袋、果皮纸屑等废弃物；</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firstLine="360" w:firstLineChars="150"/>
        <w:jc w:val="both"/>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（6）路面、路旁树头无杂草；</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firstLine="360" w:firstLineChars="150"/>
        <w:jc w:val="both"/>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lang w:val="en-US" w:eastAsia="zh-CN"/>
        </w:rPr>
        <w:t>7</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道路绿地、花坛、树圈无杂物、无垃圾</w:t>
      </w:r>
      <w:r>
        <w:rPr>
          <w:rFonts w:hint="eastAsia" w:ascii="宋体" w:hAnsi="宋体" w:eastAsia="宋体" w:cs="宋体"/>
          <w:color w:val="000000"/>
          <w:sz w:val="24"/>
          <w:szCs w:val="24"/>
          <w:lang w:eastAsia="zh-CN"/>
        </w:rPr>
        <w:t>；</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firstLine="360" w:firstLineChars="150"/>
        <w:jc w:val="both"/>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w:t>
      </w:r>
      <w:r>
        <w:rPr>
          <w:rFonts w:hint="eastAsia" w:ascii="宋体" w:hAnsi="宋体" w:eastAsia="宋体" w:cs="宋体"/>
          <w:color w:val="000000"/>
          <w:sz w:val="24"/>
          <w:szCs w:val="24"/>
          <w:lang w:val="en-US" w:eastAsia="zh-CN"/>
        </w:rPr>
        <w:t>8</w:t>
      </w:r>
      <w:r>
        <w:rPr>
          <w:rFonts w:hint="eastAsia" w:ascii="宋体" w:hAnsi="宋体" w:eastAsia="宋体" w:cs="宋体"/>
          <w:color w:val="000000"/>
          <w:sz w:val="24"/>
          <w:szCs w:val="24"/>
        </w:rPr>
        <w:t>）环卫设施（果壳箱、垃圾桶、垃圾房）整齐规范、无破损、歪斜、油漆剥落（或严重褪色）、垃圾满溢、表面清洁无污垢，周围地面无暴露垃圾、污水现象。</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firstLine="360" w:firstLineChars="150"/>
        <w:jc w:val="both"/>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lang w:val="en-US" w:eastAsia="zh-CN"/>
        </w:rPr>
        <w:t>9</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垃圾桶、果皮箱内的垃圾清掏（清倒）及时，垃圾桶、果皮箱立面无乱张贴、乱涂写、立面干净。</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361" w:firstLineChars="150"/>
        <w:jc w:val="both"/>
        <w:textAlignment w:val="auto"/>
        <w:rPr>
          <w:rStyle w:val="10"/>
          <w:rFonts w:hint="eastAsia" w:ascii="宋体" w:hAnsi="宋体" w:eastAsia="宋体" w:cs="宋体"/>
          <w:sz w:val="24"/>
          <w:szCs w:val="24"/>
        </w:rPr>
      </w:pPr>
      <w:r>
        <w:rPr>
          <w:rStyle w:val="10"/>
          <w:rFonts w:hint="eastAsia" w:ascii="宋体" w:hAnsi="宋体" w:eastAsia="宋体" w:cs="宋体"/>
          <w:sz w:val="24"/>
          <w:szCs w:val="24"/>
        </w:rPr>
        <w:t>D、机械冲洗作业要求：</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360" w:firstLineChars="150"/>
        <w:jc w:val="both"/>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1</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项目公司车辆配置的数量和品质以满足作业质量和保障出勤率出发，由企业选择性价比最优产品为宜。机械化清扫车和酒水车出车前必须进行车辆检查，发现故障及时排除。禁止带故障运行。</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360" w:firstLineChars="150"/>
        <w:jc w:val="both"/>
        <w:textAlignment w:val="auto"/>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2</w:t>
      </w:r>
      <w:r>
        <w:rPr>
          <w:rFonts w:hint="eastAsia" w:ascii="宋体" w:hAnsi="宋体" w:eastAsia="宋体" w:cs="宋体"/>
          <w:sz w:val="24"/>
          <w:szCs w:val="24"/>
        </w:rPr>
        <w:t>）</w:t>
      </w:r>
      <w:r>
        <w:rPr>
          <w:rFonts w:hint="eastAsia" w:ascii="宋体" w:hAnsi="宋体" w:eastAsia="宋体" w:cs="宋体"/>
          <w:sz w:val="24"/>
          <w:szCs w:val="24"/>
          <w:highlight w:val="none"/>
        </w:rPr>
        <w:t>机械化清扫车和洒水车作业时必须开警示灯或发送警示信号；</w:t>
      </w:r>
      <w:r>
        <w:rPr>
          <w:rFonts w:hint="eastAsia" w:ascii="宋体" w:hAnsi="宋体" w:eastAsia="宋体" w:cs="宋体"/>
          <w:sz w:val="24"/>
          <w:szCs w:val="24"/>
        </w:rPr>
        <w:t>夜间作业应打开示宽灯；</w:t>
      </w:r>
      <w:r>
        <w:rPr>
          <w:rFonts w:hint="eastAsia" w:ascii="宋体" w:hAnsi="宋体" w:eastAsia="宋体" w:cs="宋体"/>
          <w:sz w:val="24"/>
          <w:szCs w:val="24"/>
          <w:highlight w:val="none"/>
        </w:rPr>
        <w:t>机扫作业时，应喷水压尘。冲洒水作业时应适当控制水压和车速，避免把水溅到路边的行人。</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360" w:firstLineChars="150"/>
        <w:jc w:val="both"/>
        <w:textAlignment w:val="auto"/>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3</w:t>
      </w:r>
      <w:r>
        <w:rPr>
          <w:rFonts w:hint="eastAsia" w:ascii="宋体" w:hAnsi="宋体" w:eastAsia="宋体" w:cs="宋体"/>
          <w:sz w:val="24"/>
          <w:szCs w:val="24"/>
        </w:rPr>
        <w:t>）</w:t>
      </w:r>
      <w:r>
        <w:rPr>
          <w:rFonts w:hint="eastAsia" w:ascii="宋体" w:hAnsi="宋体" w:eastAsia="宋体" w:cs="宋体"/>
          <w:sz w:val="24"/>
          <w:szCs w:val="24"/>
          <w:highlight w:val="none"/>
        </w:rPr>
        <w:t>机械化清扫车作业时，应视道路和车况实际确定优质、高效的合理车速，但最高车速不宜超过20公里/小时</w:t>
      </w:r>
      <w:r>
        <w:rPr>
          <w:rFonts w:hint="eastAsia" w:ascii="宋体" w:hAnsi="宋体" w:eastAsia="宋体" w:cs="宋体"/>
          <w:sz w:val="24"/>
          <w:szCs w:val="24"/>
        </w:rPr>
        <w:t>，发动机转速应达到1600转以上；</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360" w:firstLineChars="150"/>
        <w:jc w:val="both"/>
        <w:textAlignment w:val="auto"/>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4</w:t>
      </w:r>
      <w:r>
        <w:rPr>
          <w:rFonts w:hint="eastAsia" w:ascii="宋体" w:hAnsi="宋体" w:eastAsia="宋体" w:cs="宋体"/>
          <w:sz w:val="24"/>
          <w:szCs w:val="24"/>
        </w:rPr>
        <w:t>）道路中间有交通隔离栏的应先冲洗隔离栏底座。隔离栏底座冲洗应将双喷头调整到左方向，喷头要对准底座的缝隙口，将离栏底座的沙土等弃物完全冲洗出路面；</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360" w:firstLineChars="150"/>
        <w:jc w:val="both"/>
        <w:textAlignment w:val="auto"/>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5</w:t>
      </w:r>
      <w:r>
        <w:rPr>
          <w:rFonts w:hint="eastAsia" w:ascii="宋体" w:hAnsi="宋体" w:eastAsia="宋体" w:cs="宋体"/>
          <w:sz w:val="24"/>
          <w:szCs w:val="24"/>
        </w:rPr>
        <w:t>）冲洗路面时，应压茬冲洗交接处不断茬，由路面中心向右侧路沿依次压茬冲洗；</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360" w:firstLineChars="150"/>
        <w:jc w:val="both"/>
        <w:textAlignment w:val="auto"/>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6</w:t>
      </w:r>
      <w:r>
        <w:rPr>
          <w:rFonts w:hint="eastAsia" w:ascii="宋体" w:hAnsi="宋体" w:eastAsia="宋体" w:cs="宋体"/>
          <w:sz w:val="24"/>
          <w:szCs w:val="24"/>
        </w:rPr>
        <w:t>）遇有障碍物（如车辆等）时应缩短障碍前后冲洗距离，前后距离不应超过15米。</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360" w:firstLineChars="150"/>
        <w:jc w:val="both"/>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w:t>
      </w:r>
      <w:r>
        <w:rPr>
          <w:rFonts w:hint="eastAsia" w:ascii="宋体" w:hAnsi="宋体" w:eastAsia="宋体" w:cs="宋体"/>
          <w:sz w:val="24"/>
          <w:szCs w:val="24"/>
          <w:highlight w:val="none"/>
          <w:lang w:val="en-US" w:eastAsia="zh-CN"/>
        </w:rPr>
        <w:t>7</w:t>
      </w:r>
      <w:r>
        <w:rPr>
          <w:rFonts w:hint="eastAsia" w:ascii="宋体" w:hAnsi="宋体" w:eastAsia="宋体" w:cs="宋体"/>
          <w:sz w:val="24"/>
          <w:szCs w:val="24"/>
          <w:highlight w:val="none"/>
        </w:rPr>
        <w:t>）机械化清扫车和洒水车驾驶员在工作过程中，要遵守道路交通安全法，礼让行车，注意行人的安全。</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firstLine="361" w:firstLineChars="150"/>
        <w:jc w:val="both"/>
        <w:textAlignment w:val="auto"/>
        <w:rPr>
          <w:rFonts w:hint="eastAsia" w:ascii="宋体" w:hAnsi="宋体" w:eastAsia="宋体" w:cs="宋体"/>
          <w:sz w:val="24"/>
          <w:szCs w:val="24"/>
        </w:rPr>
      </w:pPr>
      <w:r>
        <w:rPr>
          <w:rStyle w:val="10"/>
          <w:rFonts w:hint="eastAsia" w:ascii="宋体" w:hAnsi="宋体" w:eastAsia="宋体" w:cs="宋体"/>
          <w:sz w:val="24"/>
          <w:szCs w:val="24"/>
        </w:rPr>
        <w:t>E、机械冲洗质量标准：</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firstLine="360" w:firstLineChars="150"/>
        <w:jc w:val="both"/>
        <w:textAlignment w:val="auto"/>
        <w:rPr>
          <w:rFonts w:hint="eastAsia" w:ascii="宋体" w:hAnsi="宋体" w:eastAsia="宋体" w:cs="宋体"/>
          <w:sz w:val="24"/>
          <w:szCs w:val="24"/>
        </w:rPr>
      </w:pPr>
      <w:r>
        <w:rPr>
          <w:rFonts w:hint="eastAsia" w:ascii="宋体" w:hAnsi="宋体" w:eastAsia="宋体" w:cs="宋体"/>
          <w:sz w:val="24"/>
          <w:szCs w:val="24"/>
        </w:rPr>
        <w:t>（1）冲洗作业后的道路路面基本达到无废弃物积存，地面交通标志清晰，隔离墩下无泥沙，干净整洁。污物冲洗洗距路沿不超过50厘米。冲洗时水流从路沿返回不超过20厘米。</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firstLine="361" w:firstLineChars="150"/>
        <w:jc w:val="both"/>
        <w:textAlignment w:val="auto"/>
        <w:rPr>
          <w:rFonts w:hint="eastAsia" w:ascii="宋体" w:hAnsi="宋体" w:eastAsia="宋体" w:cs="宋体"/>
          <w:sz w:val="24"/>
          <w:szCs w:val="24"/>
        </w:rPr>
      </w:pPr>
      <w:r>
        <w:rPr>
          <w:rStyle w:val="10"/>
          <w:rFonts w:hint="eastAsia" w:ascii="宋体" w:hAnsi="宋体" w:eastAsia="宋体" w:cs="宋体"/>
          <w:sz w:val="24"/>
          <w:szCs w:val="24"/>
        </w:rPr>
        <w:t>F、机械清扫作业要求：</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firstLine="360" w:firstLineChars="150"/>
        <w:jc w:val="both"/>
        <w:textAlignment w:val="auto"/>
        <w:rPr>
          <w:rFonts w:hint="eastAsia" w:ascii="宋体" w:hAnsi="宋体" w:eastAsia="宋体" w:cs="宋体"/>
          <w:sz w:val="24"/>
          <w:szCs w:val="24"/>
        </w:rPr>
      </w:pPr>
      <w:r>
        <w:rPr>
          <w:rFonts w:hint="eastAsia" w:ascii="宋体" w:hAnsi="宋体" w:eastAsia="宋体" w:cs="宋体"/>
          <w:sz w:val="24"/>
          <w:szCs w:val="24"/>
        </w:rPr>
        <w:t>（1）清扫作业前，驾驶员先启动各清扫工作装置，并下车检查各清扫工作装置运行是否正常；驾驶员要根据实际路况调整相应的扫盘角度和选择适当的扫盘转速，每个扫盘要达到8~13支扫刷压地，同时根据扫毛长短适时进行调整高度：清洗机扫一体必须检查高压喷头冲水情况是否正常；</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firstLine="360" w:firstLineChars="150"/>
        <w:jc w:val="both"/>
        <w:textAlignment w:val="auto"/>
        <w:rPr>
          <w:rFonts w:hint="eastAsia" w:ascii="宋体" w:hAnsi="宋体" w:eastAsia="宋体" w:cs="宋体"/>
          <w:sz w:val="24"/>
          <w:szCs w:val="24"/>
        </w:rPr>
      </w:pPr>
      <w:r>
        <w:rPr>
          <w:rFonts w:hint="eastAsia" w:ascii="宋体" w:hAnsi="宋体" w:eastAsia="宋体" w:cs="宋体"/>
          <w:sz w:val="24"/>
          <w:szCs w:val="24"/>
        </w:rPr>
        <w:t>（2）在机扫过程中，扫毛应压地挨近路沿、花圃围沿边和交通隔离栏底座清扫，做到不丢段、漏段；</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firstLine="360" w:firstLineChars="150"/>
        <w:jc w:val="both"/>
        <w:textAlignment w:val="auto"/>
        <w:rPr>
          <w:rFonts w:hint="eastAsia" w:ascii="宋体" w:hAnsi="宋体" w:eastAsia="宋体" w:cs="宋体"/>
          <w:sz w:val="24"/>
          <w:szCs w:val="24"/>
          <w:lang w:eastAsia="zh-CN"/>
        </w:rPr>
      </w:pPr>
      <w:r>
        <w:rPr>
          <w:rFonts w:hint="eastAsia" w:ascii="宋体" w:hAnsi="宋体" w:eastAsia="宋体" w:cs="宋体"/>
          <w:sz w:val="24"/>
          <w:szCs w:val="24"/>
        </w:rPr>
        <w:t>（3）扫路车部分路段车行道条件受限的由人工负责清扫</w:t>
      </w:r>
      <w:r>
        <w:rPr>
          <w:rFonts w:hint="eastAsia" w:ascii="宋体" w:hAnsi="宋体" w:cs="宋体"/>
          <w:sz w:val="24"/>
          <w:szCs w:val="24"/>
          <w:lang w:eastAsia="zh-CN"/>
        </w:rPr>
        <w:t>。</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firstLine="361" w:firstLineChars="150"/>
        <w:jc w:val="both"/>
        <w:textAlignment w:val="auto"/>
        <w:rPr>
          <w:rFonts w:hint="eastAsia" w:ascii="宋体" w:hAnsi="宋体" w:eastAsia="宋体" w:cs="宋体"/>
          <w:sz w:val="24"/>
          <w:szCs w:val="24"/>
        </w:rPr>
      </w:pPr>
      <w:r>
        <w:rPr>
          <w:rStyle w:val="10"/>
          <w:rFonts w:hint="eastAsia" w:ascii="宋体" w:hAnsi="宋体" w:eastAsia="宋体" w:cs="宋体"/>
          <w:sz w:val="24"/>
          <w:szCs w:val="24"/>
        </w:rPr>
        <w:t>G、机械清扫质量标准：</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firstLine="360" w:firstLineChars="150"/>
        <w:jc w:val="both"/>
        <w:textAlignment w:val="auto"/>
        <w:rPr>
          <w:rFonts w:hint="eastAsia" w:ascii="宋体" w:hAnsi="宋体" w:eastAsia="宋体" w:cs="宋体"/>
          <w:sz w:val="24"/>
          <w:szCs w:val="24"/>
        </w:rPr>
      </w:pPr>
      <w:r>
        <w:rPr>
          <w:rFonts w:hint="eastAsia" w:ascii="宋体" w:hAnsi="宋体" w:eastAsia="宋体" w:cs="宋体"/>
          <w:sz w:val="24"/>
          <w:szCs w:val="24"/>
        </w:rPr>
        <w:t>（1）道路路面见本色，路牙无污水、无沙土，不能出现垃圾散花和滴漏拖带及各种废弃物</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firstLine="361" w:firstLineChars="150"/>
        <w:jc w:val="both"/>
        <w:textAlignment w:val="auto"/>
        <w:rPr>
          <w:rFonts w:hint="eastAsia" w:ascii="宋体" w:hAnsi="宋体" w:eastAsia="宋体" w:cs="宋体"/>
          <w:sz w:val="24"/>
          <w:szCs w:val="24"/>
        </w:rPr>
      </w:pPr>
      <w:r>
        <w:rPr>
          <w:rStyle w:val="10"/>
          <w:rFonts w:hint="eastAsia" w:ascii="宋体" w:hAnsi="宋体" w:eastAsia="宋体" w:cs="宋体"/>
          <w:sz w:val="24"/>
          <w:szCs w:val="24"/>
        </w:rPr>
        <w:t>H、机械洒水降尘作业：</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firstLine="360" w:firstLineChars="150"/>
        <w:jc w:val="both"/>
        <w:textAlignment w:val="auto"/>
        <w:rPr>
          <w:rFonts w:hint="eastAsia" w:ascii="宋体" w:hAnsi="宋体" w:eastAsia="宋体" w:cs="宋体"/>
          <w:sz w:val="24"/>
          <w:szCs w:val="24"/>
        </w:rPr>
      </w:pPr>
      <w:r>
        <w:rPr>
          <w:rFonts w:hint="eastAsia" w:ascii="宋体" w:hAnsi="宋体" w:eastAsia="宋体" w:cs="宋体"/>
          <w:sz w:val="24"/>
          <w:szCs w:val="24"/>
        </w:rPr>
        <w:t>（1）洒水降尘时速控制在每小时低于15公里；</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firstLine="360" w:firstLineChars="150"/>
        <w:jc w:val="both"/>
        <w:textAlignment w:val="auto"/>
        <w:rPr>
          <w:rFonts w:hint="eastAsia" w:ascii="宋体" w:hAnsi="宋体" w:eastAsia="宋体" w:cs="宋体"/>
          <w:sz w:val="24"/>
          <w:szCs w:val="24"/>
        </w:rPr>
      </w:pPr>
      <w:r>
        <w:rPr>
          <w:rFonts w:hint="eastAsia" w:ascii="宋体" w:hAnsi="宋体" w:eastAsia="宋体" w:cs="宋体"/>
          <w:sz w:val="24"/>
          <w:szCs w:val="24"/>
        </w:rPr>
        <w:t>（2）洒水降尘作业使用高压水车。作业时前、后下喷头打开，水喷射成雾状。</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firstLine="361" w:firstLineChars="150"/>
        <w:jc w:val="both"/>
        <w:textAlignment w:val="auto"/>
        <w:rPr>
          <w:rFonts w:hint="eastAsia" w:ascii="宋体" w:hAnsi="宋体" w:eastAsia="宋体" w:cs="宋体"/>
          <w:sz w:val="24"/>
          <w:szCs w:val="24"/>
        </w:rPr>
      </w:pPr>
      <w:r>
        <w:rPr>
          <w:rStyle w:val="10"/>
          <w:rFonts w:hint="eastAsia" w:ascii="宋体" w:hAnsi="宋体" w:eastAsia="宋体" w:cs="宋体"/>
          <w:sz w:val="24"/>
          <w:szCs w:val="24"/>
        </w:rPr>
        <w:t>I、机械洒水质量标准：</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firstLine="360" w:firstLineChars="150"/>
        <w:jc w:val="both"/>
        <w:textAlignment w:val="auto"/>
        <w:rPr>
          <w:rFonts w:hint="eastAsia" w:ascii="宋体" w:hAnsi="宋体" w:eastAsia="宋体" w:cs="宋体"/>
          <w:sz w:val="24"/>
          <w:szCs w:val="24"/>
        </w:rPr>
      </w:pPr>
      <w:r>
        <w:rPr>
          <w:rFonts w:hint="eastAsia" w:ascii="宋体" w:hAnsi="宋体" w:eastAsia="宋体" w:cs="宋体"/>
          <w:sz w:val="24"/>
          <w:szCs w:val="24"/>
        </w:rPr>
        <w:t>（1）洒水作业后确保路面湿度在一小时以上，洒水降尘应均衡水量，路面应达到见潮不见水流的效果。</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firstLine="361" w:firstLineChars="150"/>
        <w:jc w:val="both"/>
        <w:textAlignment w:val="auto"/>
        <w:rPr>
          <w:rFonts w:hint="eastAsia" w:ascii="宋体" w:hAnsi="宋体" w:eastAsia="宋体" w:cs="宋体"/>
          <w:sz w:val="24"/>
          <w:szCs w:val="24"/>
        </w:rPr>
      </w:pPr>
      <w:r>
        <w:rPr>
          <w:rStyle w:val="10"/>
          <w:rFonts w:hint="eastAsia" w:ascii="宋体" w:hAnsi="宋体" w:eastAsia="宋体" w:cs="宋体"/>
          <w:sz w:val="24"/>
          <w:szCs w:val="24"/>
        </w:rPr>
        <w:t>J、清洗护栏工作标准：</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firstLine="360" w:firstLineChars="150"/>
        <w:jc w:val="both"/>
        <w:textAlignment w:val="auto"/>
        <w:rPr>
          <w:rFonts w:hint="eastAsia" w:ascii="宋体" w:hAnsi="宋体" w:eastAsia="宋体" w:cs="宋体"/>
          <w:sz w:val="24"/>
          <w:szCs w:val="24"/>
        </w:rPr>
      </w:pPr>
      <w:r>
        <w:rPr>
          <w:rFonts w:hint="eastAsia" w:ascii="宋体" w:hAnsi="宋体" w:eastAsia="宋体" w:cs="宋体"/>
          <w:sz w:val="24"/>
          <w:szCs w:val="24"/>
        </w:rPr>
        <w:t>（1）护栏清洗必须达到目测无污痕，擦拭无污垢，秩序整齐划一标准。</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firstLine="361" w:firstLineChars="150"/>
        <w:jc w:val="both"/>
        <w:textAlignment w:val="auto"/>
        <w:rPr>
          <w:rFonts w:hint="eastAsia" w:ascii="宋体" w:hAnsi="宋体" w:eastAsia="宋体" w:cs="宋体"/>
          <w:sz w:val="24"/>
          <w:szCs w:val="24"/>
        </w:rPr>
      </w:pPr>
      <w:r>
        <w:rPr>
          <w:rStyle w:val="10"/>
          <w:rFonts w:hint="eastAsia" w:ascii="宋体" w:hAnsi="宋体" w:eastAsia="宋体" w:cs="宋体"/>
          <w:sz w:val="24"/>
          <w:szCs w:val="24"/>
        </w:rPr>
        <w:t>L、清洗护栏作业时间：</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firstLine="360" w:firstLineChars="150"/>
        <w:jc w:val="both"/>
        <w:textAlignment w:val="auto"/>
        <w:rPr>
          <w:rFonts w:hint="eastAsia" w:ascii="宋体" w:hAnsi="宋体" w:eastAsia="宋体" w:cs="宋体"/>
          <w:sz w:val="24"/>
          <w:szCs w:val="24"/>
        </w:rPr>
      </w:pPr>
      <w:r>
        <w:rPr>
          <w:rFonts w:hint="eastAsia" w:ascii="宋体" w:hAnsi="宋体" w:eastAsia="宋体" w:cs="宋体"/>
          <w:sz w:val="24"/>
          <w:szCs w:val="24"/>
        </w:rPr>
        <w:t>（1）辖区道路护栏符合车洗条件的，一周定时清洗一次，清洗保洁作业时间尽量错过交通高峰时间段进行，遇旅游旺季和重大活动、节假日，护栏要随时保持清洁</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firstLine="360" w:firstLineChars="150"/>
        <w:jc w:val="both"/>
        <w:textAlignment w:val="auto"/>
        <w:rPr>
          <w:rFonts w:hint="eastAsia" w:ascii="宋体" w:hAnsi="宋体" w:eastAsia="宋体" w:cs="宋体"/>
          <w:sz w:val="24"/>
          <w:szCs w:val="24"/>
        </w:rPr>
      </w:pPr>
      <w:r>
        <w:rPr>
          <w:rFonts w:hint="eastAsia" w:ascii="宋体" w:hAnsi="宋体" w:eastAsia="宋体" w:cs="宋体"/>
          <w:sz w:val="24"/>
          <w:szCs w:val="24"/>
        </w:rPr>
        <w:t>（2）不具备车洗条件的道路护栏，采取人工作业，定期清洁。</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firstLine="361" w:firstLineChars="150"/>
        <w:jc w:val="both"/>
        <w:textAlignment w:val="auto"/>
        <w:rPr>
          <w:rFonts w:hint="eastAsia" w:ascii="宋体" w:hAnsi="宋体" w:eastAsia="宋体" w:cs="宋体"/>
          <w:sz w:val="24"/>
          <w:szCs w:val="24"/>
        </w:rPr>
      </w:pPr>
      <w:r>
        <w:rPr>
          <w:rStyle w:val="10"/>
          <w:rFonts w:hint="eastAsia" w:ascii="宋体" w:hAnsi="宋体" w:eastAsia="宋体" w:cs="宋体"/>
          <w:sz w:val="24"/>
          <w:szCs w:val="24"/>
          <w:lang w:val="en-US" w:eastAsia="zh-CN"/>
        </w:rPr>
        <w:t>1.4二</w:t>
      </w:r>
      <w:r>
        <w:rPr>
          <w:rStyle w:val="10"/>
          <w:rFonts w:hint="eastAsia" w:ascii="宋体" w:hAnsi="宋体" w:cs="宋体"/>
          <w:sz w:val="24"/>
          <w:szCs w:val="24"/>
          <w:lang w:val="en-US" w:eastAsia="zh-CN"/>
        </w:rPr>
        <w:t>级</w:t>
      </w:r>
      <w:r>
        <w:rPr>
          <w:rStyle w:val="10"/>
          <w:rFonts w:hint="eastAsia" w:ascii="宋体" w:hAnsi="宋体" w:eastAsia="宋体" w:cs="宋体"/>
          <w:sz w:val="24"/>
          <w:szCs w:val="24"/>
        </w:rPr>
        <w:t>作业要求与质量标准</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firstLine="361" w:firstLineChars="150"/>
        <w:jc w:val="both"/>
        <w:textAlignment w:val="auto"/>
        <w:rPr>
          <w:rStyle w:val="10"/>
          <w:rFonts w:hint="eastAsia" w:ascii="宋体" w:hAnsi="宋体" w:eastAsia="宋体" w:cs="宋体"/>
          <w:color w:val="000000"/>
          <w:sz w:val="24"/>
          <w:szCs w:val="24"/>
        </w:rPr>
      </w:pPr>
      <w:r>
        <w:rPr>
          <w:rStyle w:val="10"/>
          <w:rFonts w:hint="eastAsia" w:ascii="宋体" w:hAnsi="宋体" w:eastAsia="宋体" w:cs="宋体"/>
          <w:color w:val="000000"/>
          <w:sz w:val="24"/>
          <w:szCs w:val="24"/>
        </w:rPr>
        <w:t>A、清扫等级、作业时间安排：</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firstLine="360" w:firstLineChars="150"/>
        <w:jc w:val="both"/>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eastAsia="zh-CN"/>
        </w:rPr>
        <w:t>（</w:t>
      </w:r>
      <w:r>
        <w:rPr>
          <w:rFonts w:hint="eastAsia" w:ascii="宋体" w:hAnsi="宋体" w:eastAsia="宋体" w:cs="宋体"/>
          <w:color w:val="000000"/>
          <w:sz w:val="24"/>
          <w:szCs w:val="24"/>
          <w:highlight w:val="none"/>
          <w:lang w:val="en-US" w:eastAsia="zh-CN"/>
        </w:rPr>
        <w:t>1</w:t>
      </w:r>
      <w:r>
        <w:rPr>
          <w:rFonts w:hint="eastAsia" w:ascii="宋体" w:hAnsi="宋体" w:eastAsia="宋体" w:cs="宋体"/>
          <w:color w:val="000000"/>
          <w:sz w:val="24"/>
          <w:szCs w:val="24"/>
          <w:highlight w:val="none"/>
          <w:lang w:eastAsia="zh-CN"/>
        </w:rPr>
        <w:t>）</w:t>
      </w:r>
      <w:r>
        <w:rPr>
          <w:rFonts w:hint="eastAsia" w:ascii="宋体" w:hAnsi="宋体" w:eastAsia="宋体" w:cs="宋体"/>
          <w:color w:val="000000"/>
          <w:sz w:val="24"/>
          <w:szCs w:val="24"/>
          <w:highlight w:val="none"/>
          <w:lang w:val="en-US" w:eastAsia="zh-CN"/>
        </w:rPr>
        <w:t>划分依据：城区商业网点较为集中路段；公共娱乐场所所在路段。</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firstLine="360" w:firstLineChars="150"/>
        <w:jc w:val="both"/>
        <w:textAlignment w:val="auto"/>
        <w:rPr>
          <w:rFonts w:hint="eastAsia" w:ascii="宋体" w:hAnsi="宋体" w:eastAsia="宋体" w:cs="宋体"/>
          <w:color w:val="000000"/>
          <w:sz w:val="24"/>
          <w:szCs w:val="24"/>
          <w:highlight w:val="none"/>
          <w:lang w:eastAsia="zh-CN"/>
        </w:rPr>
      </w:pPr>
      <w:r>
        <w:rPr>
          <w:rFonts w:hint="eastAsia" w:ascii="宋体" w:hAnsi="宋体" w:eastAsia="宋体" w:cs="宋体"/>
          <w:color w:val="000000"/>
          <w:sz w:val="24"/>
          <w:szCs w:val="24"/>
          <w:highlight w:val="none"/>
        </w:rPr>
        <w:t>（</w:t>
      </w:r>
      <w:r>
        <w:rPr>
          <w:rFonts w:hint="eastAsia" w:ascii="宋体" w:hAnsi="宋体" w:eastAsia="宋体" w:cs="宋体"/>
          <w:color w:val="000000"/>
          <w:sz w:val="24"/>
          <w:szCs w:val="24"/>
          <w:highlight w:val="none"/>
          <w:lang w:val="en-US" w:eastAsia="zh-CN"/>
        </w:rPr>
        <w:t>2</w:t>
      </w:r>
      <w:r>
        <w:rPr>
          <w:rFonts w:hint="eastAsia" w:ascii="宋体" w:hAnsi="宋体" w:eastAsia="宋体" w:cs="宋体"/>
          <w:color w:val="000000"/>
          <w:sz w:val="24"/>
          <w:szCs w:val="24"/>
          <w:highlight w:val="none"/>
        </w:rPr>
        <w:t>）清扫保洁等级划分为</w:t>
      </w:r>
      <w:r>
        <w:rPr>
          <w:rFonts w:hint="eastAsia" w:ascii="宋体" w:hAnsi="宋体" w:cs="宋体"/>
          <w:color w:val="000000"/>
          <w:sz w:val="24"/>
          <w:szCs w:val="24"/>
          <w:highlight w:val="none"/>
          <w:lang w:eastAsia="zh-CN"/>
        </w:rPr>
        <w:t>二</w:t>
      </w:r>
      <w:r>
        <w:rPr>
          <w:rFonts w:hint="eastAsia" w:ascii="宋体" w:hAnsi="宋体" w:eastAsia="宋体" w:cs="宋体"/>
          <w:color w:val="000000"/>
          <w:sz w:val="24"/>
          <w:szCs w:val="24"/>
          <w:highlight w:val="none"/>
        </w:rPr>
        <w:t>级，</w:t>
      </w:r>
      <w:r>
        <w:rPr>
          <w:rFonts w:hint="eastAsia" w:ascii="宋体" w:hAnsi="宋体" w:cs="宋体"/>
          <w:color w:val="000000"/>
          <w:sz w:val="24"/>
          <w:szCs w:val="24"/>
          <w:highlight w:val="none"/>
          <w:lang w:eastAsia="zh-CN"/>
        </w:rPr>
        <w:t>二</w:t>
      </w:r>
      <w:r>
        <w:rPr>
          <w:rFonts w:hint="eastAsia" w:ascii="宋体" w:hAnsi="宋体" w:eastAsia="宋体" w:cs="宋体"/>
          <w:color w:val="000000"/>
          <w:sz w:val="24"/>
          <w:szCs w:val="24"/>
          <w:highlight w:val="none"/>
          <w:lang w:eastAsia="zh-CN"/>
        </w:rPr>
        <w:t>级</w:t>
      </w:r>
      <w:r>
        <w:rPr>
          <w:rFonts w:hint="eastAsia" w:ascii="宋体" w:hAnsi="宋体" w:eastAsia="宋体" w:cs="宋体"/>
          <w:color w:val="000000"/>
          <w:sz w:val="24"/>
          <w:szCs w:val="24"/>
          <w:highlight w:val="none"/>
        </w:rPr>
        <w:t>道路作业时间为1</w:t>
      </w:r>
      <w:r>
        <w:rPr>
          <w:rFonts w:hint="eastAsia" w:ascii="宋体" w:hAnsi="宋体" w:cs="宋体"/>
          <w:color w:val="000000"/>
          <w:sz w:val="24"/>
          <w:szCs w:val="24"/>
          <w:highlight w:val="none"/>
          <w:lang w:val="en-US" w:eastAsia="zh-CN"/>
        </w:rPr>
        <w:t>7</w:t>
      </w:r>
      <w:r>
        <w:rPr>
          <w:rFonts w:hint="eastAsia" w:ascii="宋体" w:hAnsi="宋体" w:eastAsia="宋体" w:cs="宋体"/>
          <w:color w:val="000000"/>
          <w:sz w:val="24"/>
          <w:szCs w:val="24"/>
          <w:highlight w:val="none"/>
          <w:lang w:val="en-US" w:eastAsia="zh-CN"/>
        </w:rPr>
        <w:t>个</w:t>
      </w:r>
      <w:r>
        <w:rPr>
          <w:rFonts w:hint="eastAsia" w:ascii="宋体" w:hAnsi="宋体" w:eastAsia="宋体" w:cs="宋体"/>
          <w:color w:val="000000"/>
          <w:sz w:val="24"/>
          <w:szCs w:val="24"/>
          <w:highlight w:val="none"/>
        </w:rPr>
        <w:t>小时以上；</w:t>
      </w:r>
      <w:r>
        <w:rPr>
          <w:rFonts w:hint="eastAsia" w:ascii="宋体" w:hAnsi="宋体" w:eastAsia="宋体" w:cs="宋体"/>
          <w:color w:val="000000"/>
          <w:sz w:val="24"/>
          <w:szCs w:val="24"/>
          <w:highlight w:val="none"/>
          <w:lang w:eastAsia="zh-CN"/>
        </w:rPr>
        <w:t>春夏季</w:t>
      </w:r>
      <w:r>
        <w:rPr>
          <w:rFonts w:hint="eastAsia" w:ascii="宋体" w:hAnsi="宋体" w:eastAsia="宋体" w:cs="宋体"/>
          <w:color w:val="000000"/>
          <w:sz w:val="24"/>
          <w:szCs w:val="24"/>
          <w:highlight w:val="none"/>
          <w:lang w:val="en-US" w:eastAsia="zh-CN"/>
        </w:rPr>
        <w:t>5：</w:t>
      </w:r>
      <w:r>
        <w:rPr>
          <w:rFonts w:hint="eastAsia" w:ascii="宋体" w:hAnsi="宋体" w:cs="宋体"/>
          <w:color w:val="000000"/>
          <w:sz w:val="24"/>
          <w:szCs w:val="24"/>
          <w:highlight w:val="none"/>
          <w:lang w:val="en-US" w:eastAsia="zh-CN"/>
        </w:rPr>
        <w:t>3</w:t>
      </w:r>
      <w:r>
        <w:rPr>
          <w:rFonts w:hint="eastAsia" w:ascii="宋体" w:hAnsi="宋体" w:eastAsia="宋体" w:cs="宋体"/>
          <w:color w:val="000000"/>
          <w:sz w:val="24"/>
          <w:szCs w:val="24"/>
          <w:highlight w:val="none"/>
          <w:lang w:val="en-US" w:eastAsia="zh-CN"/>
        </w:rPr>
        <w:t>0-2</w:t>
      </w:r>
      <w:r>
        <w:rPr>
          <w:rFonts w:hint="eastAsia" w:ascii="宋体" w:hAnsi="宋体" w:cs="宋体"/>
          <w:color w:val="000000"/>
          <w:sz w:val="24"/>
          <w:szCs w:val="24"/>
          <w:highlight w:val="none"/>
          <w:lang w:val="en-US" w:eastAsia="zh-CN"/>
        </w:rPr>
        <w:t>2</w:t>
      </w:r>
      <w:r>
        <w:rPr>
          <w:rFonts w:hint="eastAsia" w:ascii="宋体" w:hAnsi="宋体" w:eastAsia="宋体" w:cs="宋体"/>
          <w:color w:val="000000"/>
          <w:sz w:val="24"/>
          <w:szCs w:val="24"/>
          <w:highlight w:val="none"/>
          <w:lang w:val="en-US" w:eastAsia="zh-CN"/>
        </w:rPr>
        <w:t>：</w:t>
      </w:r>
      <w:r>
        <w:rPr>
          <w:rFonts w:hint="eastAsia" w:ascii="宋体" w:hAnsi="宋体" w:cs="宋体"/>
          <w:color w:val="000000"/>
          <w:sz w:val="24"/>
          <w:szCs w:val="24"/>
          <w:highlight w:val="none"/>
          <w:lang w:val="en-US" w:eastAsia="zh-CN"/>
        </w:rPr>
        <w:t>3</w:t>
      </w:r>
      <w:r>
        <w:rPr>
          <w:rFonts w:hint="eastAsia" w:ascii="宋体" w:hAnsi="宋体" w:eastAsia="宋体" w:cs="宋体"/>
          <w:color w:val="000000"/>
          <w:sz w:val="24"/>
          <w:szCs w:val="24"/>
          <w:highlight w:val="none"/>
          <w:lang w:val="en-US" w:eastAsia="zh-CN"/>
        </w:rPr>
        <w:t>0；秋冬季作业时间</w:t>
      </w:r>
      <w:r>
        <w:rPr>
          <w:rFonts w:hint="eastAsia" w:ascii="宋体" w:hAnsi="宋体" w:cs="宋体"/>
          <w:color w:val="000000"/>
          <w:sz w:val="24"/>
          <w:szCs w:val="24"/>
          <w:highlight w:val="none"/>
          <w:lang w:val="en-US" w:eastAsia="zh-CN"/>
        </w:rPr>
        <w:t>5</w:t>
      </w:r>
      <w:r>
        <w:rPr>
          <w:rFonts w:hint="eastAsia" w:ascii="宋体" w:hAnsi="宋体" w:eastAsia="宋体" w:cs="宋体"/>
          <w:color w:val="000000"/>
          <w:sz w:val="24"/>
          <w:szCs w:val="24"/>
          <w:highlight w:val="none"/>
          <w:lang w:val="en-US" w:eastAsia="zh-CN"/>
        </w:rPr>
        <w:t>：00-2</w:t>
      </w:r>
      <w:r>
        <w:rPr>
          <w:rFonts w:hint="eastAsia" w:ascii="宋体" w:hAnsi="宋体" w:cs="宋体"/>
          <w:color w:val="000000"/>
          <w:sz w:val="24"/>
          <w:szCs w:val="24"/>
          <w:highlight w:val="none"/>
          <w:lang w:val="en-US" w:eastAsia="zh-CN"/>
        </w:rPr>
        <w:t>2</w:t>
      </w:r>
      <w:r>
        <w:rPr>
          <w:rFonts w:hint="eastAsia" w:ascii="宋体" w:hAnsi="宋体" w:eastAsia="宋体" w:cs="宋体"/>
          <w:color w:val="000000"/>
          <w:sz w:val="24"/>
          <w:szCs w:val="24"/>
          <w:highlight w:val="none"/>
          <w:lang w:val="en-US" w:eastAsia="zh-CN"/>
        </w:rPr>
        <w:t>：</w:t>
      </w:r>
      <w:r>
        <w:rPr>
          <w:rFonts w:hint="eastAsia" w:ascii="宋体" w:hAnsi="宋体" w:cs="宋体"/>
          <w:color w:val="000000"/>
          <w:sz w:val="24"/>
          <w:szCs w:val="24"/>
          <w:highlight w:val="none"/>
          <w:lang w:val="en-US" w:eastAsia="zh-CN"/>
        </w:rPr>
        <w:t>0</w:t>
      </w:r>
      <w:r>
        <w:rPr>
          <w:rFonts w:hint="eastAsia" w:ascii="宋体" w:hAnsi="宋体" w:eastAsia="宋体" w:cs="宋体"/>
          <w:color w:val="000000"/>
          <w:sz w:val="24"/>
          <w:szCs w:val="24"/>
          <w:highlight w:val="none"/>
          <w:lang w:val="en-US" w:eastAsia="zh-CN"/>
        </w:rPr>
        <w:t>0；早上</w:t>
      </w:r>
      <w:r>
        <w:rPr>
          <w:rFonts w:hint="eastAsia" w:ascii="宋体" w:hAnsi="宋体" w:eastAsia="宋体" w:cs="宋体"/>
          <w:color w:val="000000"/>
          <w:sz w:val="24"/>
          <w:szCs w:val="24"/>
          <w:highlight w:val="none"/>
        </w:rPr>
        <w:t>6：30前</w:t>
      </w:r>
      <w:r>
        <w:rPr>
          <w:rFonts w:hint="eastAsia" w:ascii="宋体" w:hAnsi="宋体" w:eastAsia="宋体" w:cs="宋体"/>
          <w:color w:val="000000"/>
          <w:sz w:val="24"/>
          <w:szCs w:val="24"/>
          <w:highlight w:val="none"/>
          <w:lang w:eastAsia="zh-CN"/>
        </w:rPr>
        <w:t>、</w:t>
      </w:r>
      <w:r>
        <w:rPr>
          <w:rFonts w:hint="eastAsia" w:ascii="宋体" w:hAnsi="宋体" w:eastAsia="宋体" w:cs="宋体"/>
          <w:color w:val="000000"/>
          <w:sz w:val="24"/>
          <w:szCs w:val="24"/>
          <w:highlight w:val="none"/>
          <w:lang w:val="en-US" w:eastAsia="zh-CN"/>
        </w:rPr>
        <w:t>下午2:30前普</w:t>
      </w:r>
      <w:r>
        <w:rPr>
          <w:rFonts w:hint="eastAsia" w:ascii="宋体" w:hAnsi="宋体" w:eastAsia="宋体" w:cs="宋体"/>
          <w:color w:val="000000"/>
          <w:sz w:val="24"/>
          <w:szCs w:val="24"/>
          <w:highlight w:val="none"/>
        </w:rPr>
        <w:t>扫结束，</w:t>
      </w:r>
      <w:r>
        <w:rPr>
          <w:rFonts w:hint="eastAsia" w:ascii="宋体" w:hAnsi="宋体" w:eastAsia="宋体" w:cs="宋体"/>
          <w:color w:val="000000"/>
          <w:sz w:val="24"/>
          <w:szCs w:val="24"/>
          <w:highlight w:val="none"/>
          <w:lang w:eastAsia="zh-CN"/>
        </w:rPr>
        <w:t>其余时间</w:t>
      </w:r>
      <w:r>
        <w:rPr>
          <w:rFonts w:hint="eastAsia" w:ascii="宋体" w:hAnsi="宋体" w:eastAsia="宋体" w:cs="宋体"/>
          <w:color w:val="000000"/>
          <w:sz w:val="24"/>
          <w:szCs w:val="24"/>
          <w:highlight w:val="none"/>
        </w:rPr>
        <w:t>巡回保洁</w:t>
      </w:r>
      <w:r>
        <w:rPr>
          <w:rFonts w:hint="eastAsia" w:ascii="宋体" w:hAnsi="宋体" w:eastAsia="宋体" w:cs="宋体"/>
          <w:color w:val="000000"/>
          <w:sz w:val="24"/>
          <w:szCs w:val="24"/>
          <w:highlight w:val="none"/>
          <w:lang w:eastAsia="zh-CN"/>
        </w:rPr>
        <w:t>。</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firstLine="361" w:firstLineChars="150"/>
        <w:jc w:val="both"/>
        <w:textAlignment w:val="auto"/>
        <w:rPr>
          <w:rStyle w:val="10"/>
          <w:rFonts w:hint="eastAsia" w:ascii="宋体" w:hAnsi="宋体" w:eastAsia="宋体" w:cs="宋体"/>
          <w:color w:val="000000"/>
          <w:sz w:val="24"/>
          <w:szCs w:val="24"/>
          <w:highlight w:val="none"/>
        </w:rPr>
      </w:pPr>
      <w:r>
        <w:rPr>
          <w:rStyle w:val="10"/>
          <w:rFonts w:hint="eastAsia" w:ascii="宋体" w:hAnsi="宋体" w:eastAsia="宋体" w:cs="宋体"/>
          <w:color w:val="000000"/>
          <w:sz w:val="24"/>
          <w:szCs w:val="24"/>
          <w:highlight w:val="none"/>
        </w:rPr>
        <w:t>B、清扫保洁作业要求：</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360" w:firstLineChars="150"/>
        <w:jc w:val="both"/>
        <w:textAlignment w:val="auto"/>
        <w:rPr>
          <w:rFonts w:hint="eastAsia" w:ascii="宋体" w:hAnsi="宋体" w:eastAsia="宋体" w:cs="宋体"/>
          <w:sz w:val="24"/>
          <w:szCs w:val="24"/>
          <w:highlight w:val="none"/>
        </w:rPr>
      </w:pPr>
      <w:r>
        <w:rPr>
          <w:rFonts w:hint="eastAsia" w:ascii="宋体" w:hAnsi="宋体" w:eastAsia="宋体" w:cs="宋体"/>
          <w:color w:val="000000"/>
          <w:sz w:val="24"/>
          <w:szCs w:val="24"/>
        </w:rPr>
        <w:t>（</w:t>
      </w:r>
      <w:r>
        <w:rPr>
          <w:rFonts w:hint="eastAsia" w:ascii="宋体" w:hAnsi="宋体" w:eastAsia="宋体" w:cs="宋体"/>
          <w:color w:val="000000"/>
          <w:sz w:val="24"/>
          <w:szCs w:val="24"/>
          <w:highlight w:val="none"/>
        </w:rPr>
        <w:t>1）</w:t>
      </w:r>
      <w:r>
        <w:rPr>
          <w:rFonts w:hint="eastAsia" w:ascii="宋体" w:hAnsi="宋体" w:eastAsia="宋体" w:cs="宋体"/>
          <w:sz w:val="24"/>
          <w:szCs w:val="24"/>
          <w:highlight w:val="none"/>
        </w:rPr>
        <w:t>道路车行道宽15米以上的道路实行每日两机扫、</w:t>
      </w:r>
      <w:r>
        <w:rPr>
          <w:rFonts w:hint="eastAsia" w:ascii="宋体" w:hAnsi="宋体" w:cs="宋体"/>
          <w:sz w:val="24"/>
          <w:szCs w:val="24"/>
          <w:highlight w:val="none"/>
          <w:lang w:eastAsia="zh-CN"/>
        </w:rPr>
        <w:t>洒水</w:t>
      </w:r>
      <w:r>
        <w:rPr>
          <w:rFonts w:hint="eastAsia" w:ascii="宋体" w:hAnsi="宋体" w:eastAsia="宋体" w:cs="宋体"/>
          <w:sz w:val="24"/>
          <w:szCs w:val="24"/>
          <w:highlight w:val="none"/>
        </w:rPr>
        <w:t>降尘作业</w:t>
      </w:r>
      <w:r>
        <w:rPr>
          <w:rFonts w:hint="eastAsia" w:ascii="宋体" w:hAnsi="宋体" w:eastAsia="宋体" w:cs="宋体"/>
          <w:sz w:val="24"/>
          <w:szCs w:val="24"/>
          <w:highlight w:val="none"/>
          <w:lang w:val="en-US" w:eastAsia="zh-CN"/>
        </w:rPr>
        <w:t>每日</w:t>
      </w:r>
      <w:r>
        <w:rPr>
          <w:rFonts w:hint="eastAsia" w:ascii="宋体" w:hAnsi="宋体" w:eastAsia="宋体" w:cs="宋体"/>
          <w:sz w:val="24"/>
          <w:szCs w:val="24"/>
          <w:highlight w:val="none"/>
        </w:rPr>
        <w:t>不少于两次</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冲洗作业</w:t>
      </w:r>
      <w:r>
        <w:rPr>
          <w:rFonts w:hint="eastAsia" w:ascii="宋体" w:hAnsi="宋体" w:eastAsia="宋体" w:cs="宋体"/>
          <w:sz w:val="24"/>
          <w:szCs w:val="24"/>
          <w:highlight w:val="none"/>
          <w:lang w:val="en-US" w:eastAsia="zh-CN"/>
        </w:rPr>
        <w:t>每周</w:t>
      </w:r>
      <w:r>
        <w:rPr>
          <w:rFonts w:hint="eastAsia" w:ascii="宋体" w:hAnsi="宋体" w:eastAsia="宋体" w:cs="宋体"/>
          <w:sz w:val="24"/>
          <w:szCs w:val="24"/>
          <w:highlight w:val="none"/>
        </w:rPr>
        <w:t>不少于</w:t>
      </w:r>
      <w:r>
        <w:rPr>
          <w:rFonts w:hint="eastAsia" w:ascii="宋体" w:hAnsi="宋体" w:eastAsia="宋体" w:cs="宋体"/>
          <w:sz w:val="24"/>
          <w:szCs w:val="24"/>
          <w:highlight w:val="none"/>
          <w:lang w:val="en-US" w:eastAsia="zh-CN"/>
        </w:rPr>
        <w:t>一</w:t>
      </w:r>
      <w:r>
        <w:rPr>
          <w:rFonts w:hint="eastAsia" w:ascii="宋体" w:hAnsi="宋体" w:eastAsia="宋体" w:cs="宋体"/>
          <w:sz w:val="24"/>
          <w:szCs w:val="24"/>
          <w:highlight w:val="none"/>
        </w:rPr>
        <w:t>次</w:t>
      </w:r>
      <w:r>
        <w:rPr>
          <w:rFonts w:hint="eastAsia" w:ascii="宋体" w:hAnsi="宋体" w:eastAsia="宋体" w:cs="宋体"/>
          <w:sz w:val="24"/>
          <w:szCs w:val="24"/>
          <w:highlight w:val="none"/>
          <w:lang w:eastAsia="zh-CN"/>
        </w:rPr>
        <w:t>，</w:t>
      </w:r>
      <w:r>
        <w:rPr>
          <w:rFonts w:hint="eastAsia" w:ascii="宋体" w:hAnsi="宋体" w:eastAsia="宋体" w:cs="宋体"/>
          <w:color w:val="000000"/>
          <w:sz w:val="24"/>
          <w:szCs w:val="24"/>
          <w:highlight w:val="none"/>
        </w:rPr>
        <w:t>对于污染严重的路段，根据实际情况增加冲洗或者降尘作业次数；</w:t>
      </w:r>
      <w:r>
        <w:rPr>
          <w:rFonts w:hint="eastAsia" w:ascii="宋体" w:hAnsi="宋体" w:eastAsia="宋体" w:cs="宋体"/>
          <w:sz w:val="24"/>
          <w:szCs w:val="24"/>
          <w:highlight w:val="none"/>
        </w:rPr>
        <w:t>气温高于30℃增加洒水次数，气温低于2℃时应停止清洗和洒水</w:t>
      </w:r>
      <w:r>
        <w:rPr>
          <w:rFonts w:hint="eastAsia" w:ascii="宋体" w:hAnsi="宋体" w:eastAsia="宋体" w:cs="宋体"/>
          <w:sz w:val="24"/>
          <w:szCs w:val="24"/>
          <w:highlight w:val="none"/>
          <w:lang w:eastAsia="zh-CN"/>
        </w:rPr>
        <w:t>。</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firstLine="360" w:firstLineChars="150"/>
        <w:jc w:val="both"/>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（2）二类道路人行道冲洗每周不少于2次，路面垃圾落地不超过15分钟；</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firstLine="360" w:firstLineChars="150"/>
        <w:jc w:val="both"/>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w:t>
      </w:r>
      <w:r>
        <w:rPr>
          <w:rFonts w:hint="eastAsia" w:ascii="宋体" w:hAnsi="宋体" w:cs="宋体"/>
          <w:color w:val="000000"/>
          <w:sz w:val="24"/>
          <w:szCs w:val="24"/>
          <w:lang w:val="en-US" w:eastAsia="zh-CN"/>
        </w:rPr>
        <w:t>3</w:t>
      </w:r>
      <w:r>
        <w:rPr>
          <w:rFonts w:hint="eastAsia" w:ascii="宋体" w:hAnsi="宋体" w:eastAsia="宋体" w:cs="宋体"/>
          <w:color w:val="000000"/>
          <w:sz w:val="24"/>
          <w:szCs w:val="24"/>
        </w:rPr>
        <w:t>）道路清扫保洁面积“横到边、纵到底、墙对墙”之间的公共位置的面</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360" w:firstLineChars="150"/>
        <w:jc w:val="both"/>
        <w:textAlignment w:val="auto"/>
        <w:rPr>
          <w:rFonts w:hint="eastAsia" w:ascii="宋体" w:hAnsi="宋体" w:eastAsia="宋体" w:cs="宋体"/>
          <w:sz w:val="24"/>
          <w:szCs w:val="24"/>
          <w:highlight w:val="none"/>
        </w:rPr>
      </w:pPr>
      <w:r>
        <w:rPr>
          <w:rFonts w:hint="eastAsia" w:ascii="宋体" w:hAnsi="宋体" w:eastAsia="宋体" w:cs="宋体"/>
          <w:sz w:val="24"/>
          <w:szCs w:val="24"/>
          <w:lang w:eastAsia="zh-CN"/>
        </w:rPr>
        <w:t>（</w:t>
      </w:r>
      <w:r>
        <w:rPr>
          <w:rFonts w:hint="eastAsia" w:ascii="宋体" w:hAnsi="宋体" w:cs="宋体"/>
          <w:sz w:val="24"/>
          <w:szCs w:val="24"/>
          <w:lang w:val="en-US" w:eastAsia="zh-CN"/>
        </w:rPr>
        <w:t>4</w:t>
      </w:r>
      <w:r>
        <w:rPr>
          <w:rFonts w:hint="eastAsia" w:ascii="宋体" w:hAnsi="宋体" w:eastAsia="宋体" w:cs="宋体"/>
          <w:sz w:val="24"/>
          <w:szCs w:val="24"/>
          <w:lang w:eastAsia="zh-CN"/>
        </w:rPr>
        <w:t>）</w:t>
      </w:r>
      <w:r>
        <w:rPr>
          <w:rFonts w:hint="eastAsia" w:ascii="宋体" w:hAnsi="宋体" w:eastAsia="宋体" w:cs="宋体"/>
          <w:sz w:val="24"/>
          <w:szCs w:val="24"/>
          <w:highlight w:val="none"/>
        </w:rPr>
        <w:t>建、构筑物四周及道路周边可视区域内无废弃杂物及成堆成片垃圾和明显散落垃圾。</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360" w:firstLineChars="150"/>
        <w:jc w:val="both"/>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w:t>
      </w:r>
      <w:r>
        <w:rPr>
          <w:rFonts w:hint="eastAsia" w:ascii="宋体" w:hAnsi="宋体" w:cs="宋体"/>
          <w:sz w:val="24"/>
          <w:szCs w:val="24"/>
          <w:highlight w:val="none"/>
          <w:lang w:val="en-US" w:eastAsia="zh-CN"/>
        </w:rPr>
        <w:t>5</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及时清洗交通护栏，保持干净、整洁。</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360" w:firstLineChars="150"/>
        <w:jc w:val="both"/>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w:t>
      </w:r>
      <w:r>
        <w:rPr>
          <w:rFonts w:hint="eastAsia" w:ascii="宋体" w:hAnsi="宋体" w:cs="宋体"/>
          <w:sz w:val="24"/>
          <w:szCs w:val="24"/>
          <w:highlight w:val="none"/>
          <w:lang w:val="en-US" w:eastAsia="zh-CN"/>
        </w:rPr>
        <w:t>6</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城区生活垃圾日产日清。</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360" w:firstLineChars="150"/>
        <w:jc w:val="both"/>
        <w:textAlignment w:val="auto"/>
        <w:rPr>
          <w:rFonts w:hint="eastAsia" w:ascii="宋体" w:hAnsi="宋体" w:eastAsia="宋体" w:cs="宋体"/>
          <w:sz w:val="24"/>
          <w:szCs w:val="24"/>
          <w:highlight w:val="none"/>
        </w:rPr>
      </w:pPr>
      <w:r>
        <w:rPr>
          <w:rFonts w:hint="eastAsia" w:ascii="宋体" w:hAnsi="宋体" w:eastAsia="宋体" w:cs="宋体"/>
          <w:sz w:val="24"/>
          <w:szCs w:val="24"/>
          <w:lang w:eastAsia="zh-CN"/>
        </w:rPr>
        <w:t>（</w:t>
      </w:r>
      <w:r>
        <w:rPr>
          <w:rFonts w:hint="eastAsia" w:ascii="宋体" w:hAnsi="宋体" w:cs="宋体"/>
          <w:sz w:val="24"/>
          <w:szCs w:val="24"/>
          <w:lang w:val="en-US" w:eastAsia="zh-CN"/>
        </w:rPr>
        <w:t>7</w:t>
      </w:r>
      <w:r>
        <w:rPr>
          <w:rFonts w:hint="eastAsia" w:ascii="宋体" w:hAnsi="宋体" w:eastAsia="宋体" w:cs="宋体"/>
          <w:sz w:val="24"/>
          <w:szCs w:val="24"/>
          <w:lang w:eastAsia="zh-CN"/>
        </w:rPr>
        <w:t>）</w:t>
      </w:r>
      <w:r>
        <w:rPr>
          <w:rFonts w:hint="eastAsia" w:ascii="宋体" w:hAnsi="宋体" w:eastAsia="宋体" w:cs="宋体"/>
          <w:sz w:val="24"/>
          <w:szCs w:val="24"/>
          <w:highlight w:val="none"/>
        </w:rPr>
        <w:t>道路清扫保洁人员必须穿着反光安全工作服上岗，作业时，应按车行线反方向清扫，保洁车辆停放应地点适宜，不能太靠近车行线，车容应整洁。</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360" w:firstLineChars="150"/>
        <w:jc w:val="both"/>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w:t>
      </w:r>
      <w:r>
        <w:rPr>
          <w:rFonts w:hint="eastAsia" w:ascii="宋体" w:hAnsi="宋体" w:cs="宋体"/>
          <w:sz w:val="24"/>
          <w:szCs w:val="24"/>
          <w:highlight w:val="none"/>
          <w:lang w:val="en-US" w:eastAsia="zh-CN"/>
        </w:rPr>
        <w:t>8</w:t>
      </w:r>
      <w:r>
        <w:rPr>
          <w:rFonts w:hint="eastAsia" w:ascii="宋体" w:hAnsi="宋体" w:eastAsia="宋体" w:cs="宋体"/>
          <w:sz w:val="24"/>
          <w:szCs w:val="24"/>
          <w:highlight w:val="none"/>
        </w:rPr>
        <w:t>）道路清扫保洁人员应文明作业，不得将垃圾、污水扫到、溅到行人身上，禁止将垃圾堆放或停留在客井盖上，禁止将垃圾扫入或倒入客井、道路绿地、河道等处，必须运送到指定地点。</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360" w:firstLineChars="150"/>
        <w:jc w:val="both"/>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w:t>
      </w:r>
      <w:r>
        <w:rPr>
          <w:rFonts w:hint="eastAsia" w:ascii="宋体" w:hAnsi="宋体" w:cs="宋体"/>
          <w:sz w:val="24"/>
          <w:szCs w:val="24"/>
          <w:highlight w:val="none"/>
          <w:lang w:val="en-US" w:eastAsia="zh-CN"/>
        </w:rPr>
        <w:t>9</w:t>
      </w:r>
      <w:r>
        <w:rPr>
          <w:rFonts w:hint="eastAsia" w:ascii="宋体" w:hAnsi="宋体" w:eastAsia="宋体" w:cs="宋体"/>
          <w:sz w:val="24"/>
          <w:szCs w:val="24"/>
          <w:highlight w:val="none"/>
        </w:rPr>
        <w:t>）及时上报责任区域内环卫设施的损坏、丢失情况。</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360" w:firstLineChars="150"/>
        <w:jc w:val="both"/>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10</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桥面、通行隧道、公交站台的保洁质量与所在的道路保洁质量标准相同。</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360" w:firstLineChars="150"/>
        <w:jc w:val="both"/>
        <w:textAlignment w:val="auto"/>
        <w:rPr>
          <w:rFonts w:hint="eastAsia" w:ascii="宋体" w:hAnsi="宋体" w:eastAsia="宋体" w:cs="宋体"/>
          <w:sz w:val="24"/>
          <w:szCs w:val="24"/>
          <w:highlight w:val="none"/>
        </w:r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firstLine="361" w:firstLineChars="150"/>
        <w:jc w:val="both"/>
        <w:textAlignment w:val="auto"/>
        <w:rPr>
          <w:rStyle w:val="10"/>
          <w:rFonts w:hint="eastAsia" w:ascii="宋体" w:hAnsi="宋体" w:eastAsia="宋体" w:cs="宋体"/>
          <w:color w:val="000000"/>
          <w:sz w:val="24"/>
          <w:szCs w:val="24"/>
        </w:rPr>
      </w:pPr>
      <w:r>
        <w:rPr>
          <w:rStyle w:val="10"/>
          <w:rFonts w:hint="eastAsia" w:ascii="宋体" w:hAnsi="宋体" w:eastAsia="宋体" w:cs="宋体"/>
          <w:color w:val="000000"/>
          <w:sz w:val="24"/>
          <w:szCs w:val="24"/>
        </w:rPr>
        <w:t>C、清扫保洁质量标准：</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firstLine="360" w:firstLineChars="150"/>
        <w:jc w:val="both"/>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（1）路面无垃圾、污渍，积泥较少，人行道无杂草，晴天无积水，道路两侧3米内无垃圾。</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firstLine="360" w:firstLineChars="150"/>
        <w:jc w:val="both"/>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（2）交通路面见本色，路面污染物如烟蒂、塑料袋、纸屑果皮、树叶等杂物控制在每500m2不多与5片（个）；路面基本上没有积土、积沙问题。地面分车道交通标识线基本清晰、污渍较少；</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firstLine="360" w:firstLineChars="150"/>
        <w:jc w:val="both"/>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（3）路沿石（边）含沟井干净，无积沙、积土：无烟蒂、纸屑、果皮、树叶、杂草等其他废弃物：无明显积水；</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firstLine="360" w:firstLineChars="150"/>
        <w:jc w:val="both"/>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（4）人行道上不能有显见的沙土、烟蒂、塑料袋、纸屑、果皮、树叶、石块、杂草等各类废弃物，且每500m2不多于5片（个）；</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firstLine="360" w:firstLineChars="150"/>
        <w:jc w:val="both"/>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（5）绿化带不能有显示的烟蒂、塑料袋、果皮纸屑等废弃物；</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firstLine="360" w:firstLineChars="150"/>
        <w:jc w:val="both"/>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（6）路面、路旁树头无杂草；</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firstLine="360" w:firstLineChars="150"/>
        <w:jc w:val="both"/>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lang w:val="en-US" w:eastAsia="zh-CN"/>
        </w:rPr>
        <w:t>7</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道路绿地、花坛、树圈无杂物、无垃圾</w:t>
      </w:r>
      <w:r>
        <w:rPr>
          <w:rFonts w:hint="eastAsia" w:ascii="宋体" w:hAnsi="宋体" w:eastAsia="宋体" w:cs="宋体"/>
          <w:color w:val="000000"/>
          <w:sz w:val="24"/>
          <w:szCs w:val="24"/>
          <w:lang w:eastAsia="zh-CN"/>
        </w:rPr>
        <w:t>；</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firstLine="360" w:firstLineChars="150"/>
        <w:jc w:val="both"/>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w:t>
      </w:r>
      <w:r>
        <w:rPr>
          <w:rFonts w:hint="eastAsia" w:ascii="宋体" w:hAnsi="宋体" w:eastAsia="宋体" w:cs="宋体"/>
          <w:color w:val="000000"/>
          <w:sz w:val="24"/>
          <w:szCs w:val="24"/>
          <w:lang w:val="en-US" w:eastAsia="zh-CN"/>
        </w:rPr>
        <w:t>8</w:t>
      </w:r>
      <w:r>
        <w:rPr>
          <w:rFonts w:hint="eastAsia" w:ascii="宋体" w:hAnsi="宋体" w:eastAsia="宋体" w:cs="宋体"/>
          <w:color w:val="000000"/>
          <w:sz w:val="24"/>
          <w:szCs w:val="24"/>
        </w:rPr>
        <w:t>）环卫设施（果壳箱、垃圾桶、垃圾房）整齐规范、无破损、歪斜、油漆剥落（或严重褪色）、垃圾满溢、表面清洁无污垢，周围地面无暴露垃圾、污水现象。</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firstLine="360" w:firstLineChars="150"/>
        <w:jc w:val="both"/>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lang w:val="en-US" w:eastAsia="zh-CN"/>
        </w:rPr>
        <w:t>9</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垃圾桶、果皮箱内的垃圾清掏（清倒）及时，垃圾桶、果皮箱立面无乱张贴、乱涂写、立面干净。</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firstLine="361" w:firstLineChars="150"/>
        <w:jc w:val="both"/>
        <w:textAlignment w:val="auto"/>
        <w:rPr>
          <w:rFonts w:hint="eastAsia" w:ascii="宋体" w:hAnsi="宋体" w:eastAsia="宋体" w:cs="宋体"/>
          <w:sz w:val="24"/>
          <w:szCs w:val="24"/>
        </w:rPr>
      </w:pPr>
      <w:r>
        <w:rPr>
          <w:rStyle w:val="10"/>
          <w:rFonts w:hint="eastAsia" w:ascii="宋体" w:hAnsi="宋体" w:eastAsia="宋体" w:cs="宋体"/>
          <w:color w:val="000000"/>
          <w:sz w:val="24"/>
          <w:szCs w:val="24"/>
        </w:rPr>
        <w:t>D、机械冲洗作业要求：</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firstLine="360" w:firstLineChars="150"/>
        <w:jc w:val="both"/>
        <w:textAlignment w:val="auto"/>
        <w:rPr>
          <w:rFonts w:hint="eastAsia" w:ascii="宋体" w:hAnsi="宋体" w:eastAsia="宋体" w:cs="宋体"/>
          <w:sz w:val="24"/>
          <w:szCs w:val="24"/>
        </w:rPr>
      </w:pPr>
      <w:r>
        <w:rPr>
          <w:rFonts w:hint="eastAsia" w:ascii="宋体" w:hAnsi="宋体" w:eastAsia="宋体" w:cs="宋体"/>
          <w:color w:val="000000"/>
          <w:sz w:val="24"/>
          <w:szCs w:val="24"/>
        </w:rPr>
        <w:t>（1）作业时要打开警示灯，夜间作业应打开示宽灯；</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firstLine="360" w:firstLineChars="150"/>
        <w:jc w:val="both"/>
        <w:textAlignment w:val="auto"/>
        <w:rPr>
          <w:rFonts w:hint="eastAsia" w:ascii="宋体" w:hAnsi="宋体" w:eastAsia="宋体" w:cs="宋体"/>
          <w:sz w:val="24"/>
          <w:szCs w:val="24"/>
        </w:rPr>
      </w:pPr>
      <w:r>
        <w:rPr>
          <w:rFonts w:hint="eastAsia" w:ascii="宋体" w:hAnsi="宋体" w:eastAsia="宋体" w:cs="宋体"/>
          <w:color w:val="000000"/>
          <w:sz w:val="24"/>
          <w:szCs w:val="24"/>
        </w:rPr>
        <w:t>（2）道路冲洗以每小时20公里（二档）的速度双喷头均速冲洗，发动机转速应达到1600转以上；</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firstLine="360" w:firstLineChars="150"/>
        <w:jc w:val="both"/>
        <w:textAlignment w:val="auto"/>
        <w:rPr>
          <w:rFonts w:hint="eastAsia" w:ascii="宋体" w:hAnsi="宋体" w:eastAsia="宋体" w:cs="宋体"/>
          <w:sz w:val="24"/>
          <w:szCs w:val="24"/>
        </w:rPr>
      </w:pPr>
      <w:r>
        <w:rPr>
          <w:rFonts w:hint="eastAsia" w:ascii="宋体" w:hAnsi="宋体" w:eastAsia="宋体" w:cs="宋体"/>
          <w:color w:val="000000"/>
          <w:sz w:val="24"/>
          <w:szCs w:val="24"/>
        </w:rPr>
        <w:t>（3）道路中间有交通隔离栏的应先冲洗隔离栏底座。隔离栏底座冲洗应将双喷头调整到左方向，喷头要对准底座的缝隙口，将离栏底座的沙土等弃物完全冲洗出路面；</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firstLine="360" w:firstLineChars="150"/>
        <w:jc w:val="both"/>
        <w:textAlignment w:val="auto"/>
        <w:rPr>
          <w:rFonts w:hint="eastAsia" w:ascii="宋体" w:hAnsi="宋体" w:eastAsia="宋体" w:cs="宋体"/>
          <w:sz w:val="24"/>
          <w:szCs w:val="24"/>
        </w:rPr>
      </w:pPr>
      <w:r>
        <w:rPr>
          <w:rFonts w:hint="eastAsia" w:ascii="宋体" w:hAnsi="宋体" w:eastAsia="宋体" w:cs="宋体"/>
          <w:color w:val="000000"/>
          <w:sz w:val="24"/>
          <w:szCs w:val="24"/>
        </w:rPr>
        <w:t>（4）冲洗路面时，应压茬冲洗交接处不断茬，由路面中心向右侧路沿依次压茬冲洗；</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firstLine="360" w:firstLineChars="150"/>
        <w:jc w:val="both"/>
        <w:textAlignment w:val="auto"/>
        <w:rPr>
          <w:rFonts w:hint="eastAsia" w:ascii="宋体" w:hAnsi="宋体" w:eastAsia="宋体" w:cs="宋体"/>
          <w:sz w:val="24"/>
          <w:szCs w:val="24"/>
        </w:rPr>
      </w:pPr>
      <w:r>
        <w:rPr>
          <w:rFonts w:hint="eastAsia" w:ascii="宋体" w:hAnsi="宋体" w:eastAsia="宋体" w:cs="宋体"/>
          <w:color w:val="000000"/>
          <w:sz w:val="24"/>
          <w:szCs w:val="24"/>
        </w:rPr>
        <w:t>（5）遇有障碍物（如车辆等）时应缩短障碍前后冲洗距离，前后距离不应超过15米。</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firstLine="361" w:firstLineChars="150"/>
        <w:jc w:val="both"/>
        <w:textAlignment w:val="auto"/>
        <w:rPr>
          <w:rFonts w:hint="eastAsia" w:ascii="宋体" w:hAnsi="宋体" w:eastAsia="宋体" w:cs="宋体"/>
          <w:sz w:val="24"/>
          <w:szCs w:val="24"/>
        </w:rPr>
      </w:pPr>
      <w:r>
        <w:rPr>
          <w:rStyle w:val="10"/>
          <w:rFonts w:hint="eastAsia" w:ascii="宋体" w:hAnsi="宋体" w:eastAsia="宋体" w:cs="宋体"/>
          <w:color w:val="000000"/>
          <w:sz w:val="24"/>
          <w:szCs w:val="24"/>
        </w:rPr>
        <w:t>E、机械冲洗质量标准：</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firstLine="360" w:firstLineChars="150"/>
        <w:jc w:val="both"/>
        <w:textAlignment w:val="auto"/>
        <w:rPr>
          <w:rFonts w:hint="eastAsia" w:ascii="宋体" w:hAnsi="宋体" w:eastAsia="宋体" w:cs="宋体"/>
          <w:sz w:val="24"/>
          <w:szCs w:val="24"/>
        </w:rPr>
      </w:pPr>
      <w:r>
        <w:rPr>
          <w:rFonts w:hint="eastAsia" w:ascii="宋体" w:hAnsi="宋体" w:eastAsia="宋体" w:cs="宋体"/>
          <w:color w:val="000000"/>
          <w:sz w:val="24"/>
          <w:szCs w:val="24"/>
        </w:rPr>
        <w:t>（1）冲洗作业后的道路路面基本达到无废弃物积存，地面交通标志清晰，隔离墩下无泥沙，干净整洁。污物冲洗洗距路沿不超过50厘米。冲洗时水流从路沿返回不超过20厘米。</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firstLine="361" w:firstLineChars="150"/>
        <w:jc w:val="both"/>
        <w:textAlignment w:val="auto"/>
        <w:rPr>
          <w:rFonts w:hint="eastAsia" w:ascii="宋体" w:hAnsi="宋体" w:eastAsia="宋体" w:cs="宋体"/>
          <w:sz w:val="24"/>
          <w:szCs w:val="24"/>
        </w:rPr>
      </w:pPr>
      <w:r>
        <w:rPr>
          <w:rStyle w:val="10"/>
          <w:rFonts w:hint="eastAsia" w:ascii="宋体" w:hAnsi="宋体" w:eastAsia="宋体" w:cs="宋体"/>
          <w:color w:val="000000"/>
          <w:sz w:val="24"/>
          <w:szCs w:val="24"/>
        </w:rPr>
        <w:t>F、机械清扫作业要求：</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firstLine="360" w:firstLineChars="150"/>
        <w:jc w:val="both"/>
        <w:textAlignment w:val="auto"/>
        <w:rPr>
          <w:rFonts w:hint="eastAsia" w:ascii="宋体" w:hAnsi="宋体" w:eastAsia="宋体" w:cs="宋体"/>
          <w:sz w:val="24"/>
          <w:szCs w:val="24"/>
        </w:rPr>
      </w:pPr>
      <w:r>
        <w:rPr>
          <w:rFonts w:hint="eastAsia" w:ascii="宋体" w:hAnsi="宋体" w:eastAsia="宋体" w:cs="宋体"/>
          <w:color w:val="000000"/>
          <w:sz w:val="24"/>
          <w:szCs w:val="24"/>
        </w:rPr>
        <w:t>（1）清扫作业前，驾驶员先启动各清扫工作装置，并下车检查各清扫工作装置运行是否正常；驾驶员要根据实际路况调整相应的扫盘角度和选择适当的扫盘转速，每个扫盘要达到8~13支扫刷压地，同时根据扫毛长短适时进行调整高度：清洗机扫一体必须检查高压喷头冲水情况是否正常；</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firstLine="360" w:firstLineChars="150"/>
        <w:jc w:val="both"/>
        <w:textAlignment w:val="auto"/>
        <w:rPr>
          <w:rFonts w:hint="eastAsia" w:ascii="宋体" w:hAnsi="宋体" w:eastAsia="宋体" w:cs="宋体"/>
          <w:sz w:val="24"/>
          <w:szCs w:val="24"/>
        </w:rPr>
      </w:pPr>
      <w:r>
        <w:rPr>
          <w:rFonts w:hint="eastAsia" w:ascii="宋体" w:hAnsi="宋体" w:eastAsia="宋体" w:cs="宋体"/>
          <w:color w:val="000000"/>
          <w:sz w:val="24"/>
          <w:szCs w:val="24"/>
        </w:rPr>
        <w:t>（2）在机扫过程中，扫毛应压地挨近路沿、花圃围沿边和交通隔离栏底座清扫，做到不丢段、漏段；</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firstLine="360" w:firstLineChars="150"/>
        <w:jc w:val="both"/>
        <w:textAlignment w:val="auto"/>
        <w:rPr>
          <w:rFonts w:hint="eastAsia" w:ascii="宋体" w:hAnsi="宋体" w:eastAsia="宋体" w:cs="宋体"/>
          <w:sz w:val="24"/>
          <w:szCs w:val="24"/>
          <w:lang w:eastAsia="zh-CN"/>
        </w:rPr>
      </w:pPr>
      <w:r>
        <w:rPr>
          <w:rFonts w:hint="eastAsia" w:ascii="宋体" w:hAnsi="宋体" w:eastAsia="宋体" w:cs="宋体"/>
          <w:color w:val="000000"/>
          <w:sz w:val="24"/>
          <w:szCs w:val="24"/>
        </w:rPr>
        <w:t>（3）扫路车部分路段车行道条件受限的由人工负责清扫</w:t>
      </w:r>
      <w:r>
        <w:rPr>
          <w:rFonts w:hint="eastAsia" w:ascii="宋体" w:hAnsi="宋体" w:cs="宋体"/>
          <w:color w:val="000000"/>
          <w:sz w:val="24"/>
          <w:szCs w:val="24"/>
          <w:lang w:eastAsia="zh-CN"/>
        </w:rPr>
        <w:t>。</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firstLine="361" w:firstLineChars="150"/>
        <w:jc w:val="both"/>
        <w:textAlignment w:val="auto"/>
        <w:rPr>
          <w:rFonts w:hint="eastAsia" w:ascii="宋体" w:hAnsi="宋体" w:eastAsia="宋体" w:cs="宋体"/>
          <w:sz w:val="24"/>
          <w:szCs w:val="24"/>
        </w:rPr>
      </w:pPr>
      <w:r>
        <w:rPr>
          <w:rStyle w:val="10"/>
          <w:rFonts w:hint="eastAsia" w:ascii="宋体" w:hAnsi="宋体" w:eastAsia="宋体" w:cs="宋体"/>
          <w:color w:val="000000"/>
          <w:sz w:val="24"/>
          <w:szCs w:val="24"/>
        </w:rPr>
        <w:t>G、机械清扫质量标准：</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firstLine="360" w:firstLineChars="150"/>
        <w:jc w:val="both"/>
        <w:textAlignment w:val="auto"/>
        <w:rPr>
          <w:rFonts w:hint="eastAsia" w:ascii="宋体" w:hAnsi="宋体" w:eastAsia="宋体" w:cs="宋体"/>
          <w:sz w:val="24"/>
          <w:szCs w:val="24"/>
          <w:lang w:eastAsia="zh-CN"/>
        </w:rPr>
      </w:pPr>
      <w:r>
        <w:rPr>
          <w:rFonts w:hint="eastAsia" w:ascii="宋体" w:hAnsi="宋体" w:eastAsia="宋体" w:cs="宋体"/>
          <w:color w:val="000000"/>
          <w:sz w:val="24"/>
          <w:szCs w:val="24"/>
        </w:rPr>
        <w:t>（1）道路路面见本色，路牙无污水、无沙土，不能出现垃圾散花和滴漏拖带及各种废弃物</w:t>
      </w:r>
      <w:r>
        <w:rPr>
          <w:rFonts w:hint="eastAsia" w:ascii="宋体" w:hAnsi="宋体" w:cs="宋体"/>
          <w:color w:val="000000"/>
          <w:sz w:val="24"/>
          <w:szCs w:val="24"/>
          <w:lang w:eastAsia="zh-CN"/>
        </w:rPr>
        <w:t>。</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firstLine="361" w:firstLineChars="150"/>
        <w:jc w:val="both"/>
        <w:textAlignment w:val="auto"/>
        <w:rPr>
          <w:rFonts w:hint="eastAsia" w:ascii="宋体" w:hAnsi="宋体" w:eastAsia="宋体" w:cs="宋体"/>
          <w:sz w:val="24"/>
          <w:szCs w:val="24"/>
        </w:rPr>
      </w:pPr>
      <w:r>
        <w:rPr>
          <w:rStyle w:val="10"/>
          <w:rFonts w:hint="eastAsia" w:ascii="宋体" w:hAnsi="宋体" w:eastAsia="宋体" w:cs="宋体"/>
          <w:color w:val="000000"/>
          <w:sz w:val="24"/>
          <w:szCs w:val="24"/>
        </w:rPr>
        <w:t>H、机械洒水降尘作业：</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firstLine="360" w:firstLineChars="150"/>
        <w:jc w:val="both"/>
        <w:textAlignment w:val="auto"/>
        <w:rPr>
          <w:rFonts w:hint="eastAsia" w:ascii="宋体" w:hAnsi="宋体" w:eastAsia="宋体" w:cs="宋体"/>
          <w:sz w:val="24"/>
          <w:szCs w:val="24"/>
        </w:rPr>
      </w:pPr>
      <w:r>
        <w:rPr>
          <w:rFonts w:hint="eastAsia" w:ascii="宋体" w:hAnsi="宋体" w:eastAsia="宋体" w:cs="宋体"/>
          <w:color w:val="000000"/>
          <w:sz w:val="24"/>
          <w:szCs w:val="24"/>
        </w:rPr>
        <w:t>（1）洒水降尘时速控制在每小时低于15公里；</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firstLine="360" w:firstLineChars="150"/>
        <w:jc w:val="both"/>
        <w:textAlignment w:val="auto"/>
        <w:rPr>
          <w:rFonts w:hint="eastAsia" w:ascii="宋体" w:hAnsi="宋体" w:eastAsia="宋体" w:cs="宋体"/>
          <w:sz w:val="24"/>
          <w:szCs w:val="24"/>
        </w:rPr>
      </w:pPr>
      <w:r>
        <w:rPr>
          <w:rFonts w:hint="eastAsia" w:ascii="宋体" w:hAnsi="宋体" w:eastAsia="宋体" w:cs="宋体"/>
          <w:color w:val="000000"/>
          <w:sz w:val="24"/>
          <w:szCs w:val="24"/>
        </w:rPr>
        <w:t>（2）洒水降尘作业使用高压水车。作业时前、后下喷头打开，水喷射成雾状。</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firstLine="361" w:firstLineChars="150"/>
        <w:jc w:val="both"/>
        <w:textAlignment w:val="auto"/>
        <w:rPr>
          <w:rFonts w:hint="eastAsia" w:ascii="宋体" w:hAnsi="宋体" w:eastAsia="宋体" w:cs="宋体"/>
          <w:sz w:val="24"/>
          <w:szCs w:val="24"/>
        </w:rPr>
      </w:pPr>
      <w:r>
        <w:rPr>
          <w:rStyle w:val="10"/>
          <w:rFonts w:hint="eastAsia" w:ascii="宋体" w:hAnsi="宋体" w:eastAsia="宋体" w:cs="宋体"/>
          <w:color w:val="000000"/>
          <w:sz w:val="24"/>
          <w:szCs w:val="24"/>
        </w:rPr>
        <w:t>I1、机械洒水质量标准：</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firstLine="360" w:firstLineChars="150"/>
        <w:jc w:val="both"/>
        <w:textAlignment w:val="auto"/>
        <w:rPr>
          <w:rFonts w:hint="eastAsia" w:ascii="宋体" w:hAnsi="宋体" w:eastAsia="宋体" w:cs="宋体"/>
          <w:sz w:val="24"/>
          <w:szCs w:val="24"/>
        </w:rPr>
      </w:pPr>
      <w:r>
        <w:rPr>
          <w:rFonts w:hint="eastAsia" w:ascii="宋体" w:hAnsi="宋体" w:eastAsia="宋体" w:cs="宋体"/>
          <w:color w:val="000000"/>
          <w:sz w:val="24"/>
          <w:szCs w:val="24"/>
        </w:rPr>
        <w:t>（1）洒水作业后确保路面湿度在一小时以上，洒水降尘应均衡水量，路面应达到见潮不见水流的效果。</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firstLine="361" w:firstLineChars="150"/>
        <w:jc w:val="both"/>
        <w:textAlignment w:val="auto"/>
        <w:rPr>
          <w:rFonts w:hint="eastAsia" w:ascii="宋体" w:hAnsi="宋体" w:eastAsia="宋体" w:cs="宋体"/>
          <w:sz w:val="24"/>
          <w:szCs w:val="24"/>
        </w:rPr>
      </w:pPr>
      <w:r>
        <w:rPr>
          <w:rStyle w:val="10"/>
          <w:rFonts w:hint="eastAsia" w:ascii="宋体" w:hAnsi="宋体" w:eastAsia="宋体" w:cs="宋体"/>
          <w:color w:val="000000"/>
          <w:sz w:val="24"/>
          <w:szCs w:val="24"/>
        </w:rPr>
        <w:t>J、清洗护栏工作标准：</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firstLine="360" w:firstLineChars="150"/>
        <w:jc w:val="both"/>
        <w:textAlignment w:val="auto"/>
        <w:rPr>
          <w:rFonts w:hint="eastAsia" w:ascii="宋体" w:hAnsi="宋体" w:eastAsia="宋体" w:cs="宋体"/>
          <w:sz w:val="24"/>
          <w:szCs w:val="24"/>
        </w:rPr>
      </w:pPr>
      <w:r>
        <w:rPr>
          <w:rFonts w:hint="eastAsia" w:ascii="宋体" w:hAnsi="宋体" w:eastAsia="宋体" w:cs="宋体"/>
          <w:color w:val="000000"/>
          <w:sz w:val="24"/>
          <w:szCs w:val="24"/>
        </w:rPr>
        <w:t>（1）护栏清洗必须达到目测无污痕，擦拭无污垢，秩序整齐划一标准。</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firstLine="361" w:firstLineChars="150"/>
        <w:jc w:val="both"/>
        <w:textAlignment w:val="auto"/>
        <w:rPr>
          <w:rFonts w:hint="eastAsia" w:ascii="宋体" w:hAnsi="宋体" w:eastAsia="宋体" w:cs="宋体"/>
          <w:sz w:val="24"/>
          <w:szCs w:val="24"/>
        </w:rPr>
      </w:pPr>
      <w:r>
        <w:rPr>
          <w:rStyle w:val="10"/>
          <w:rFonts w:hint="eastAsia" w:ascii="宋体" w:hAnsi="宋体" w:eastAsia="宋体" w:cs="宋体"/>
          <w:color w:val="000000"/>
          <w:sz w:val="24"/>
          <w:szCs w:val="24"/>
        </w:rPr>
        <w:t>K、清洗护栏作业时间：</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firstLine="360" w:firstLineChars="150"/>
        <w:jc w:val="both"/>
        <w:textAlignment w:val="auto"/>
        <w:rPr>
          <w:rFonts w:hint="eastAsia" w:ascii="宋体" w:hAnsi="宋体" w:eastAsia="宋体" w:cs="宋体"/>
          <w:sz w:val="24"/>
          <w:szCs w:val="24"/>
          <w:lang w:eastAsia="zh-CN"/>
        </w:rPr>
      </w:pPr>
      <w:r>
        <w:rPr>
          <w:rFonts w:hint="eastAsia" w:ascii="宋体" w:hAnsi="宋体" w:eastAsia="宋体" w:cs="宋体"/>
          <w:color w:val="000000"/>
          <w:sz w:val="24"/>
          <w:szCs w:val="24"/>
        </w:rPr>
        <w:t>（1）辖区道路护栏符合车洗条件的，一周定时清洗一次，清洗保洁作业时间尽量错过交通高峰时间段进行，遇旅游旺季和重大活动、节假日，护栏要随时保持清洁</w:t>
      </w:r>
      <w:r>
        <w:rPr>
          <w:rFonts w:hint="eastAsia" w:ascii="宋体" w:hAnsi="宋体" w:cs="宋体"/>
          <w:color w:val="000000"/>
          <w:sz w:val="24"/>
          <w:szCs w:val="24"/>
          <w:lang w:eastAsia="zh-CN"/>
        </w:rPr>
        <w:t>；</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firstLine="360" w:firstLineChars="150"/>
        <w:jc w:val="both"/>
        <w:textAlignment w:val="auto"/>
        <w:rPr>
          <w:rFonts w:hint="eastAsia" w:ascii="宋体" w:hAnsi="宋体" w:eastAsia="宋体" w:cs="宋体"/>
          <w:sz w:val="24"/>
          <w:szCs w:val="24"/>
        </w:rPr>
      </w:pPr>
      <w:r>
        <w:rPr>
          <w:rFonts w:hint="eastAsia" w:ascii="宋体" w:hAnsi="宋体" w:eastAsia="宋体" w:cs="宋体"/>
          <w:color w:val="000000"/>
          <w:sz w:val="24"/>
          <w:szCs w:val="24"/>
        </w:rPr>
        <w:t>（2）不具备车洗条件的道路护栏，采取人工作业，定期清洁。</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firstLine="361" w:firstLineChars="150"/>
        <w:jc w:val="both"/>
        <w:textAlignment w:val="auto"/>
        <w:rPr>
          <w:rFonts w:hint="eastAsia" w:ascii="宋体" w:hAnsi="宋体" w:eastAsia="宋体" w:cs="宋体"/>
          <w:sz w:val="24"/>
          <w:szCs w:val="24"/>
        </w:rPr>
      </w:pPr>
      <w:r>
        <w:rPr>
          <w:rStyle w:val="10"/>
          <w:rFonts w:hint="eastAsia" w:ascii="宋体" w:hAnsi="宋体" w:eastAsia="宋体" w:cs="宋体"/>
          <w:sz w:val="24"/>
          <w:szCs w:val="24"/>
          <w:lang w:val="en-US" w:eastAsia="zh-CN"/>
        </w:rPr>
        <w:t>1.5三类</w:t>
      </w:r>
      <w:r>
        <w:rPr>
          <w:rStyle w:val="10"/>
          <w:rFonts w:hint="eastAsia" w:ascii="宋体" w:hAnsi="宋体" w:eastAsia="宋体" w:cs="宋体"/>
          <w:sz w:val="24"/>
          <w:szCs w:val="24"/>
        </w:rPr>
        <w:t>作业要求与质量标准</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firstLine="361" w:firstLineChars="150"/>
        <w:jc w:val="both"/>
        <w:textAlignment w:val="auto"/>
        <w:rPr>
          <w:rStyle w:val="10"/>
          <w:rFonts w:hint="eastAsia" w:ascii="宋体" w:hAnsi="宋体" w:eastAsia="宋体" w:cs="宋体"/>
          <w:color w:val="000000"/>
          <w:sz w:val="24"/>
          <w:szCs w:val="24"/>
        </w:rPr>
      </w:pPr>
      <w:r>
        <w:rPr>
          <w:rStyle w:val="10"/>
          <w:rFonts w:hint="eastAsia" w:ascii="宋体" w:hAnsi="宋体" w:eastAsia="宋体" w:cs="宋体"/>
          <w:color w:val="000000"/>
          <w:sz w:val="24"/>
          <w:szCs w:val="24"/>
        </w:rPr>
        <w:t>A、清扫等级、作业时间安排：</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firstLine="360" w:firstLineChars="150"/>
        <w:jc w:val="both"/>
        <w:textAlignment w:val="auto"/>
        <w:rPr>
          <w:rFonts w:hint="eastAsia" w:ascii="宋体" w:hAnsi="宋体" w:eastAsia="宋体" w:cs="宋体"/>
          <w:sz w:val="24"/>
          <w:szCs w:val="24"/>
          <w:highlight w:val="none"/>
          <w:lang w:eastAsia="zh-CN"/>
        </w:rPr>
      </w:pPr>
      <w:r>
        <w:rPr>
          <w:rFonts w:hint="eastAsia" w:ascii="宋体" w:hAnsi="宋体" w:eastAsia="宋体" w:cs="宋体"/>
          <w:color w:val="000000"/>
          <w:sz w:val="24"/>
          <w:szCs w:val="24"/>
          <w:highlight w:val="none"/>
          <w:lang w:eastAsia="zh-CN"/>
        </w:rPr>
        <w:t>（</w:t>
      </w:r>
      <w:r>
        <w:rPr>
          <w:rFonts w:hint="eastAsia" w:ascii="宋体" w:hAnsi="宋体" w:eastAsia="宋体" w:cs="宋体"/>
          <w:color w:val="000000"/>
          <w:sz w:val="24"/>
          <w:szCs w:val="24"/>
          <w:highlight w:val="none"/>
          <w:lang w:val="en-US" w:eastAsia="zh-CN"/>
        </w:rPr>
        <w:t>1</w:t>
      </w:r>
      <w:r>
        <w:rPr>
          <w:rFonts w:hint="eastAsia" w:ascii="宋体" w:hAnsi="宋体" w:eastAsia="宋体" w:cs="宋体"/>
          <w:color w:val="000000"/>
          <w:sz w:val="24"/>
          <w:szCs w:val="24"/>
          <w:highlight w:val="none"/>
          <w:lang w:eastAsia="zh-CN"/>
        </w:rPr>
        <w:t>）</w:t>
      </w:r>
      <w:r>
        <w:rPr>
          <w:rFonts w:hint="eastAsia" w:ascii="宋体" w:hAnsi="宋体" w:eastAsia="宋体" w:cs="宋体"/>
          <w:color w:val="000000"/>
          <w:sz w:val="24"/>
          <w:szCs w:val="24"/>
          <w:highlight w:val="none"/>
          <w:lang w:val="en-US" w:eastAsia="zh-CN"/>
        </w:rPr>
        <w:t>划分依据：城</w:t>
      </w:r>
      <w:r>
        <w:rPr>
          <w:rFonts w:hint="eastAsia" w:ascii="宋体" w:hAnsi="宋体" w:eastAsia="宋体" w:cs="宋体"/>
          <w:sz w:val="24"/>
          <w:szCs w:val="24"/>
          <w:highlight w:val="none"/>
        </w:rPr>
        <w:t>城区城郊结合部的交通路段；商业网点较少路段。开发区企业所在路段</w:t>
      </w:r>
      <w:r>
        <w:rPr>
          <w:rFonts w:hint="eastAsia" w:ascii="宋体" w:hAnsi="宋体" w:cs="宋体"/>
          <w:sz w:val="24"/>
          <w:szCs w:val="24"/>
          <w:highlight w:val="none"/>
          <w:lang w:eastAsia="zh-CN"/>
        </w:rPr>
        <w:t>；</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firstLine="360" w:firstLineChars="150"/>
        <w:jc w:val="both"/>
        <w:textAlignment w:val="auto"/>
        <w:rPr>
          <w:rFonts w:hint="eastAsia" w:ascii="宋体" w:hAnsi="宋体" w:eastAsia="宋体" w:cs="宋体"/>
          <w:color w:val="000000"/>
          <w:sz w:val="24"/>
          <w:szCs w:val="24"/>
          <w:highlight w:val="none"/>
          <w:lang w:eastAsia="zh-CN"/>
        </w:rPr>
      </w:pPr>
      <w:r>
        <w:rPr>
          <w:rFonts w:hint="eastAsia" w:ascii="宋体" w:hAnsi="宋体" w:eastAsia="宋体" w:cs="宋体"/>
          <w:color w:val="000000"/>
          <w:sz w:val="24"/>
          <w:szCs w:val="24"/>
          <w:highlight w:val="none"/>
        </w:rPr>
        <w:t>（</w:t>
      </w:r>
      <w:r>
        <w:rPr>
          <w:rFonts w:hint="eastAsia" w:ascii="宋体" w:hAnsi="宋体" w:eastAsia="宋体" w:cs="宋体"/>
          <w:color w:val="000000"/>
          <w:sz w:val="24"/>
          <w:szCs w:val="24"/>
          <w:highlight w:val="none"/>
          <w:lang w:val="en-US" w:eastAsia="zh-CN"/>
        </w:rPr>
        <w:t>2</w:t>
      </w:r>
      <w:r>
        <w:rPr>
          <w:rFonts w:hint="eastAsia" w:ascii="宋体" w:hAnsi="宋体" w:eastAsia="宋体" w:cs="宋体"/>
          <w:color w:val="000000"/>
          <w:sz w:val="24"/>
          <w:szCs w:val="24"/>
          <w:highlight w:val="none"/>
        </w:rPr>
        <w:t>）清扫保洁等级划分为</w:t>
      </w:r>
      <w:r>
        <w:rPr>
          <w:rFonts w:hint="eastAsia" w:ascii="宋体" w:hAnsi="宋体" w:cs="宋体"/>
          <w:color w:val="000000"/>
          <w:sz w:val="24"/>
          <w:szCs w:val="24"/>
          <w:highlight w:val="none"/>
          <w:lang w:eastAsia="zh-CN"/>
        </w:rPr>
        <w:t>三</w:t>
      </w:r>
      <w:r>
        <w:rPr>
          <w:rFonts w:hint="eastAsia" w:ascii="宋体" w:hAnsi="宋体" w:eastAsia="宋体" w:cs="宋体"/>
          <w:color w:val="000000"/>
          <w:sz w:val="24"/>
          <w:szCs w:val="24"/>
          <w:highlight w:val="none"/>
        </w:rPr>
        <w:t>级，</w:t>
      </w:r>
      <w:r>
        <w:rPr>
          <w:rFonts w:hint="eastAsia" w:ascii="宋体" w:hAnsi="宋体" w:cs="宋体"/>
          <w:color w:val="000000"/>
          <w:sz w:val="24"/>
          <w:szCs w:val="24"/>
          <w:highlight w:val="none"/>
          <w:lang w:eastAsia="zh-CN"/>
        </w:rPr>
        <w:t>三</w:t>
      </w:r>
      <w:r>
        <w:rPr>
          <w:rFonts w:hint="eastAsia" w:ascii="宋体" w:hAnsi="宋体" w:eastAsia="宋体" w:cs="宋体"/>
          <w:color w:val="000000"/>
          <w:sz w:val="24"/>
          <w:szCs w:val="24"/>
          <w:highlight w:val="none"/>
          <w:lang w:eastAsia="zh-CN"/>
        </w:rPr>
        <w:t>级</w:t>
      </w:r>
      <w:r>
        <w:rPr>
          <w:rFonts w:hint="eastAsia" w:ascii="宋体" w:hAnsi="宋体" w:eastAsia="宋体" w:cs="宋体"/>
          <w:color w:val="000000"/>
          <w:sz w:val="24"/>
          <w:szCs w:val="24"/>
          <w:highlight w:val="none"/>
        </w:rPr>
        <w:t>道路作业时间为1</w:t>
      </w:r>
      <w:r>
        <w:rPr>
          <w:rFonts w:hint="eastAsia" w:ascii="宋体" w:hAnsi="宋体" w:cs="宋体"/>
          <w:color w:val="000000"/>
          <w:sz w:val="24"/>
          <w:szCs w:val="24"/>
          <w:highlight w:val="none"/>
          <w:lang w:val="en-US" w:eastAsia="zh-CN"/>
        </w:rPr>
        <w:t>2</w:t>
      </w:r>
      <w:r>
        <w:rPr>
          <w:rFonts w:hint="eastAsia" w:ascii="宋体" w:hAnsi="宋体" w:eastAsia="宋体" w:cs="宋体"/>
          <w:color w:val="000000"/>
          <w:sz w:val="24"/>
          <w:szCs w:val="24"/>
          <w:highlight w:val="none"/>
          <w:lang w:val="en-US" w:eastAsia="zh-CN"/>
        </w:rPr>
        <w:t>个</w:t>
      </w:r>
      <w:r>
        <w:rPr>
          <w:rFonts w:hint="eastAsia" w:ascii="宋体" w:hAnsi="宋体" w:eastAsia="宋体" w:cs="宋体"/>
          <w:color w:val="000000"/>
          <w:sz w:val="24"/>
          <w:szCs w:val="24"/>
          <w:highlight w:val="none"/>
        </w:rPr>
        <w:t>小时以上；</w:t>
      </w:r>
      <w:r>
        <w:rPr>
          <w:rFonts w:hint="eastAsia" w:ascii="宋体" w:hAnsi="宋体" w:eastAsia="宋体" w:cs="宋体"/>
          <w:color w:val="000000"/>
          <w:sz w:val="24"/>
          <w:szCs w:val="24"/>
          <w:highlight w:val="none"/>
          <w:lang w:val="en-US" w:eastAsia="zh-CN"/>
        </w:rPr>
        <w:t>作业时间</w:t>
      </w:r>
      <w:r>
        <w:rPr>
          <w:rFonts w:hint="eastAsia" w:ascii="宋体" w:hAnsi="宋体" w:cs="宋体"/>
          <w:color w:val="000000"/>
          <w:sz w:val="24"/>
          <w:szCs w:val="24"/>
          <w:highlight w:val="none"/>
          <w:lang w:val="en-US" w:eastAsia="zh-CN"/>
        </w:rPr>
        <w:t>6：00</w:t>
      </w:r>
      <w:r>
        <w:rPr>
          <w:rFonts w:hint="eastAsia" w:ascii="宋体" w:hAnsi="宋体" w:eastAsia="宋体" w:cs="宋体"/>
          <w:color w:val="000000"/>
          <w:sz w:val="24"/>
          <w:szCs w:val="24"/>
          <w:highlight w:val="none"/>
          <w:lang w:val="en-US" w:eastAsia="zh-CN"/>
        </w:rPr>
        <w:t>-</w:t>
      </w:r>
      <w:r>
        <w:rPr>
          <w:rFonts w:hint="eastAsia" w:ascii="宋体" w:hAnsi="宋体" w:cs="宋体"/>
          <w:color w:val="000000"/>
          <w:sz w:val="24"/>
          <w:szCs w:val="24"/>
          <w:highlight w:val="none"/>
          <w:lang w:val="en-US" w:eastAsia="zh-CN"/>
        </w:rPr>
        <w:t>20</w:t>
      </w:r>
      <w:r>
        <w:rPr>
          <w:rFonts w:hint="eastAsia" w:ascii="宋体" w:hAnsi="宋体" w:eastAsia="宋体" w:cs="宋体"/>
          <w:color w:val="000000"/>
          <w:sz w:val="24"/>
          <w:szCs w:val="24"/>
          <w:highlight w:val="none"/>
          <w:lang w:val="en-US" w:eastAsia="zh-CN"/>
        </w:rPr>
        <w:t>：</w:t>
      </w:r>
      <w:r>
        <w:rPr>
          <w:rFonts w:hint="eastAsia" w:ascii="宋体" w:hAnsi="宋体" w:cs="宋体"/>
          <w:color w:val="000000"/>
          <w:sz w:val="24"/>
          <w:szCs w:val="24"/>
          <w:highlight w:val="none"/>
          <w:lang w:val="en-US" w:eastAsia="zh-CN"/>
        </w:rPr>
        <w:t>0</w:t>
      </w:r>
      <w:r>
        <w:rPr>
          <w:rFonts w:hint="eastAsia" w:ascii="宋体" w:hAnsi="宋体" w:eastAsia="宋体" w:cs="宋体"/>
          <w:color w:val="000000"/>
          <w:sz w:val="24"/>
          <w:szCs w:val="24"/>
          <w:highlight w:val="none"/>
          <w:lang w:val="en-US" w:eastAsia="zh-CN"/>
        </w:rPr>
        <w:t>0；早上</w:t>
      </w:r>
      <w:r>
        <w:rPr>
          <w:rFonts w:hint="eastAsia" w:ascii="宋体" w:hAnsi="宋体" w:eastAsia="宋体" w:cs="宋体"/>
          <w:color w:val="000000"/>
          <w:sz w:val="24"/>
          <w:szCs w:val="24"/>
          <w:highlight w:val="none"/>
        </w:rPr>
        <w:t>6：30前</w:t>
      </w:r>
      <w:r>
        <w:rPr>
          <w:rFonts w:hint="eastAsia" w:ascii="宋体" w:hAnsi="宋体" w:eastAsia="宋体" w:cs="宋体"/>
          <w:color w:val="000000"/>
          <w:sz w:val="24"/>
          <w:szCs w:val="24"/>
          <w:highlight w:val="none"/>
          <w:lang w:eastAsia="zh-CN"/>
        </w:rPr>
        <w:t>、</w:t>
      </w:r>
      <w:r>
        <w:rPr>
          <w:rFonts w:hint="eastAsia" w:ascii="宋体" w:hAnsi="宋体" w:eastAsia="宋体" w:cs="宋体"/>
          <w:color w:val="000000"/>
          <w:sz w:val="24"/>
          <w:szCs w:val="24"/>
          <w:highlight w:val="none"/>
          <w:lang w:val="en-US" w:eastAsia="zh-CN"/>
        </w:rPr>
        <w:t>下午2:30前普</w:t>
      </w:r>
      <w:r>
        <w:rPr>
          <w:rFonts w:hint="eastAsia" w:ascii="宋体" w:hAnsi="宋体" w:eastAsia="宋体" w:cs="宋体"/>
          <w:color w:val="000000"/>
          <w:sz w:val="24"/>
          <w:szCs w:val="24"/>
          <w:highlight w:val="none"/>
        </w:rPr>
        <w:t>扫结束，</w:t>
      </w:r>
      <w:r>
        <w:rPr>
          <w:rFonts w:hint="eastAsia" w:ascii="宋体" w:hAnsi="宋体" w:eastAsia="宋体" w:cs="宋体"/>
          <w:color w:val="000000"/>
          <w:sz w:val="24"/>
          <w:szCs w:val="24"/>
          <w:highlight w:val="none"/>
          <w:lang w:eastAsia="zh-CN"/>
        </w:rPr>
        <w:t>其余时间</w:t>
      </w:r>
      <w:r>
        <w:rPr>
          <w:rFonts w:hint="eastAsia" w:ascii="宋体" w:hAnsi="宋体" w:eastAsia="宋体" w:cs="宋体"/>
          <w:color w:val="000000"/>
          <w:sz w:val="24"/>
          <w:szCs w:val="24"/>
          <w:highlight w:val="none"/>
        </w:rPr>
        <w:t>巡回保洁</w:t>
      </w:r>
      <w:r>
        <w:rPr>
          <w:rFonts w:hint="eastAsia" w:ascii="宋体" w:hAnsi="宋体" w:eastAsia="宋体" w:cs="宋体"/>
          <w:color w:val="000000"/>
          <w:sz w:val="24"/>
          <w:szCs w:val="24"/>
          <w:highlight w:val="none"/>
          <w:lang w:eastAsia="zh-CN"/>
        </w:rPr>
        <w:t>。</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firstLine="361" w:firstLineChars="150"/>
        <w:jc w:val="both"/>
        <w:textAlignment w:val="auto"/>
        <w:rPr>
          <w:rFonts w:hint="eastAsia" w:ascii="宋体" w:hAnsi="宋体" w:eastAsia="宋体" w:cs="宋体"/>
          <w:sz w:val="24"/>
          <w:szCs w:val="24"/>
        </w:rPr>
      </w:pPr>
      <w:r>
        <w:rPr>
          <w:rStyle w:val="10"/>
          <w:rFonts w:hint="eastAsia" w:ascii="宋体" w:hAnsi="宋体" w:eastAsia="宋体" w:cs="宋体"/>
          <w:color w:val="000000"/>
          <w:sz w:val="24"/>
          <w:szCs w:val="24"/>
        </w:rPr>
        <w:t>B、清扫保洁作业要求：</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firstLine="360" w:firstLineChars="150"/>
        <w:jc w:val="both"/>
        <w:textAlignment w:val="auto"/>
        <w:rPr>
          <w:rFonts w:hint="eastAsia" w:ascii="宋体" w:hAnsi="宋体" w:cs="宋体"/>
          <w:color w:val="000000"/>
          <w:sz w:val="24"/>
          <w:szCs w:val="24"/>
          <w:lang w:eastAsia="zh-CN"/>
        </w:rPr>
      </w:pPr>
      <w:r>
        <w:rPr>
          <w:rFonts w:hint="eastAsia" w:ascii="宋体" w:hAnsi="宋体" w:eastAsia="宋体" w:cs="宋体"/>
          <w:color w:val="000000"/>
          <w:sz w:val="24"/>
          <w:szCs w:val="24"/>
        </w:rPr>
        <w:t>（1）道路车行道宽15米以上的道路实行每日两机扫</w:t>
      </w:r>
      <w:r>
        <w:rPr>
          <w:rFonts w:hint="eastAsia" w:ascii="宋体" w:hAnsi="宋体" w:eastAsia="宋体" w:cs="宋体"/>
          <w:color w:val="000000"/>
          <w:sz w:val="24"/>
          <w:szCs w:val="24"/>
          <w:lang w:eastAsia="zh-CN"/>
        </w:rPr>
        <w:t>、</w:t>
      </w:r>
      <w:r>
        <w:rPr>
          <w:rFonts w:hint="eastAsia" w:ascii="宋体" w:hAnsi="宋体" w:cs="宋体"/>
          <w:color w:val="000000"/>
          <w:sz w:val="24"/>
          <w:szCs w:val="24"/>
          <w:lang w:eastAsia="zh-CN"/>
        </w:rPr>
        <w:t>每月冲洗一次。</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firstLine="360" w:firstLineChars="150"/>
        <w:jc w:val="both"/>
        <w:textAlignment w:val="auto"/>
        <w:rPr>
          <w:rFonts w:hint="eastAsia" w:ascii="宋体" w:hAnsi="宋体" w:eastAsia="宋体" w:cs="宋体"/>
          <w:sz w:val="24"/>
          <w:szCs w:val="24"/>
        </w:rPr>
      </w:pPr>
      <w:r>
        <w:rPr>
          <w:rFonts w:hint="eastAsia" w:ascii="宋体" w:hAnsi="宋体" w:eastAsia="宋体" w:cs="宋体"/>
          <w:color w:val="000000"/>
          <w:sz w:val="24"/>
          <w:szCs w:val="24"/>
        </w:rPr>
        <w:t>（2）路面巡回清扫保洁，基本做到无纸屑、塑料袋、果皮、烟蒂等，路面无杂物堆积；</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firstLine="360" w:firstLineChars="150"/>
        <w:jc w:val="both"/>
        <w:textAlignment w:val="auto"/>
        <w:rPr>
          <w:rFonts w:hint="eastAsia" w:ascii="宋体" w:hAnsi="宋体" w:eastAsia="宋体" w:cs="宋体"/>
          <w:sz w:val="24"/>
          <w:szCs w:val="24"/>
        </w:rPr>
      </w:pPr>
      <w:r>
        <w:rPr>
          <w:rFonts w:hint="eastAsia" w:ascii="宋体" w:hAnsi="宋体" w:eastAsia="宋体" w:cs="宋体"/>
          <w:color w:val="000000"/>
          <w:sz w:val="24"/>
          <w:szCs w:val="24"/>
        </w:rPr>
        <w:t>（</w:t>
      </w:r>
      <w:r>
        <w:rPr>
          <w:rFonts w:hint="eastAsia" w:ascii="宋体" w:hAnsi="宋体" w:cs="宋体"/>
          <w:color w:val="000000"/>
          <w:sz w:val="24"/>
          <w:szCs w:val="24"/>
          <w:lang w:val="en-US" w:eastAsia="zh-CN"/>
        </w:rPr>
        <w:t>3</w:t>
      </w:r>
      <w:r>
        <w:rPr>
          <w:rFonts w:hint="eastAsia" w:ascii="宋体" w:hAnsi="宋体" w:eastAsia="宋体" w:cs="宋体"/>
          <w:color w:val="000000"/>
          <w:sz w:val="24"/>
          <w:szCs w:val="24"/>
        </w:rPr>
        <w:t>）路面垃圾落地不超过20分钟。</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firstLine="361" w:firstLineChars="150"/>
        <w:jc w:val="both"/>
        <w:textAlignment w:val="auto"/>
        <w:rPr>
          <w:rFonts w:hint="eastAsia" w:ascii="宋体" w:hAnsi="宋体" w:eastAsia="宋体" w:cs="宋体"/>
          <w:sz w:val="24"/>
          <w:szCs w:val="24"/>
        </w:rPr>
      </w:pPr>
      <w:r>
        <w:rPr>
          <w:rStyle w:val="10"/>
          <w:rFonts w:hint="eastAsia" w:ascii="宋体" w:hAnsi="宋体" w:eastAsia="宋体" w:cs="宋体"/>
          <w:color w:val="000000"/>
          <w:sz w:val="24"/>
          <w:szCs w:val="24"/>
        </w:rPr>
        <w:t>C、清扫保洁质量标准：</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firstLine="360" w:firstLineChars="150"/>
        <w:jc w:val="both"/>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①路面无垃圾、污渍、积泥较少，人行道杂草较少，道路两侧3米内无成堆垃圾。</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firstLine="360" w:firstLineChars="150"/>
        <w:jc w:val="both"/>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②雨水井沟眼无垃圾，无积泥嵌石。</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firstLine="360" w:firstLineChars="150"/>
        <w:jc w:val="both"/>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③道路绿地、花坛、树圈内无垃圾。</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firstLine="360" w:firstLineChars="150"/>
        <w:jc w:val="both"/>
        <w:textAlignment w:val="auto"/>
        <w:rPr>
          <w:rFonts w:hint="eastAsia" w:ascii="宋体" w:hAnsi="宋体" w:eastAsia="宋体" w:cs="宋体"/>
          <w:sz w:val="24"/>
          <w:szCs w:val="24"/>
        </w:rPr>
      </w:pPr>
      <w:r>
        <w:rPr>
          <w:rFonts w:hint="eastAsia" w:ascii="宋体" w:hAnsi="宋体" w:eastAsia="宋体" w:cs="宋体"/>
          <w:color w:val="000000"/>
          <w:sz w:val="24"/>
          <w:szCs w:val="24"/>
        </w:rPr>
        <w:t>④环卫设施（果壳箱、垃圾桶、垃圾房）设置整齐规范、无破损、歪斜、垃圾满溢，表面清洁无污垢，周围地面无暴露垃圾、污水现象。</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firstLine="361" w:firstLineChars="150"/>
        <w:jc w:val="both"/>
        <w:textAlignment w:val="auto"/>
        <w:rPr>
          <w:rFonts w:hint="eastAsia" w:ascii="宋体" w:hAnsi="宋体" w:eastAsia="宋体" w:cs="宋体"/>
          <w:sz w:val="24"/>
          <w:szCs w:val="24"/>
        </w:rPr>
      </w:pPr>
      <w:r>
        <w:rPr>
          <w:rStyle w:val="10"/>
          <w:rFonts w:hint="eastAsia" w:ascii="宋体" w:hAnsi="宋体" w:eastAsia="宋体" w:cs="宋体"/>
          <w:color w:val="000000"/>
          <w:sz w:val="24"/>
          <w:szCs w:val="24"/>
        </w:rPr>
        <w:t>D、机械冲洗作业要求：</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firstLine="360" w:firstLineChars="150"/>
        <w:jc w:val="both"/>
        <w:textAlignment w:val="auto"/>
        <w:rPr>
          <w:rFonts w:hint="eastAsia" w:ascii="宋体" w:hAnsi="宋体" w:eastAsia="宋体" w:cs="宋体"/>
          <w:sz w:val="24"/>
          <w:szCs w:val="24"/>
        </w:rPr>
      </w:pPr>
      <w:r>
        <w:rPr>
          <w:rFonts w:hint="eastAsia" w:ascii="宋体" w:hAnsi="宋体" w:eastAsia="宋体" w:cs="宋体"/>
          <w:color w:val="000000"/>
          <w:sz w:val="24"/>
          <w:szCs w:val="24"/>
        </w:rPr>
        <w:t>（1）作业时要打开警示灯，夜间作业应打开示宽灯；</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firstLine="360" w:firstLineChars="150"/>
        <w:jc w:val="both"/>
        <w:textAlignment w:val="auto"/>
        <w:rPr>
          <w:rFonts w:hint="eastAsia" w:ascii="宋体" w:hAnsi="宋体" w:eastAsia="宋体" w:cs="宋体"/>
          <w:sz w:val="24"/>
          <w:szCs w:val="24"/>
        </w:rPr>
      </w:pPr>
      <w:r>
        <w:rPr>
          <w:rFonts w:hint="eastAsia" w:ascii="宋体" w:hAnsi="宋体" w:eastAsia="宋体" w:cs="宋体"/>
          <w:color w:val="000000"/>
          <w:sz w:val="24"/>
          <w:szCs w:val="24"/>
        </w:rPr>
        <w:t>（2）道路冲洗以每小时20公里（二档）的速度双喷头均速冲洗，发动机转速应达到1600转以上；</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firstLine="360" w:firstLineChars="150"/>
        <w:jc w:val="both"/>
        <w:textAlignment w:val="auto"/>
        <w:rPr>
          <w:rFonts w:hint="eastAsia" w:ascii="宋体" w:hAnsi="宋体" w:eastAsia="宋体" w:cs="宋体"/>
          <w:sz w:val="24"/>
          <w:szCs w:val="24"/>
        </w:rPr>
      </w:pPr>
      <w:r>
        <w:rPr>
          <w:rFonts w:hint="eastAsia" w:ascii="宋体" w:hAnsi="宋体" w:eastAsia="宋体" w:cs="宋体"/>
          <w:color w:val="000000"/>
          <w:sz w:val="24"/>
          <w:szCs w:val="24"/>
        </w:rPr>
        <w:t>（3）道路中间有交通隔离栏的应先冲洗隔离栏底座。隔离栏底座冲洗应将双喷头调整到左方向，喷头要对准底座的缝隙口，将离栏底座的沙土等弃物完全冲洗出路面；</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firstLine="360" w:firstLineChars="150"/>
        <w:jc w:val="both"/>
        <w:textAlignment w:val="auto"/>
        <w:rPr>
          <w:rFonts w:hint="eastAsia" w:ascii="宋体" w:hAnsi="宋体" w:eastAsia="宋体" w:cs="宋体"/>
          <w:sz w:val="24"/>
          <w:szCs w:val="24"/>
        </w:rPr>
      </w:pPr>
      <w:r>
        <w:rPr>
          <w:rFonts w:hint="eastAsia" w:ascii="宋体" w:hAnsi="宋体" w:eastAsia="宋体" w:cs="宋体"/>
          <w:color w:val="000000"/>
          <w:sz w:val="24"/>
          <w:szCs w:val="24"/>
        </w:rPr>
        <w:t>（4）冲洗路面时，应压茬冲洗交接处不断茬，由路面中心向右侧路沿依次压茬冲洗；</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firstLine="360" w:firstLineChars="150"/>
        <w:jc w:val="both"/>
        <w:textAlignment w:val="auto"/>
        <w:rPr>
          <w:rFonts w:hint="eastAsia" w:ascii="宋体" w:hAnsi="宋体" w:eastAsia="宋体" w:cs="宋体"/>
          <w:sz w:val="24"/>
          <w:szCs w:val="24"/>
        </w:rPr>
      </w:pPr>
      <w:r>
        <w:rPr>
          <w:rFonts w:hint="eastAsia" w:ascii="宋体" w:hAnsi="宋体" w:eastAsia="宋体" w:cs="宋体"/>
          <w:color w:val="000000"/>
          <w:sz w:val="24"/>
          <w:szCs w:val="24"/>
        </w:rPr>
        <w:t>（5）遇有障碍物（如车辆等）时应缩短障碍前后冲洗距离，前后距离不应超过15米。</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firstLine="361" w:firstLineChars="150"/>
        <w:jc w:val="both"/>
        <w:textAlignment w:val="auto"/>
        <w:rPr>
          <w:rFonts w:hint="eastAsia" w:ascii="宋体" w:hAnsi="宋体" w:eastAsia="宋体" w:cs="宋体"/>
          <w:sz w:val="24"/>
          <w:szCs w:val="24"/>
        </w:rPr>
      </w:pPr>
      <w:r>
        <w:rPr>
          <w:rStyle w:val="10"/>
          <w:rFonts w:hint="eastAsia" w:ascii="宋体" w:hAnsi="宋体" w:eastAsia="宋体" w:cs="宋体"/>
          <w:color w:val="000000"/>
          <w:sz w:val="24"/>
          <w:szCs w:val="24"/>
        </w:rPr>
        <w:t>E、机械冲洗质量标准：</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firstLine="360" w:firstLineChars="150"/>
        <w:jc w:val="both"/>
        <w:textAlignment w:val="auto"/>
        <w:rPr>
          <w:rFonts w:hint="eastAsia" w:ascii="宋体" w:hAnsi="宋体" w:eastAsia="宋体" w:cs="宋体"/>
          <w:sz w:val="24"/>
          <w:szCs w:val="24"/>
        </w:rPr>
      </w:pPr>
      <w:r>
        <w:rPr>
          <w:rFonts w:hint="eastAsia" w:ascii="宋体" w:hAnsi="宋体" w:eastAsia="宋体" w:cs="宋体"/>
          <w:color w:val="000000"/>
          <w:sz w:val="24"/>
          <w:szCs w:val="24"/>
        </w:rPr>
        <w:t>（1）冲洗作业后的道路路面基本达到无废弃物积存，地面交通标志清晰，隔离墩下无泥沙，干净整洁。污物冲洗洗距路沿不超过50厘米。冲洗时水流从路沿返回不超过20厘米。</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firstLine="361" w:firstLineChars="150"/>
        <w:jc w:val="both"/>
        <w:textAlignment w:val="auto"/>
        <w:rPr>
          <w:rFonts w:hint="eastAsia" w:ascii="宋体" w:hAnsi="宋体" w:eastAsia="宋体" w:cs="宋体"/>
          <w:sz w:val="24"/>
          <w:szCs w:val="24"/>
        </w:rPr>
      </w:pPr>
      <w:r>
        <w:rPr>
          <w:rStyle w:val="10"/>
          <w:rFonts w:hint="eastAsia" w:ascii="宋体" w:hAnsi="宋体" w:eastAsia="宋体" w:cs="宋体"/>
          <w:color w:val="000000"/>
          <w:sz w:val="24"/>
          <w:szCs w:val="24"/>
        </w:rPr>
        <w:t>F、机械清扫作业要求：</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firstLine="360" w:firstLineChars="150"/>
        <w:jc w:val="both"/>
        <w:textAlignment w:val="auto"/>
        <w:rPr>
          <w:rFonts w:hint="eastAsia" w:ascii="宋体" w:hAnsi="宋体" w:eastAsia="宋体" w:cs="宋体"/>
          <w:sz w:val="24"/>
          <w:szCs w:val="24"/>
        </w:rPr>
      </w:pPr>
      <w:r>
        <w:rPr>
          <w:rFonts w:hint="eastAsia" w:ascii="宋体" w:hAnsi="宋体" w:eastAsia="宋体" w:cs="宋体"/>
          <w:color w:val="000000"/>
          <w:sz w:val="24"/>
          <w:szCs w:val="24"/>
        </w:rPr>
        <w:t>（1）清扫作业前，驾驶员先启动各清扫工作装置，并下车检查各清扫工作装置运行是否正常；驾驶员要根据实际路况调整相应的扫盘角度和选择适当的扫盘转速，每个扫盘要达到8~13支扫刷压地，同时根据扫毛长短适时进行调整高度：清洗机扫一体必须检查高压喷头冲水情况是否正常；</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firstLine="360" w:firstLineChars="150"/>
        <w:jc w:val="both"/>
        <w:textAlignment w:val="auto"/>
        <w:rPr>
          <w:rFonts w:hint="eastAsia" w:ascii="宋体" w:hAnsi="宋体" w:eastAsia="宋体" w:cs="宋体"/>
          <w:sz w:val="24"/>
          <w:szCs w:val="24"/>
        </w:rPr>
      </w:pPr>
      <w:r>
        <w:rPr>
          <w:rFonts w:hint="eastAsia" w:ascii="宋体" w:hAnsi="宋体" w:eastAsia="宋体" w:cs="宋体"/>
          <w:color w:val="000000"/>
          <w:sz w:val="24"/>
          <w:szCs w:val="24"/>
        </w:rPr>
        <w:t>（2）在机扫过程中，扫毛应压地挨近路沿、花圃围沿边和交通隔离栏底座清扫，做到不丢段、漏段；</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firstLine="360" w:firstLineChars="150"/>
        <w:jc w:val="both"/>
        <w:textAlignment w:val="auto"/>
        <w:rPr>
          <w:rFonts w:hint="eastAsia" w:ascii="宋体" w:hAnsi="宋体" w:eastAsia="宋体" w:cs="宋体"/>
          <w:sz w:val="24"/>
          <w:szCs w:val="24"/>
          <w:lang w:eastAsia="zh-CN"/>
        </w:rPr>
      </w:pPr>
      <w:r>
        <w:rPr>
          <w:rFonts w:hint="eastAsia" w:ascii="宋体" w:hAnsi="宋体" w:eastAsia="宋体" w:cs="宋体"/>
          <w:color w:val="000000"/>
          <w:sz w:val="24"/>
          <w:szCs w:val="24"/>
        </w:rPr>
        <w:t>（3）扫路车部分路段车行道条件受限的由人工负责清扫</w:t>
      </w:r>
      <w:r>
        <w:rPr>
          <w:rFonts w:hint="eastAsia" w:ascii="宋体" w:hAnsi="宋体" w:cs="宋体"/>
          <w:color w:val="000000"/>
          <w:sz w:val="24"/>
          <w:szCs w:val="24"/>
          <w:lang w:eastAsia="zh-CN"/>
        </w:rPr>
        <w:t>。</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firstLine="361" w:firstLineChars="150"/>
        <w:jc w:val="both"/>
        <w:textAlignment w:val="auto"/>
        <w:rPr>
          <w:rFonts w:hint="eastAsia" w:ascii="宋体" w:hAnsi="宋体" w:eastAsia="宋体" w:cs="宋体"/>
          <w:sz w:val="24"/>
          <w:szCs w:val="24"/>
        </w:rPr>
      </w:pPr>
      <w:r>
        <w:rPr>
          <w:rStyle w:val="10"/>
          <w:rFonts w:hint="eastAsia" w:ascii="宋体" w:hAnsi="宋体" w:eastAsia="宋体" w:cs="宋体"/>
          <w:color w:val="000000"/>
          <w:sz w:val="24"/>
          <w:szCs w:val="24"/>
        </w:rPr>
        <w:t>G、机械清扫质量标准：</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firstLine="360" w:firstLineChars="150"/>
        <w:jc w:val="both"/>
        <w:textAlignment w:val="auto"/>
        <w:rPr>
          <w:rFonts w:hint="eastAsia" w:ascii="宋体" w:hAnsi="宋体" w:eastAsia="宋体" w:cs="宋体"/>
          <w:sz w:val="24"/>
          <w:szCs w:val="24"/>
          <w:lang w:eastAsia="zh-CN"/>
        </w:rPr>
      </w:pPr>
      <w:r>
        <w:rPr>
          <w:rFonts w:hint="eastAsia" w:ascii="宋体" w:hAnsi="宋体" w:eastAsia="宋体" w:cs="宋体"/>
          <w:color w:val="000000"/>
          <w:sz w:val="24"/>
          <w:szCs w:val="24"/>
        </w:rPr>
        <w:t>（1）道路路面见本色，路牙无污水、无沙土，不能出现垃圾散花和滴漏拖带及各种废弃物</w:t>
      </w:r>
      <w:r>
        <w:rPr>
          <w:rFonts w:hint="eastAsia" w:ascii="宋体" w:hAnsi="宋体" w:cs="宋体"/>
          <w:color w:val="000000"/>
          <w:sz w:val="24"/>
          <w:szCs w:val="24"/>
          <w:lang w:eastAsia="zh-CN"/>
        </w:rPr>
        <w:t>。</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firstLine="361" w:firstLineChars="150"/>
        <w:jc w:val="both"/>
        <w:textAlignment w:val="auto"/>
        <w:rPr>
          <w:rStyle w:val="10"/>
          <w:rFonts w:hint="eastAsia" w:ascii="宋体" w:hAnsi="宋体" w:eastAsia="宋体" w:cs="宋体"/>
          <w:b/>
          <w:bCs/>
          <w:sz w:val="24"/>
          <w:szCs w:val="24"/>
          <w:highlight w:val="none"/>
        </w:rPr>
      </w:pPr>
      <w:r>
        <w:rPr>
          <w:rFonts w:hint="eastAsia" w:ascii="宋体" w:hAnsi="宋体" w:eastAsia="宋体" w:cs="宋体"/>
          <w:b/>
          <w:bCs/>
          <w:color w:val="000000"/>
          <w:sz w:val="24"/>
          <w:szCs w:val="24"/>
          <w:highlight w:val="none"/>
          <w:lang w:val="en-US" w:eastAsia="zh-CN"/>
        </w:rPr>
        <w:t>1.</w:t>
      </w:r>
      <w:r>
        <w:rPr>
          <w:rFonts w:hint="eastAsia" w:ascii="宋体" w:hAnsi="宋体" w:cs="宋体"/>
          <w:b/>
          <w:bCs/>
          <w:color w:val="000000"/>
          <w:sz w:val="24"/>
          <w:szCs w:val="24"/>
          <w:highlight w:val="none"/>
          <w:lang w:val="en-US" w:eastAsia="zh-CN"/>
        </w:rPr>
        <w:t>6</w:t>
      </w:r>
      <w:r>
        <w:rPr>
          <w:rFonts w:hint="eastAsia" w:ascii="宋体" w:hAnsi="宋体" w:eastAsia="宋体" w:cs="宋体"/>
          <w:b/>
          <w:bCs/>
          <w:sz w:val="24"/>
          <w:szCs w:val="24"/>
          <w:highlight w:val="none"/>
        </w:rPr>
        <w:t>其他</w:t>
      </w:r>
      <w:r>
        <w:rPr>
          <w:rFonts w:hint="eastAsia" w:ascii="宋体" w:hAnsi="宋体" w:eastAsia="宋体" w:cs="宋体"/>
          <w:b/>
          <w:bCs/>
          <w:sz w:val="24"/>
          <w:szCs w:val="24"/>
          <w:highlight w:val="none"/>
          <w:lang w:val="en-US" w:eastAsia="zh-CN"/>
        </w:rPr>
        <w:t>区域</w:t>
      </w:r>
      <w:r>
        <w:rPr>
          <w:rStyle w:val="10"/>
          <w:rFonts w:hint="eastAsia" w:ascii="宋体" w:hAnsi="宋体" w:eastAsia="宋体" w:cs="宋体"/>
          <w:b/>
          <w:bCs/>
          <w:sz w:val="24"/>
          <w:szCs w:val="24"/>
          <w:highlight w:val="none"/>
        </w:rPr>
        <w:t>作业要求与质量标准</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firstLine="361" w:firstLineChars="150"/>
        <w:jc w:val="both"/>
        <w:textAlignment w:val="auto"/>
        <w:rPr>
          <w:rStyle w:val="10"/>
          <w:rFonts w:hint="eastAsia" w:ascii="宋体" w:hAnsi="宋体" w:eastAsia="宋体" w:cs="宋体"/>
          <w:color w:val="000000"/>
          <w:sz w:val="24"/>
          <w:szCs w:val="24"/>
          <w:highlight w:val="none"/>
        </w:rPr>
      </w:pPr>
      <w:r>
        <w:rPr>
          <w:rStyle w:val="10"/>
          <w:rFonts w:hint="eastAsia" w:ascii="宋体" w:hAnsi="宋体" w:eastAsia="宋体" w:cs="宋体"/>
          <w:color w:val="000000"/>
          <w:sz w:val="24"/>
          <w:szCs w:val="24"/>
          <w:highlight w:val="none"/>
        </w:rPr>
        <w:t>A、清扫等级、作业时间安排：</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firstLine="360" w:firstLineChars="150"/>
        <w:jc w:val="both"/>
        <w:textAlignment w:val="auto"/>
        <w:rPr>
          <w:rFonts w:hint="eastAsia" w:ascii="宋体" w:hAnsi="宋体" w:eastAsia="宋体" w:cs="宋体"/>
          <w:sz w:val="24"/>
          <w:szCs w:val="24"/>
          <w:highlight w:val="none"/>
        </w:rPr>
      </w:pPr>
      <w:r>
        <w:rPr>
          <w:rFonts w:hint="eastAsia" w:ascii="宋体" w:hAnsi="宋体" w:eastAsia="宋体" w:cs="宋体"/>
          <w:color w:val="000000"/>
          <w:sz w:val="24"/>
          <w:szCs w:val="24"/>
          <w:highlight w:val="none"/>
          <w:lang w:eastAsia="zh-CN"/>
        </w:rPr>
        <w:t>（</w:t>
      </w:r>
      <w:r>
        <w:rPr>
          <w:rFonts w:hint="eastAsia" w:ascii="宋体" w:hAnsi="宋体" w:eastAsia="宋体" w:cs="宋体"/>
          <w:color w:val="000000"/>
          <w:sz w:val="24"/>
          <w:szCs w:val="24"/>
          <w:highlight w:val="none"/>
          <w:lang w:val="en-US" w:eastAsia="zh-CN"/>
        </w:rPr>
        <w:t>1</w:t>
      </w:r>
      <w:r>
        <w:rPr>
          <w:rFonts w:hint="eastAsia" w:ascii="宋体" w:hAnsi="宋体" w:eastAsia="宋体" w:cs="宋体"/>
          <w:color w:val="000000"/>
          <w:sz w:val="24"/>
          <w:szCs w:val="24"/>
          <w:highlight w:val="none"/>
          <w:lang w:eastAsia="zh-CN"/>
        </w:rPr>
        <w:t>）</w:t>
      </w:r>
      <w:r>
        <w:rPr>
          <w:rFonts w:hint="eastAsia" w:ascii="宋体" w:hAnsi="宋体" w:eastAsia="宋体" w:cs="宋体"/>
          <w:color w:val="000000"/>
          <w:sz w:val="24"/>
          <w:szCs w:val="24"/>
          <w:highlight w:val="none"/>
          <w:lang w:val="en-US" w:eastAsia="zh-CN"/>
        </w:rPr>
        <w:t>划分依据：</w:t>
      </w:r>
      <w:r>
        <w:rPr>
          <w:rFonts w:hint="eastAsia" w:ascii="宋体" w:hAnsi="宋体" w:eastAsia="宋体" w:cs="宋体"/>
          <w:sz w:val="24"/>
          <w:szCs w:val="24"/>
          <w:highlight w:val="none"/>
        </w:rPr>
        <w:t>除一、二、三类道路</w:t>
      </w:r>
      <w:r>
        <w:rPr>
          <w:rFonts w:hint="eastAsia" w:ascii="宋体" w:hAnsi="宋体" w:eastAsia="宋体" w:cs="宋体"/>
          <w:sz w:val="24"/>
          <w:szCs w:val="24"/>
          <w:highlight w:val="none"/>
          <w:lang w:val="en-US" w:eastAsia="zh-CN"/>
        </w:rPr>
        <w:t>之</w:t>
      </w:r>
      <w:r>
        <w:rPr>
          <w:rFonts w:hint="eastAsia" w:ascii="宋体" w:hAnsi="宋体" w:eastAsia="宋体" w:cs="宋体"/>
          <w:sz w:val="24"/>
          <w:szCs w:val="24"/>
          <w:highlight w:val="none"/>
        </w:rPr>
        <w:t>外的</w:t>
      </w:r>
      <w:r>
        <w:rPr>
          <w:rFonts w:hint="eastAsia" w:ascii="宋体" w:hAnsi="宋体" w:eastAsia="宋体" w:cs="宋体"/>
          <w:sz w:val="24"/>
          <w:szCs w:val="24"/>
          <w:highlight w:val="none"/>
          <w:lang w:val="en-US" w:eastAsia="zh-CN"/>
        </w:rPr>
        <w:t>以外的</w:t>
      </w:r>
      <w:r>
        <w:rPr>
          <w:rFonts w:hint="eastAsia" w:ascii="宋体" w:hAnsi="宋体" w:eastAsia="宋体" w:cs="宋体"/>
          <w:sz w:val="24"/>
          <w:szCs w:val="24"/>
          <w:highlight w:val="none"/>
        </w:rPr>
        <w:t>区域。</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firstLine="360" w:firstLineChars="150"/>
        <w:jc w:val="both"/>
        <w:textAlignment w:val="auto"/>
        <w:rPr>
          <w:rFonts w:hint="eastAsia" w:ascii="宋体" w:hAnsi="宋体" w:eastAsia="宋体" w:cs="宋体"/>
          <w:color w:val="000000"/>
          <w:sz w:val="24"/>
          <w:szCs w:val="24"/>
          <w:highlight w:val="none"/>
          <w:lang w:eastAsia="zh-CN"/>
        </w:rPr>
      </w:pPr>
      <w:r>
        <w:rPr>
          <w:rFonts w:hint="eastAsia" w:ascii="宋体" w:hAnsi="宋体" w:eastAsia="宋体" w:cs="宋体"/>
          <w:color w:val="000000"/>
          <w:sz w:val="24"/>
          <w:szCs w:val="24"/>
          <w:highlight w:val="none"/>
        </w:rPr>
        <w:t>（</w:t>
      </w:r>
      <w:r>
        <w:rPr>
          <w:rFonts w:hint="eastAsia" w:ascii="宋体" w:hAnsi="宋体" w:eastAsia="宋体" w:cs="宋体"/>
          <w:color w:val="000000"/>
          <w:sz w:val="24"/>
          <w:szCs w:val="24"/>
          <w:highlight w:val="none"/>
          <w:lang w:val="en-US" w:eastAsia="zh-CN"/>
        </w:rPr>
        <w:t>2</w:t>
      </w:r>
      <w:r>
        <w:rPr>
          <w:rFonts w:hint="eastAsia" w:ascii="宋体" w:hAnsi="宋体" w:eastAsia="宋体" w:cs="宋体"/>
          <w:color w:val="000000"/>
          <w:sz w:val="24"/>
          <w:szCs w:val="24"/>
          <w:highlight w:val="none"/>
        </w:rPr>
        <w:t>）清扫保洁等级划分为</w:t>
      </w:r>
      <w:r>
        <w:rPr>
          <w:rFonts w:hint="eastAsia" w:ascii="宋体" w:hAnsi="宋体" w:cs="宋体"/>
          <w:color w:val="000000"/>
          <w:sz w:val="24"/>
          <w:szCs w:val="24"/>
          <w:highlight w:val="none"/>
          <w:lang w:eastAsia="zh-CN"/>
        </w:rPr>
        <w:t>三</w:t>
      </w:r>
      <w:r>
        <w:rPr>
          <w:rFonts w:hint="eastAsia" w:ascii="宋体" w:hAnsi="宋体" w:eastAsia="宋体" w:cs="宋体"/>
          <w:color w:val="000000"/>
          <w:sz w:val="24"/>
          <w:szCs w:val="24"/>
          <w:highlight w:val="none"/>
        </w:rPr>
        <w:t>级，</w:t>
      </w:r>
      <w:r>
        <w:rPr>
          <w:rFonts w:hint="eastAsia" w:ascii="宋体" w:hAnsi="宋体" w:cs="宋体"/>
          <w:color w:val="000000"/>
          <w:sz w:val="24"/>
          <w:szCs w:val="24"/>
          <w:highlight w:val="none"/>
          <w:lang w:eastAsia="zh-CN"/>
        </w:rPr>
        <w:t>三</w:t>
      </w:r>
      <w:r>
        <w:rPr>
          <w:rFonts w:hint="eastAsia" w:ascii="宋体" w:hAnsi="宋体" w:eastAsia="宋体" w:cs="宋体"/>
          <w:color w:val="000000"/>
          <w:sz w:val="24"/>
          <w:szCs w:val="24"/>
          <w:highlight w:val="none"/>
          <w:lang w:eastAsia="zh-CN"/>
        </w:rPr>
        <w:t>级</w:t>
      </w:r>
      <w:r>
        <w:rPr>
          <w:rFonts w:hint="eastAsia" w:ascii="宋体" w:hAnsi="宋体" w:eastAsia="宋体" w:cs="宋体"/>
          <w:color w:val="000000"/>
          <w:sz w:val="24"/>
          <w:szCs w:val="24"/>
          <w:highlight w:val="none"/>
        </w:rPr>
        <w:t>道路作业时间为1</w:t>
      </w:r>
      <w:r>
        <w:rPr>
          <w:rFonts w:hint="eastAsia" w:ascii="宋体" w:hAnsi="宋体" w:cs="宋体"/>
          <w:color w:val="000000"/>
          <w:sz w:val="24"/>
          <w:szCs w:val="24"/>
          <w:highlight w:val="none"/>
          <w:lang w:val="en-US" w:eastAsia="zh-CN"/>
        </w:rPr>
        <w:t>0</w:t>
      </w:r>
      <w:r>
        <w:rPr>
          <w:rFonts w:hint="eastAsia" w:ascii="宋体" w:hAnsi="宋体" w:eastAsia="宋体" w:cs="宋体"/>
          <w:color w:val="000000"/>
          <w:sz w:val="24"/>
          <w:szCs w:val="24"/>
          <w:highlight w:val="none"/>
          <w:lang w:val="en-US" w:eastAsia="zh-CN"/>
        </w:rPr>
        <w:t>个</w:t>
      </w:r>
      <w:r>
        <w:rPr>
          <w:rFonts w:hint="eastAsia" w:ascii="宋体" w:hAnsi="宋体" w:eastAsia="宋体" w:cs="宋体"/>
          <w:color w:val="000000"/>
          <w:sz w:val="24"/>
          <w:szCs w:val="24"/>
          <w:highlight w:val="none"/>
        </w:rPr>
        <w:t>小时以上；</w:t>
      </w:r>
      <w:r>
        <w:rPr>
          <w:rFonts w:hint="eastAsia" w:ascii="宋体" w:hAnsi="宋体" w:eastAsia="宋体" w:cs="宋体"/>
          <w:color w:val="000000"/>
          <w:sz w:val="24"/>
          <w:szCs w:val="24"/>
          <w:highlight w:val="none"/>
          <w:lang w:val="en-US" w:eastAsia="zh-CN"/>
        </w:rPr>
        <w:t>作业时间</w:t>
      </w:r>
      <w:r>
        <w:rPr>
          <w:rFonts w:hint="eastAsia" w:ascii="宋体" w:hAnsi="宋体" w:cs="宋体"/>
          <w:color w:val="000000"/>
          <w:sz w:val="24"/>
          <w:szCs w:val="24"/>
          <w:highlight w:val="none"/>
          <w:lang w:val="en-US" w:eastAsia="zh-CN"/>
        </w:rPr>
        <w:t>6：00</w:t>
      </w:r>
      <w:r>
        <w:rPr>
          <w:rFonts w:hint="eastAsia" w:ascii="宋体" w:hAnsi="宋体" w:eastAsia="宋体" w:cs="宋体"/>
          <w:color w:val="000000"/>
          <w:sz w:val="24"/>
          <w:szCs w:val="24"/>
          <w:highlight w:val="none"/>
          <w:lang w:val="en-US" w:eastAsia="zh-CN"/>
        </w:rPr>
        <w:t>-</w:t>
      </w:r>
      <w:r>
        <w:rPr>
          <w:rFonts w:hint="eastAsia" w:ascii="宋体" w:hAnsi="宋体" w:cs="宋体"/>
          <w:color w:val="000000"/>
          <w:sz w:val="24"/>
          <w:szCs w:val="24"/>
          <w:highlight w:val="none"/>
          <w:lang w:val="en-US" w:eastAsia="zh-CN"/>
        </w:rPr>
        <w:t>18</w:t>
      </w:r>
      <w:r>
        <w:rPr>
          <w:rFonts w:hint="eastAsia" w:ascii="宋体" w:hAnsi="宋体" w:eastAsia="宋体" w:cs="宋体"/>
          <w:color w:val="000000"/>
          <w:sz w:val="24"/>
          <w:szCs w:val="24"/>
          <w:highlight w:val="none"/>
          <w:lang w:val="en-US" w:eastAsia="zh-CN"/>
        </w:rPr>
        <w:t>：</w:t>
      </w:r>
      <w:r>
        <w:rPr>
          <w:rFonts w:hint="eastAsia" w:ascii="宋体" w:hAnsi="宋体" w:cs="宋体"/>
          <w:color w:val="000000"/>
          <w:sz w:val="24"/>
          <w:szCs w:val="24"/>
          <w:highlight w:val="none"/>
          <w:lang w:val="en-US" w:eastAsia="zh-CN"/>
        </w:rPr>
        <w:t>0</w:t>
      </w:r>
      <w:r>
        <w:rPr>
          <w:rFonts w:hint="eastAsia" w:ascii="宋体" w:hAnsi="宋体" w:eastAsia="宋体" w:cs="宋体"/>
          <w:color w:val="000000"/>
          <w:sz w:val="24"/>
          <w:szCs w:val="24"/>
          <w:highlight w:val="none"/>
          <w:lang w:val="en-US" w:eastAsia="zh-CN"/>
        </w:rPr>
        <w:t>0；</w:t>
      </w:r>
      <w:r>
        <w:rPr>
          <w:rFonts w:hint="eastAsia" w:ascii="宋体" w:hAnsi="宋体" w:cs="宋体"/>
          <w:color w:val="000000"/>
          <w:sz w:val="24"/>
          <w:szCs w:val="24"/>
          <w:highlight w:val="none"/>
          <w:lang w:val="en-US" w:eastAsia="zh-CN"/>
        </w:rPr>
        <w:t>每日上下午</w:t>
      </w:r>
      <w:r>
        <w:rPr>
          <w:rFonts w:hint="eastAsia" w:ascii="宋体" w:hAnsi="宋体" w:eastAsia="宋体" w:cs="宋体"/>
          <w:color w:val="000000"/>
          <w:sz w:val="24"/>
          <w:szCs w:val="24"/>
          <w:highlight w:val="none"/>
          <w:lang w:val="en-US" w:eastAsia="zh-CN"/>
        </w:rPr>
        <w:t>普</w:t>
      </w:r>
      <w:r>
        <w:rPr>
          <w:rFonts w:hint="eastAsia" w:ascii="宋体" w:hAnsi="宋体" w:eastAsia="宋体" w:cs="宋体"/>
          <w:color w:val="000000"/>
          <w:sz w:val="24"/>
          <w:szCs w:val="24"/>
          <w:highlight w:val="none"/>
        </w:rPr>
        <w:t>扫</w:t>
      </w:r>
      <w:r>
        <w:rPr>
          <w:rFonts w:hint="eastAsia" w:ascii="宋体" w:hAnsi="宋体" w:cs="宋体"/>
          <w:color w:val="000000"/>
          <w:sz w:val="24"/>
          <w:szCs w:val="24"/>
          <w:highlight w:val="none"/>
          <w:lang w:eastAsia="zh-CN"/>
        </w:rPr>
        <w:t>一次</w:t>
      </w:r>
      <w:r>
        <w:rPr>
          <w:rFonts w:hint="eastAsia" w:ascii="宋体" w:hAnsi="宋体" w:eastAsia="宋体" w:cs="宋体"/>
          <w:color w:val="000000"/>
          <w:sz w:val="24"/>
          <w:szCs w:val="24"/>
          <w:highlight w:val="none"/>
        </w:rPr>
        <w:t>，保洁</w:t>
      </w:r>
      <w:r>
        <w:rPr>
          <w:rFonts w:hint="eastAsia" w:ascii="宋体" w:hAnsi="宋体" w:cs="宋体"/>
          <w:color w:val="000000"/>
          <w:sz w:val="24"/>
          <w:szCs w:val="24"/>
          <w:highlight w:val="none"/>
          <w:lang w:eastAsia="zh-CN"/>
        </w:rPr>
        <w:t>一日不少于两次</w:t>
      </w:r>
      <w:r>
        <w:rPr>
          <w:rFonts w:hint="eastAsia" w:ascii="宋体" w:hAnsi="宋体" w:eastAsia="宋体" w:cs="宋体"/>
          <w:color w:val="000000"/>
          <w:sz w:val="24"/>
          <w:szCs w:val="24"/>
          <w:highlight w:val="none"/>
          <w:lang w:eastAsia="zh-CN"/>
        </w:rPr>
        <w:t>。</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firstLine="361" w:firstLineChars="150"/>
        <w:jc w:val="both"/>
        <w:textAlignment w:val="auto"/>
        <w:rPr>
          <w:rFonts w:hint="eastAsia" w:ascii="宋体" w:hAnsi="宋体" w:eastAsia="宋体" w:cs="宋体"/>
          <w:sz w:val="24"/>
          <w:szCs w:val="24"/>
        </w:rPr>
      </w:pPr>
      <w:r>
        <w:rPr>
          <w:rStyle w:val="10"/>
          <w:rFonts w:hint="eastAsia" w:ascii="宋体" w:hAnsi="宋体" w:eastAsia="宋体" w:cs="宋体"/>
          <w:color w:val="000000"/>
          <w:sz w:val="24"/>
          <w:szCs w:val="24"/>
        </w:rPr>
        <w:t>B、清扫保洁作业要求：</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firstLine="360" w:firstLineChars="150"/>
        <w:jc w:val="both"/>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①路面无垃圾、无杂物、无积泥（沙石），晴天无积水</w:t>
      </w:r>
      <w:r>
        <w:rPr>
          <w:rFonts w:hint="eastAsia" w:ascii="宋体" w:hAnsi="宋体" w:eastAsia="宋体" w:cs="宋体"/>
          <w:sz w:val="24"/>
          <w:szCs w:val="24"/>
          <w:highlight w:val="none"/>
          <w:lang w:eastAsia="zh-CN"/>
        </w:rPr>
        <w:t>；</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firstLine="360" w:firstLineChars="150"/>
        <w:jc w:val="both"/>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②雨水井沟眼畅通干净</w:t>
      </w:r>
      <w:r>
        <w:rPr>
          <w:rFonts w:hint="eastAsia" w:ascii="宋体" w:hAnsi="宋体" w:eastAsia="宋体" w:cs="宋体"/>
          <w:sz w:val="24"/>
          <w:szCs w:val="24"/>
          <w:highlight w:val="none"/>
          <w:lang w:eastAsia="zh-CN"/>
        </w:rPr>
        <w:t>；</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firstLine="360" w:firstLineChars="150"/>
        <w:jc w:val="both"/>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③绿化内清洁无垃圾、杂物</w:t>
      </w:r>
      <w:r>
        <w:rPr>
          <w:rFonts w:hint="eastAsia" w:ascii="宋体" w:hAnsi="宋体" w:eastAsia="宋体" w:cs="宋体"/>
          <w:sz w:val="24"/>
          <w:szCs w:val="24"/>
          <w:highlight w:val="none"/>
          <w:lang w:eastAsia="zh-CN"/>
        </w:rPr>
        <w:t>；</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firstLine="360" w:firstLineChars="150"/>
        <w:jc w:val="both"/>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④环卫设施无破损，箱（桶、房）表面及周边整洁</w:t>
      </w:r>
      <w:r>
        <w:rPr>
          <w:rFonts w:hint="eastAsia" w:ascii="宋体" w:hAnsi="宋体" w:eastAsia="宋体" w:cs="宋体"/>
          <w:sz w:val="24"/>
          <w:szCs w:val="24"/>
          <w:highlight w:val="none"/>
          <w:lang w:eastAsia="zh-CN"/>
        </w:rPr>
        <w:t>。</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firstLine="361" w:firstLineChars="150"/>
        <w:jc w:val="both"/>
        <w:textAlignment w:val="auto"/>
        <w:rPr>
          <w:rFonts w:hint="eastAsia" w:ascii="宋体" w:hAnsi="宋体" w:eastAsia="宋体" w:cs="宋体"/>
          <w:b/>
          <w:bCs/>
          <w:sz w:val="24"/>
          <w:szCs w:val="24"/>
          <w:highlight w:val="none"/>
          <w:lang w:val="en-US" w:eastAsia="zh-CN"/>
        </w:rPr>
      </w:pPr>
      <w:r>
        <w:rPr>
          <w:rFonts w:hint="eastAsia" w:ascii="宋体" w:hAnsi="宋体" w:eastAsia="宋体" w:cs="宋体"/>
          <w:b/>
          <w:bCs/>
          <w:sz w:val="24"/>
          <w:szCs w:val="24"/>
          <w:highlight w:val="none"/>
          <w:lang w:val="en-US" w:eastAsia="zh-CN"/>
        </w:rPr>
        <w:t>C、清扫保洁作业质量标准</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firstLine="360" w:firstLineChars="150"/>
        <w:jc w:val="both"/>
        <w:textAlignment w:val="auto"/>
        <w:rPr>
          <w:rFonts w:hint="eastAsia" w:ascii="宋体" w:hAnsi="宋体" w:cs="宋体"/>
          <w:color w:val="000000"/>
          <w:sz w:val="24"/>
          <w:szCs w:val="24"/>
          <w:highlight w:val="none"/>
          <w:lang w:eastAsia="zh-CN"/>
        </w:rPr>
      </w:pPr>
      <w:r>
        <w:rPr>
          <w:rFonts w:hint="eastAsia" w:ascii="宋体" w:hAnsi="宋体" w:eastAsia="宋体" w:cs="宋体"/>
          <w:color w:val="000000"/>
          <w:sz w:val="24"/>
          <w:szCs w:val="24"/>
          <w:highlight w:val="none"/>
          <w:lang w:eastAsia="zh-CN"/>
        </w:rPr>
        <w:t>①路面无垃圾、无杂物、无积泥（沙石），晴天无积水</w:t>
      </w:r>
      <w:r>
        <w:rPr>
          <w:rFonts w:hint="eastAsia" w:ascii="宋体" w:hAnsi="宋体" w:cs="宋体"/>
          <w:color w:val="000000"/>
          <w:sz w:val="24"/>
          <w:szCs w:val="24"/>
          <w:highlight w:val="none"/>
          <w:lang w:eastAsia="zh-CN"/>
        </w:rPr>
        <w:t>；</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firstLine="360" w:firstLineChars="150"/>
        <w:jc w:val="both"/>
        <w:textAlignment w:val="auto"/>
        <w:rPr>
          <w:rFonts w:hint="eastAsia" w:ascii="宋体" w:hAnsi="宋体" w:cs="宋体"/>
          <w:color w:val="000000"/>
          <w:sz w:val="24"/>
          <w:szCs w:val="24"/>
          <w:highlight w:val="none"/>
          <w:lang w:eastAsia="zh-CN"/>
        </w:rPr>
      </w:pPr>
      <w:r>
        <w:rPr>
          <w:rFonts w:hint="eastAsia" w:ascii="宋体" w:hAnsi="宋体" w:eastAsia="宋体" w:cs="宋体"/>
          <w:color w:val="000000"/>
          <w:sz w:val="24"/>
          <w:szCs w:val="24"/>
          <w:highlight w:val="none"/>
          <w:lang w:eastAsia="zh-CN"/>
        </w:rPr>
        <w:t>②雨水井沟眼畅通干净</w:t>
      </w:r>
      <w:r>
        <w:rPr>
          <w:rFonts w:hint="eastAsia" w:ascii="宋体" w:hAnsi="宋体" w:cs="宋体"/>
          <w:color w:val="000000"/>
          <w:sz w:val="24"/>
          <w:szCs w:val="24"/>
          <w:highlight w:val="none"/>
          <w:lang w:eastAsia="zh-CN"/>
        </w:rPr>
        <w:t>；</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firstLine="360" w:firstLineChars="150"/>
        <w:jc w:val="both"/>
        <w:textAlignment w:val="auto"/>
        <w:rPr>
          <w:rFonts w:hint="eastAsia" w:ascii="宋体" w:hAnsi="宋体" w:cs="宋体"/>
          <w:color w:val="000000"/>
          <w:sz w:val="24"/>
          <w:szCs w:val="24"/>
          <w:highlight w:val="none"/>
          <w:lang w:eastAsia="zh-CN"/>
        </w:rPr>
      </w:pPr>
      <w:r>
        <w:rPr>
          <w:rFonts w:hint="eastAsia" w:ascii="宋体" w:hAnsi="宋体" w:eastAsia="宋体" w:cs="宋体"/>
          <w:color w:val="000000"/>
          <w:sz w:val="24"/>
          <w:szCs w:val="24"/>
          <w:highlight w:val="none"/>
          <w:lang w:eastAsia="zh-CN"/>
        </w:rPr>
        <w:t>③绿化内清洁无垃圾、杂物</w:t>
      </w:r>
      <w:r>
        <w:rPr>
          <w:rFonts w:hint="eastAsia" w:ascii="宋体" w:hAnsi="宋体" w:cs="宋体"/>
          <w:color w:val="000000"/>
          <w:sz w:val="24"/>
          <w:szCs w:val="24"/>
          <w:highlight w:val="none"/>
          <w:lang w:eastAsia="zh-CN"/>
        </w:rPr>
        <w:t>；</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firstLine="360" w:firstLineChars="150"/>
        <w:jc w:val="both"/>
        <w:textAlignment w:val="auto"/>
        <w:rPr>
          <w:rFonts w:hint="eastAsia" w:ascii="宋体" w:hAnsi="宋体" w:eastAsia="宋体" w:cs="宋体"/>
          <w:color w:val="000000"/>
          <w:sz w:val="24"/>
          <w:szCs w:val="24"/>
          <w:highlight w:val="none"/>
          <w:lang w:eastAsia="zh-CN"/>
        </w:rPr>
      </w:pPr>
      <w:r>
        <w:rPr>
          <w:rFonts w:hint="eastAsia" w:ascii="宋体" w:hAnsi="宋体" w:eastAsia="宋体" w:cs="宋体"/>
          <w:color w:val="000000"/>
          <w:sz w:val="24"/>
          <w:szCs w:val="24"/>
          <w:highlight w:val="none"/>
          <w:lang w:eastAsia="zh-CN"/>
        </w:rPr>
        <w:t>④环卫设施无破损，箱（桶、房）表面及周边整洁。</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361" w:firstLineChars="150"/>
        <w:jc w:val="both"/>
        <w:textAlignment w:val="auto"/>
        <w:rPr>
          <w:rStyle w:val="10"/>
          <w:rFonts w:hint="eastAsia" w:ascii="宋体" w:hAnsi="宋体" w:eastAsia="宋体" w:cs="宋体"/>
          <w:color w:val="000000"/>
          <w:sz w:val="24"/>
          <w:szCs w:val="24"/>
        </w:rPr>
      </w:pPr>
      <w:r>
        <w:rPr>
          <w:rStyle w:val="10"/>
          <w:rFonts w:hint="eastAsia" w:ascii="宋体" w:hAnsi="宋体" w:cs="宋体"/>
          <w:color w:val="000000"/>
          <w:sz w:val="24"/>
          <w:szCs w:val="24"/>
          <w:lang w:val="en-US" w:eastAsia="zh-CN"/>
        </w:rPr>
        <w:t>2、</w:t>
      </w:r>
      <w:r>
        <w:rPr>
          <w:rStyle w:val="10"/>
          <w:rFonts w:hint="eastAsia" w:ascii="宋体" w:hAnsi="宋体" w:eastAsia="宋体" w:cs="宋体"/>
          <w:color w:val="000000"/>
          <w:sz w:val="24"/>
          <w:szCs w:val="24"/>
        </w:rPr>
        <w:t>垃圾收集</w:t>
      </w:r>
      <w:r>
        <w:rPr>
          <w:rStyle w:val="10"/>
          <w:rFonts w:hint="eastAsia" w:ascii="宋体" w:hAnsi="宋体" w:eastAsia="宋体" w:cs="宋体"/>
          <w:color w:val="000000"/>
          <w:sz w:val="24"/>
          <w:szCs w:val="24"/>
          <w:lang w:val="en-US" w:eastAsia="zh-CN"/>
        </w:rPr>
        <w:t>清运</w:t>
      </w:r>
      <w:r>
        <w:rPr>
          <w:rStyle w:val="10"/>
          <w:rFonts w:hint="eastAsia" w:ascii="宋体" w:hAnsi="宋体" w:eastAsia="宋体" w:cs="宋体"/>
          <w:color w:val="000000"/>
          <w:sz w:val="24"/>
          <w:szCs w:val="24"/>
        </w:rPr>
        <w:t>作业要求与质量标准</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361" w:firstLineChars="150"/>
        <w:jc w:val="both"/>
        <w:textAlignment w:val="auto"/>
        <w:rPr>
          <w:rStyle w:val="10"/>
          <w:rFonts w:hint="eastAsia" w:ascii="宋体" w:hAnsi="宋体" w:eastAsia="宋体" w:cs="宋体"/>
          <w:sz w:val="24"/>
          <w:szCs w:val="24"/>
        </w:rPr>
      </w:pPr>
      <w:r>
        <w:rPr>
          <w:rStyle w:val="10"/>
          <w:rFonts w:hint="eastAsia" w:ascii="宋体" w:hAnsi="宋体" w:cs="宋体"/>
          <w:sz w:val="24"/>
          <w:szCs w:val="24"/>
          <w:lang w:val="en-US" w:eastAsia="zh-CN"/>
        </w:rPr>
        <w:t>2.1</w:t>
      </w:r>
      <w:r>
        <w:rPr>
          <w:rFonts w:hint="eastAsia" w:ascii="宋体" w:hAnsi="宋体" w:eastAsia="宋体" w:cs="宋体"/>
          <w:b/>
          <w:bCs/>
          <w:sz w:val="24"/>
          <w:szCs w:val="24"/>
          <w:lang w:val="en-US" w:eastAsia="zh-CN"/>
        </w:rPr>
        <w:t>垃圾收集清运作业</w:t>
      </w:r>
      <w:r>
        <w:rPr>
          <w:rStyle w:val="10"/>
          <w:rFonts w:hint="eastAsia" w:ascii="宋体" w:hAnsi="宋体" w:eastAsia="宋体" w:cs="宋体"/>
          <w:sz w:val="24"/>
          <w:szCs w:val="24"/>
        </w:rPr>
        <w:t>范围</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360" w:firstLineChars="150"/>
        <w:jc w:val="both"/>
        <w:textAlignment w:val="auto"/>
        <w:rPr>
          <w:rStyle w:val="10"/>
          <w:rFonts w:hint="eastAsia" w:ascii="宋体" w:hAnsi="宋体" w:cs="宋体"/>
          <w:b w:val="0"/>
          <w:bCs/>
          <w:sz w:val="24"/>
          <w:szCs w:val="24"/>
          <w:lang w:val="en-US" w:eastAsia="zh-CN"/>
        </w:rPr>
      </w:pPr>
      <w:r>
        <w:rPr>
          <w:rStyle w:val="10"/>
          <w:rFonts w:hint="eastAsia" w:ascii="宋体" w:hAnsi="宋体" w:cs="宋体"/>
          <w:b w:val="0"/>
          <w:bCs/>
          <w:sz w:val="24"/>
          <w:szCs w:val="24"/>
          <w:lang w:val="en-US" w:eastAsia="zh-CN"/>
        </w:rPr>
        <w:t>2.1.1作业范围内保洁工作过程中产生的垃圾收集清运至</w:t>
      </w:r>
      <w:r>
        <w:rPr>
          <w:rStyle w:val="10"/>
          <w:rFonts w:hint="eastAsia" w:ascii="宋体" w:hAnsi="宋体" w:cs="宋体"/>
          <w:b w:val="0"/>
          <w:bCs/>
          <w:sz w:val="24"/>
          <w:szCs w:val="24"/>
          <w:lang w:eastAsia="zh-CN"/>
        </w:rPr>
        <w:t>县生活垃圾处理厂进行处置；</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360" w:firstLineChars="150"/>
        <w:jc w:val="both"/>
        <w:textAlignment w:val="auto"/>
        <w:rPr>
          <w:rStyle w:val="10"/>
          <w:rFonts w:hint="eastAsia" w:ascii="宋体" w:hAnsi="宋体" w:eastAsia="宋体" w:cs="宋体"/>
          <w:b w:val="0"/>
          <w:bCs/>
          <w:sz w:val="24"/>
          <w:szCs w:val="24"/>
          <w:lang w:eastAsia="zh-CN"/>
        </w:rPr>
      </w:pPr>
      <w:r>
        <w:rPr>
          <w:rStyle w:val="10"/>
          <w:rFonts w:hint="eastAsia" w:ascii="宋体" w:hAnsi="宋体" w:cs="宋体"/>
          <w:b w:val="0"/>
          <w:bCs/>
          <w:sz w:val="24"/>
          <w:szCs w:val="24"/>
          <w:lang w:val="en-US" w:eastAsia="zh-CN"/>
        </w:rPr>
        <w:t>2.1.2</w:t>
      </w:r>
      <w:r>
        <w:rPr>
          <w:rStyle w:val="10"/>
          <w:rFonts w:hint="eastAsia" w:ascii="宋体" w:hAnsi="宋体" w:cs="宋体"/>
          <w:b w:val="0"/>
          <w:bCs/>
          <w:sz w:val="24"/>
          <w:szCs w:val="24"/>
          <w:lang w:eastAsia="zh-CN"/>
        </w:rPr>
        <w:t>一体化承包作业区域范围内的垃圾收集点、垃圾中转站及垃圾压缩站等所有垃圾清运至县生活垃圾处理厂进行处置；</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firstLine="361" w:firstLineChars="150"/>
        <w:jc w:val="both"/>
        <w:textAlignment w:val="auto"/>
        <w:rPr>
          <w:rFonts w:hint="eastAsia" w:ascii="宋体" w:hAnsi="宋体" w:eastAsia="宋体" w:cs="宋体"/>
          <w:b/>
          <w:bCs/>
          <w:sz w:val="24"/>
          <w:szCs w:val="24"/>
          <w:lang w:val="en-US" w:eastAsia="zh-CN"/>
        </w:rPr>
      </w:pPr>
      <w:r>
        <w:rPr>
          <w:rFonts w:hint="eastAsia" w:ascii="宋体" w:hAnsi="宋体" w:cs="宋体"/>
          <w:b/>
          <w:bCs/>
          <w:sz w:val="24"/>
          <w:szCs w:val="24"/>
          <w:lang w:val="en-US" w:eastAsia="zh-CN"/>
        </w:rPr>
        <w:t>2.2</w:t>
      </w:r>
      <w:r>
        <w:rPr>
          <w:rFonts w:hint="eastAsia" w:ascii="宋体" w:hAnsi="宋体" w:eastAsia="宋体" w:cs="宋体"/>
          <w:b/>
          <w:bCs/>
          <w:sz w:val="24"/>
          <w:szCs w:val="24"/>
          <w:lang w:val="en-US" w:eastAsia="zh-CN"/>
        </w:rPr>
        <w:t>垃圾收集清运作业质量标准</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firstLine="360" w:firstLineChars="150"/>
        <w:jc w:val="both"/>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（1）垃圾收集设施内生活垃圾日产日清。</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firstLine="360" w:firstLineChars="150"/>
        <w:jc w:val="both"/>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（2）清理、收集的各类垃圾必须分类按指定地点倾倒。</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firstLine="360" w:firstLineChars="150"/>
        <w:jc w:val="both"/>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（3）垃圾运输密闭，无抛洒、吊挂和污水滴漏，运输车辆作业后及时清洗干净。</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firstLine="360" w:firstLineChars="150"/>
        <w:jc w:val="both"/>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（4）生活垃圾无害化处理率达100%。</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firstLine="360" w:firstLineChars="150"/>
        <w:jc w:val="both"/>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（5）垃圾收集容器应摆放整齐。设置点及周围2-5m内应整洁、无散落、存留垃圾和污水。</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firstLine="360" w:firstLineChars="150"/>
        <w:jc w:val="both"/>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（6）垃圾收集容器应外体干净。垃圾房（亭）内外墙面不得有明显积灰、污物。</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firstLine="360" w:firstLineChars="150"/>
        <w:jc w:val="both"/>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（7）蝇、蚊孳生季节，垃极收集站（点），应定时喷酒消毒、灭蚊蝇药物。</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firstLine="360" w:firstLineChars="150"/>
        <w:jc w:val="both"/>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（8）收集作业完成后，应及时清理场地，将可移动式垃投收集容器复位，车走地净，应圾直接送至指定的传运站或处置场。</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firstLine="360" w:firstLineChars="150"/>
        <w:jc w:val="both"/>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（9）垃投收集容器内的垃圾应及时清除、无满溢和散落，并定时清洗容器。</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firstLine="360" w:firstLineChars="150"/>
        <w:jc w:val="both"/>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（10）车容应整洁，车体外部无污物、灰垢，标识应清晰。</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firstLine="360" w:firstLineChars="150"/>
        <w:jc w:val="both"/>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（11）运输垃圾车应密闭，在运输过程中无垃圾抛撒、拖挂和污水滴漏。</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firstLine="360" w:firstLineChars="150"/>
        <w:jc w:val="both"/>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（12）垃圾装运量应以车辆的额定荷载和有效容积为限，不得超重、超高运输。</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firstLine="360" w:firstLineChars="150"/>
        <w:jc w:val="both"/>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（13）装卸垃圾应符合作业要求，不得乱倒、乱卸、乱抛垃圾。</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firstLine="360" w:firstLineChars="150"/>
        <w:jc w:val="both"/>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（14）遵守《道路交通安全法》及单位车辆使用管理规定，确保行车安全无事故。</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firstLine="360" w:firstLineChars="150"/>
        <w:jc w:val="both"/>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（15）按规定年检、年审，保养规范，经济有效调度各类车辆。</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firstLine="361" w:firstLineChars="150"/>
        <w:jc w:val="both"/>
        <w:textAlignment w:val="auto"/>
        <w:rPr>
          <w:rFonts w:hint="eastAsia" w:ascii="宋体" w:hAnsi="宋体" w:eastAsia="宋体" w:cs="宋体"/>
          <w:b/>
          <w:bCs/>
          <w:sz w:val="24"/>
          <w:szCs w:val="24"/>
          <w:lang w:val="en-US" w:eastAsia="zh-CN"/>
        </w:rPr>
      </w:pPr>
      <w:r>
        <w:rPr>
          <w:rFonts w:hint="eastAsia" w:ascii="宋体" w:hAnsi="宋体" w:cs="宋体"/>
          <w:b/>
          <w:bCs/>
          <w:sz w:val="24"/>
          <w:szCs w:val="24"/>
          <w:lang w:val="en-US" w:eastAsia="zh-CN"/>
        </w:rPr>
        <w:t>2.3</w:t>
      </w:r>
      <w:r>
        <w:rPr>
          <w:rFonts w:hint="eastAsia" w:ascii="宋体" w:hAnsi="宋体" w:eastAsia="宋体" w:cs="宋体"/>
          <w:b/>
          <w:bCs/>
          <w:sz w:val="24"/>
          <w:szCs w:val="24"/>
          <w:lang w:val="en-US" w:eastAsia="zh-CN"/>
        </w:rPr>
        <w:t>大件垃圾清运作业质量标准</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firstLine="360" w:firstLineChars="150"/>
        <w:jc w:val="both"/>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（1）城区三级以上道路和重点区城，大件垃圾滞留时间不超过2小时。</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firstLine="360" w:firstLineChars="150"/>
        <w:jc w:val="both"/>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（2）背街小巷及城区内开放式小区、社区内公共区域，大件垃圾滞留时间不超过6小时。</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firstLine="360" w:firstLineChars="150"/>
        <w:jc w:val="both"/>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（3）清运作业中做到车走地净，沿途不抛撒、遗撒、无二次污染。</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firstLine="360" w:firstLineChars="150"/>
        <w:jc w:val="both"/>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（4）大件垃圾须分类处置，资源化利用；作业场地内要秩序良好，物品分类明确，摆放整齐。</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firstLine="360" w:firstLineChars="150"/>
        <w:jc w:val="both"/>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（5）作业车辆管理规范、外表整洁、车况良好、标识清晰；运行中遵守交通规则，文明行车。</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firstLine="360" w:firstLineChars="150"/>
        <w:jc w:val="both"/>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（6）专业设备，车辆必须由专业人员操作。</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firstLine="360" w:firstLineChars="150"/>
        <w:jc w:val="both"/>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（7）政府网站、宁化在线、新闻媒体来信、来电、来访等投诉举报，须及时处理。</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361" w:firstLineChars="150"/>
        <w:jc w:val="both"/>
        <w:textAlignment w:val="auto"/>
        <w:rPr>
          <w:rFonts w:hint="eastAsia" w:ascii="宋体" w:hAnsi="宋体" w:eastAsia="宋体" w:cs="宋体"/>
          <w:sz w:val="24"/>
          <w:szCs w:val="24"/>
        </w:rPr>
      </w:pPr>
      <w:r>
        <w:rPr>
          <w:rStyle w:val="10"/>
          <w:rFonts w:hint="eastAsia" w:ascii="宋体" w:hAnsi="宋体" w:cs="宋体"/>
          <w:sz w:val="24"/>
          <w:szCs w:val="24"/>
          <w:lang w:val="en-US" w:eastAsia="zh-CN"/>
        </w:rPr>
        <w:t>2.4</w:t>
      </w:r>
      <w:r>
        <w:rPr>
          <w:rFonts w:hint="eastAsia" w:ascii="宋体" w:hAnsi="宋体" w:eastAsia="宋体" w:cs="宋体"/>
          <w:b/>
          <w:bCs/>
          <w:sz w:val="24"/>
          <w:szCs w:val="24"/>
          <w:lang w:val="en-US" w:eastAsia="zh-CN"/>
        </w:rPr>
        <w:t>垃圾收集清运</w:t>
      </w:r>
      <w:r>
        <w:rPr>
          <w:rStyle w:val="10"/>
          <w:rFonts w:hint="eastAsia" w:ascii="宋体" w:hAnsi="宋体" w:eastAsia="宋体" w:cs="宋体"/>
          <w:sz w:val="24"/>
          <w:szCs w:val="24"/>
        </w:rPr>
        <w:t>安全作业</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360" w:firstLineChars="150"/>
        <w:jc w:val="both"/>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（1）从业人员应按规定着职业工装，夜间作业时应着带反光的职业工装；</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firstLine="360" w:firstLineChars="150"/>
        <w:jc w:val="both"/>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（2）从业人员作业期间应注意机械操作的安全；</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firstLine="360" w:firstLineChars="150"/>
        <w:jc w:val="both"/>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（3）运输车辆作业时，应注意交通安全，遵守交通法规。</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361" w:firstLineChars="150"/>
        <w:jc w:val="both"/>
        <w:textAlignment w:val="auto"/>
        <w:rPr>
          <w:rFonts w:hint="eastAsia" w:ascii="宋体" w:hAnsi="宋体" w:eastAsia="宋体" w:cs="宋体"/>
          <w:sz w:val="24"/>
          <w:szCs w:val="24"/>
        </w:rPr>
      </w:pPr>
      <w:r>
        <w:rPr>
          <w:rStyle w:val="10"/>
          <w:rFonts w:hint="eastAsia" w:ascii="宋体" w:hAnsi="宋体" w:cs="宋体"/>
          <w:sz w:val="24"/>
          <w:szCs w:val="24"/>
          <w:lang w:val="en-US" w:eastAsia="zh-CN"/>
        </w:rPr>
        <w:t>2.5</w:t>
      </w:r>
      <w:r>
        <w:rPr>
          <w:rFonts w:hint="eastAsia" w:ascii="宋体" w:hAnsi="宋体" w:eastAsia="宋体" w:cs="宋体"/>
          <w:b/>
          <w:bCs/>
          <w:sz w:val="24"/>
          <w:szCs w:val="24"/>
          <w:lang w:val="en-US" w:eastAsia="zh-CN"/>
        </w:rPr>
        <w:t>垃圾收集清运作业</w:t>
      </w:r>
      <w:r>
        <w:rPr>
          <w:rStyle w:val="10"/>
          <w:rFonts w:hint="eastAsia" w:ascii="宋体" w:hAnsi="宋体" w:eastAsia="宋体" w:cs="宋体"/>
          <w:sz w:val="24"/>
          <w:szCs w:val="24"/>
        </w:rPr>
        <w:t>监督管理</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firstLine="360" w:firstLineChars="150"/>
        <w:jc w:val="both"/>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 xml:space="preserve">（1）生活垃圾收集清运责任单位应定期进行服务作业质量分析，及时解决作业质量问题；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firstLine="360" w:firstLineChars="150"/>
        <w:jc w:val="both"/>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（2）生活垃圾收集清运责任单位应建立举报投诉机制，自觉接受社会监督；</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360" w:firstLineChars="150"/>
        <w:jc w:val="both"/>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 xml:space="preserve">（3）生活垃圾收集清运责任单位应按照本规范对服务质量进行监督考核，对违反本标准的单位和个人及时做出处理。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firstLine="361" w:firstLineChars="150"/>
        <w:jc w:val="both"/>
        <w:textAlignment w:val="auto"/>
        <w:rPr>
          <w:rStyle w:val="10"/>
          <w:rFonts w:hint="eastAsia" w:ascii="宋体" w:hAnsi="宋体" w:eastAsia="宋体" w:cs="宋体"/>
          <w:sz w:val="24"/>
          <w:szCs w:val="24"/>
        </w:rPr>
      </w:pPr>
      <w:r>
        <w:rPr>
          <w:rStyle w:val="10"/>
          <w:rFonts w:hint="eastAsia" w:ascii="宋体" w:hAnsi="宋体" w:cs="宋体"/>
          <w:sz w:val="24"/>
          <w:szCs w:val="24"/>
          <w:lang w:val="en-US" w:eastAsia="zh-CN"/>
        </w:rPr>
        <w:t>3、</w:t>
      </w:r>
      <w:r>
        <w:rPr>
          <w:rStyle w:val="10"/>
          <w:rFonts w:hint="eastAsia" w:ascii="宋体" w:hAnsi="宋体" w:eastAsia="宋体" w:cs="宋体"/>
          <w:sz w:val="24"/>
          <w:szCs w:val="24"/>
          <w:lang w:val="en-US" w:eastAsia="zh-CN"/>
        </w:rPr>
        <w:t>宁化县</w:t>
      </w:r>
      <w:r>
        <w:rPr>
          <w:rStyle w:val="10"/>
          <w:rFonts w:hint="eastAsia" w:ascii="宋体" w:hAnsi="宋体" w:eastAsia="宋体" w:cs="宋体"/>
          <w:sz w:val="24"/>
          <w:szCs w:val="24"/>
        </w:rPr>
        <w:t>城区垃圾外运项目及垃圾转运站管理</w:t>
      </w:r>
    </w:p>
    <w:p>
      <w:pPr>
        <w:pStyle w:val="6"/>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60" w:lineRule="exact"/>
        <w:ind w:left="0" w:firstLine="361" w:firstLineChars="150"/>
        <w:jc w:val="both"/>
        <w:textAlignment w:val="auto"/>
        <w:rPr>
          <w:rStyle w:val="10"/>
          <w:rFonts w:hint="eastAsia" w:ascii="宋体" w:hAnsi="宋体" w:eastAsia="宋体" w:cs="宋体"/>
          <w:sz w:val="24"/>
          <w:szCs w:val="24"/>
        </w:rPr>
      </w:pPr>
      <w:r>
        <w:rPr>
          <w:rStyle w:val="10"/>
          <w:rFonts w:hint="eastAsia" w:ascii="宋体" w:hAnsi="宋体" w:cs="宋体"/>
          <w:b/>
          <w:bCs w:val="0"/>
          <w:sz w:val="24"/>
          <w:szCs w:val="24"/>
          <w:lang w:val="en-US" w:eastAsia="zh-CN"/>
        </w:rPr>
        <w:t>3.1</w:t>
      </w:r>
      <w:r>
        <w:rPr>
          <w:rStyle w:val="10"/>
          <w:rFonts w:hint="eastAsia" w:ascii="宋体" w:hAnsi="宋体" w:eastAsia="宋体" w:cs="宋体"/>
          <w:b/>
          <w:bCs w:val="0"/>
          <w:sz w:val="24"/>
          <w:szCs w:val="24"/>
          <w:lang w:val="en-US" w:eastAsia="zh-CN"/>
        </w:rPr>
        <w:t>作业范围</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firstLine="360" w:firstLineChars="150"/>
        <w:jc w:val="both"/>
        <w:textAlignment w:val="auto"/>
        <w:rPr>
          <w:rFonts w:hint="eastAsia" w:ascii="宋体" w:hAnsi="宋体" w:cs="宋体"/>
          <w:sz w:val="24"/>
          <w:szCs w:val="24"/>
          <w:highlight w:val="none"/>
          <w:lang w:eastAsia="zh-CN"/>
        </w:rPr>
      </w:pPr>
      <w:r>
        <w:rPr>
          <w:rFonts w:hint="eastAsia" w:ascii="宋体" w:hAnsi="宋体" w:cs="宋体"/>
          <w:sz w:val="24"/>
          <w:szCs w:val="24"/>
          <w:highlight w:val="none"/>
          <w:lang w:val="en-US" w:eastAsia="zh-CN"/>
        </w:rPr>
        <w:t>垃圾压缩</w:t>
      </w:r>
      <w:r>
        <w:rPr>
          <w:rFonts w:hint="eastAsia" w:ascii="宋体" w:hAnsi="宋体" w:eastAsia="宋体" w:cs="宋体"/>
          <w:sz w:val="24"/>
          <w:szCs w:val="24"/>
          <w:highlight w:val="none"/>
          <w:lang w:val="en-US" w:eastAsia="zh-CN"/>
        </w:rPr>
        <w:t>转运</w:t>
      </w:r>
      <w:r>
        <w:rPr>
          <w:rFonts w:hint="eastAsia" w:ascii="宋体" w:hAnsi="宋体" w:cs="宋体"/>
          <w:sz w:val="24"/>
          <w:szCs w:val="24"/>
          <w:highlight w:val="none"/>
          <w:lang w:val="en-US" w:eastAsia="zh-CN"/>
        </w:rPr>
        <w:t>站、垃圾收集站、垃圾驿站及垃圾收集点</w:t>
      </w:r>
      <w:r>
        <w:rPr>
          <w:rFonts w:hint="eastAsia" w:ascii="宋体" w:hAnsi="宋体" w:eastAsia="宋体" w:cs="宋体"/>
          <w:sz w:val="24"/>
          <w:szCs w:val="24"/>
          <w:highlight w:val="none"/>
          <w:lang w:val="en-US" w:eastAsia="zh-CN"/>
        </w:rPr>
        <w:t>运行维护管理</w:t>
      </w:r>
      <w:r>
        <w:rPr>
          <w:rFonts w:hint="eastAsia" w:ascii="宋体" w:hAnsi="宋体" w:cs="宋体"/>
          <w:sz w:val="24"/>
          <w:szCs w:val="24"/>
          <w:highlight w:val="none"/>
          <w:lang w:val="en-US" w:eastAsia="zh-CN"/>
        </w:rPr>
        <w:t>，其中含</w:t>
      </w:r>
      <w:r>
        <w:rPr>
          <w:rFonts w:hint="eastAsia" w:ascii="宋体" w:hAnsi="宋体" w:eastAsia="宋体" w:cs="宋体"/>
          <w:sz w:val="24"/>
          <w:szCs w:val="24"/>
          <w:highlight w:val="none"/>
        </w:rPr>
        <w:t>150吨垃圾压缩</w:t>
      </w:r>
      <w:r>
        <w:rPr>
          <w:rFonts w:hint="eastAsia" w:ascii="宋体" w:hAnsi="宋体" w:cs="宋体"/>
          <w:sz w:val="24"/>
          <w:szCs w:val="24"/>
          <w:highlight w:val="none"/>
          <w:lang w:eastAsia="zh-CN"/>
        </w:rPr>
        <w:t>中转</w:t>
      </w:r>
      <w:r>
        <w:rPr>
          <w:rFonts w:hint="eastAsia" w:ascii="宋体" w:hAnsi="宋体" w:eastAsia="宋体" w:cs="宋体"/>
          <w:sz w:val="24"/>
          <w:szCs w:val="24"/>
          <w:highlight w:val="none"/>
        </w:rPr>
        <w:t>站1座、50吨垃圾压缩</w:t>
      </w:r>
      <w:r>
        <w:rPr>
          <w:rFonts w:hint="eastAsia" w:ascii="宋体" w:hAnsi="宋体" w:cs="宋体"/>
          <w:sz w:val="24"/>
          <w:szCs w:val="24"/>
          <w:highlight w:val="none"/>
          <w:lang w:eastAsia="zh-CN"/>
        </w:rPr>
        <w:t>中转站</w:t>
      </w:r>
      <w:r>
        <w:rPr>
          <w:rFonts w:hint="eastAsia" w:ascii="宋体" w:hAnsi="宋体" w:eastAsia="宋体" w:cs="宋体"/>
          <w:sz w:val="24"/>
          <w:szCs w:val="24"/>
          <w:highlight w:val="none"/>
        </w:rPr>
        <w:t>1座、垃圾收集站、垃圾驿站及垃圾收集点等</w:t>
      </w:r>
      <w:r>
        <w:rPr>
          <w:rFonts w:hint="eastAsia" w:ascii="宋体" w:hAnsi="宋体" w:cs="宋体"/>
          <w:sz w:val="24"/>
          <w:szCs w:val="24"/>
          <w:highlight w:val="none"/>
          <w:lang w:eastAsia="zh-CN"/>
        </w:rPr>
        <w:t>。</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firstLine="360" w:firstLineChars="150"/>
        <w:jc w:val="both"/>
        <w:textAlignment w:val="auto"/>
        <w:rPr>
          <w:rFonts w:hint="eastAsia" w:ascii="宋体" w:hAnsi="宋体" w:cs="宋体"/>
          <w:sz w:val="24"/>
          <w:szCs w:val="24"/>
          <w:highlight w:val="none"/>
          <w:lang w:eastAsia="zh-CN"/>
        </w:rPr>
        <w:sectPr>
          <w:pgSz w:w="11906" w:h="16838"/>
          <w:pgMar w:top="1440" w:right="1803" w:bottom="1440" w:left="1803" w:header="851" w:footer="992" w:gutter="0"/>
          <w:pgBorders w:offsetFrom="page">
            <w:top w:val="none" w:sz="0" w:space="0"/>
            <w:left w:val="none" w:sz="0" w:space="0"/>
            <w:bottom w:val="none" w:sz="0" w:space="0"/>
            <w:right w:val="none" w:sz="0" w:space="0"/>
          </w:pgBorders>
          <w:cols w:space="720" w:num="1"/>
          <w:rtlGutter w:val="0"/>
          <w:docGrid w:type="lines" w:linePitch="319" w:charSpace="0"/>
        </w:sectPr>
      </w:pPr>
    </w:p>
    <w:tbl>
      <w:tblPr>
        <w:tblStyle w:val="7"/>
        <w:tblW w:w="13717" w:type="dxa"/>
        <w:tblInd w:w="0" w:type="dxa"/>
        <w:tblLayout w:type="fixed"/>
        <w:tblCellMar>
          <w:top w:w="15" w:type="dxa"/>
          <w:left w:w="15" w:type="dxa"/>
          <w:bottom w:w="15" w:type="dxa"/>
          <w:right w:w="15" w:type="dxa"/>
        </w:tblCellMar>
      </w:tblPr>
      <w:tblGrid>
        <w:gridCol w:w="714"/>
        <w:gridCol w:w="4397"/>
        <w:gridCol w:w="4923"/>
        <w:gridCol w:w="3683"/>
      </w:tblGrid>
      <w:tr>
        <w:tblPrEx>
          <w:tblLayout w:type="fixed"/>
          <w:tblCellMar>
            <w:top w:w="15" w:type="dxa"/>
            <w:left w:w="15" w:type="dxa"/>
            <w:bottom w:w="15" w:type="dxa"/>
            <w:right w:w="15" w:type="dxa"/>
          </w:tblCellMar>
        </w:tblPrEx>
        <w:trPr>
          <w:trHeight w:val="550" w:hRule="atLeast"/>
        </w:trPr>
        <w:tc>
          <w:tcPr>
            <w:tcW w:w="13717"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kern w:val="0"/>
                <w:sz w:val="44"/>
                <w:szCs w:val="44"/>
                <w:highlight w:val="none"/>
              </w:rPr>
            </w:pPr>
            <w:r>
              <w:rPr>
                <w:rFonts w:hint="eastAsia" w:ascii="宋体" w:hAnsi="宋体" w:eastAsia="宋体" w:cs="宋体"/>
                <w:b/>
                <w:kern w:val="0"/>
                <w:sz w:val="44"/>
                <w:szCs w:val="44"/>
                <w:highlight w:val="none"/>
              </w:rPr>
              <w:t>宁化县垃圾转运站统计表</w:t>
            </w:r>
          </w:p>
        </w:tc>
      </w:tr>
      <w:tr>
        <w:tblPrEx>
          <w:tblLayout w:type="fixed"/>
          <w:tblCellMar>
            <w:top w:w="15" w:type="dxa"/>
            <w:left w:w="15" w:type="dxa"/>
            <w:bottom w:w="15" w:type="dxa"/>
            <w:right w:w="15" w:type="dxa"/>
          </w:tblCellMar>
        </w:tblPrEx>
        <w:trPr>
          <w:trHeight w:val="460" w:hRule="atLeast"/>
        </w:trPr>
        <w:tc>
          <w:tcPr>
            <w:tcW w:w="13717"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kern w:val="0"/>
                <w:sz w:val="36"/>
                <w:szCs w:val="36"/>
                <w:highlight w:val="none"/>
              </w:rPr>
            </w:pPr>
            <w:r>
              <w:rPr>
                <w:rFonts w:hint="eastAsia" w:ascii="宋体" w:hAnsi="宋体" w:eastAsia="宋体" w:cs="宋体"/>
                <w:kern w:val="0"/>
                <w:sz w:val="36"/>
                <w:szCs w:val="36"/>
                <w:highlight w:val="none"/>
              </w:rPr>
              <w:t>垃圾压缩中转站（一）</w:t>
            </w:r>
          </w:p>
        </w:tc>
      </w:tr>
      <w:tr>
        <w:tblPrEx>
          <w:tblLayout w:type="fixed"/>
          <w:tblCellMar>
            <w:top w:w="15" w:type="dxa"/>
            <w:left w:w="15" w:type="dxa"/>
            <w:bottom w:w="15" w:type="dxa"/>
            <w:right w:w="15" w:type="dxa"/>
          </w:tblCellMar>
        </w:tblPrEx>
        <w:trPr>
          <w:trHeight w:val="261" w:hRule="atLeast"/>
        </w:trPr>
        <w:tc>
          <w:tcPr>
            <w:tcW w:w="7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序号</w:t>
            </w:r>
          </w:p>
        </w:tc>
        <w:tc>
          <w:tcPr>
            <w:tcW w:w="43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名称</w:t>
            </w:r>
          </w:p>
        </w:tc>
        <w:tc>
          <w:tcPr>
            <w:tcW w:w="492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地点</w:t>
            </w:r>
          </w:p>
        </w:tc>
        <w:tc>
          <w:tcPr>
            <w:tcW w:w="3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设施/设备</w:t>
            </w:r>
          </w:p>
        </w:tc>
      </w:tr>
      <w:tr>
        <w:tblPrEx>
          <w:tblLayout w:type="fixed"/>
          <w:tblCellMar>
            <w:top w:w="15" w:type="dxa"/>
            <w:left w:w="15" w:type="dxa"/>
            <w:bottom w:w="15" w:type="dxa"/>
            <w:right w:w="15" w:type="dxa"/>
          </w:tblCellMar>
        </w:tblPrEx>
        <w:trPr>
          <w:trHeight w:val="261" w:hRule="atLeast"/>
        </w:trPr>
        <w:tc>
          <w:tcPr>
            <w:tcW w:w="7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1</w:t>
            </w:r>
          </w:p>
        </w:tc>
        <w:tc>
          <w:tcPr>
            <w:tcW w:w="43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城区垃圾压缩中转站</w:t>
            </w:r>
          </w:p>
        </w:tc>
        <w:tc>
          <w:tcPr>
            <w:tcW w:w="492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西环中路3号</w:t>
            </w:r>
          </w:p>
        </w:tc>
        <w:tc>
          <w:tcPr>
            <w:tcW w:w="3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150T水平压缩</w:t>
            </w:r>
          </w:p>
        </w:tc>
      </w:tr>
      <w:tr>
        <w:tblPrEx>
          <w:tblLayout w:type="fixed"/>
          <w:tblCellMar>
            <w:top w:w="15" w:type="dxa"/>
            <w:left w:w="15" w:type="dxa"/>
            <w:bottom w:w="15" w:type="dxa"/>
            <w:right w:w="15" w:type="dxa"/>
          </w:tblCellMar>
        </w:tblPrEx>
        <w:trPr>
          <w:trHeight w:val="261" w:hRule="atLeast"/>
        </w:trPr>
        <w:tc>
          <w:tcPr>
            <w:tcW w:w="7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2</w:t>
            </w:r>
          </w:p>
        </w:tc>
        <w:tc>
          <w:tcPr>
            <w:tcW w:w="43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翠江镇垃圾压缩中转站</w:t>
            </w:r>
          </w:p>
        </w:tc>
        <w:tc>
          <w:tcPr>
            <w:tcW w:w="492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江滨北路新东山桥与老东山桥之间</w:t>
            </w:r>
          </w:p>
        </w:tc>
        <w:tc>
          <w:tcPr>
            <w:tcW w:w="3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50T水平压缩</w:t>
            </w:r>
          </w:p>
        </w:tc>
      </w:tr>
      <w:tr>
        <w:tblPrEx>
          <w:tblLayout w:type="fixed"/>
          <w:tblCellMar>
            <w:top w:w="15" w:type="dxa"/>
            <w:left w:w="15" w:type="dxa"/>
            <w:bottom w:w="15" w:type="dxa"/>
            <w:right w:w="15" w:type="dxa"/>
          </w:tblCellMar>
        </w:tblPrEx>
        <w:trPr>
          <w:trHeight w:val="460" w:hRule="atLeast"/>
        </w:trPr>
        <w:tc>
          <w:tcPr>
            <w:tcW w:w="13717"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kern w:val="0"/>
                <w:sz w:val="36"/>
                <w:szCs w:val="36"/>
                <w:highlight w:val="none"/>
              </w:rPr>
            </w:pPr>
            <w:r>
              <w:rPr>
                <w:rFonts w:hint="eastAsia" w:ascii="宋体" w:hAnsi="宋体" w:eastAsia="宋体" w:cs="宋体"/>
                <w:kern w:val="0"/>
                <w:sz w:val="36"/>
                <w:szCs w:val="36"/>
                <w:highlight w:val="none"/>
              </w:rPr>
              <w:t>垃圾收集站（二）</w:t>
            </w:r>
          </w:p>
        </w:tc>
      </w:tr>
      <w:tr>
        <w:tblPrEx>
          <w:tblLayout w:type="fixed"/>
          <w:tblCellMar>
            <w:top w:w="15" w:type="dxa"/>
            <w:left w:w="15" w:type="dxa"/>
            <w:bottom w:w="15" w:type="dxa"/>
            <w:right w:w="15" w:type="dxa"/>
          </w:tblCellMar>
        </w:tblPrEx>
        <w:trPr>
          <w:trHeight w:val="191" w:hRule="atLeast"/>
        </w:trPr>
        <w:tc>
          <w:tcPr>
            <w:tcW w:w="7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序号</w:t>
            </w:r>
          </w:p>
        </w:tc>
        <w:tc>
          <w:tcPr>
            <w:tcW w:w="43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名称</w:t>
            </w:r>
          </w:p>
        </w:tc>
        <w:tc>
          <w:tcPr>
            <w:tcW w:w="492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地点</w:t>
            </w:r>
          </w:p>
        </w:tc>
        <w:tc>
          <w:tcPr>
            <w:tcW w:w="3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设施/设备</w:t>
            </w:r>
          </w:p>
        </w:tc>
      </w:tr>
      <w:tr>
        <w:tblPrEx>
          <w:tblLayout w:type="fixed"/>
          <w:tblCellMar>
            <w:top w:w="15" w:type="dxa"/>
            <w:left w:w="15" w:type="dxa"/>
            <w:bottom w:w="15" w:type="dxa"/>
            <w:right w:w="15" w:type="dxa"/>
          </w:tblCellMar>
        </w:tblPrEx>
        <w:trPr>
          <w:trHeight w:val="191" w:hRule="atLeast"/>
        </w:trPr>
        <w:tc>
          <w:tcPr>
            <w:tcW w:w="7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1</w:t>
            </w:r>
          </w:p>
        </w:tc>
        <w:tc>
          <w:tcPr>
            <w:tcW w:w="43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一中垃圾收集站</w:t>
            </w:r>
          </w:p>
        </w:tc>
        <w:tc>
          <w:tcPr>
            <w:tcW w:w="492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北大街一中旁</w:t>
            </w:r>
          </w:p>
        </w:tc>
        <w:tc>
          <w:tcPr>
            <w:tcW w:w="3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单坑5</w:t>
            </w:r>
            <w:r>
              <w:rPr>
                <w:rFonts w:ascii="仿宋" w:hAnsi="仿宋" w:eastAsia="仿宋" w:cs="仿宋"/>
                <w:color w:val="000000"/>
                <w:kern w:val="0"/>
                <w:sz w:val="20"/>
                <w:szCs w:val="20"/>
                <w:highlight w:val="none"/>
              </w:rPr>
              <w:t>T集装箱</w:t>
            </w:r>
          </w:p>
        </w:tc>
      </w:tr>
      <w:tr>
        <w:tblPrEx>
          <w:tblLayout w:type="fixed"/>
          <w:tblCellMar>
            <w:top w:w="15" w:type="dxa"/>
            <w:left w:w="15" w:type="dxa"/>
            <w:bottom w:w="15" w:type="dxa"/>
            <w:right w:w="15" w:type="dxa"/>
          </w:tblCellMar>
        </w:tblPrEx>
        <w:trPr>
          <w:trHeight w:val="191" w:hRule="atLeast"/>
        </w:trPr>
        <w:tc>
          <w:tcPr>
            <w:tcW w:w="7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2</w:t>
            </w:r>
          </w:p>
        </w:tc>
        <w:tc>
          <w:tcPr>
            <w:tcW w:w="43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北山垃圾收集站</w:t>
            </w:r>
          </w:p>
        </w:tc>
        <w:tc>
          <w:tcPr>
            <w:tcW w:w="492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北大街文化执法大队旁</w:t>
            </w:r>
          </w:p>
        </w:tc>
        <w:tc>
          <w:tcPr>
            <w:tcW w:w="3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单坑5T集装箱</w:t>
            </w:r>
          </w:p>
        </w:tc>
      </w:tr>
      <w:tr>
        <w:tblPrEx>
          <w:tblLayout w:type="fixed"/>
          <w:tblCellMar>
            <w:top w:w="15" w:type="dxa"/>
            <w:left w:w="15" w:type="dxa"/>
            <w:bottom w:w="15" w:type="dxa"/>
            <w:right w:w="15" w:type="dxa"/>
          </w:tblCellMar>
        </w:tblPrEx>
        <w:trPr>
          <w:trHeight w:val="191" w:hRule="atLeast"/>
        </w:trPr>
        <w:tc>
          <w:tcPr>
            <w:tcW w:w="7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3</w:t>
            </w:r>
          </w:p>
        </w:tc>
        <w:tc>
          <w:tcPr>
            <w:tcW w:w="43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中山路垃圾收集站</w:t>
            </w:r>
          </w:p>
        </w:tc>
        <w:tc>
          <w:tcPr>
            <w:tcW w:w="492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中山路工行对面</w:t>
            </w:r>
          </w:p>
        </w:tc>
        <w:tc>
          <w:tcPr>
            <w:tcW w:w="3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双坑5T集装箱</w:t>
            </w:r>
          </w:p>
        </w:tc>
      </w:tr>
      <w:tr>
        <w:tblPrEx>
          <w:tblLayout w:type="fixed"/>
          <w:tblCellMar>
            <w:top w:w="15" w:type="dxa"/>
            <w:left w:w="15" w:type="dxa"/>
            <w:bottom w:w="15" w:type="dxa"/>
            <w:right w:w="15" w:type="dxa"/>
          </w:tblCellMar>
        </w:tblPrEx>
        <w:trPr>
          <w:trHeight w:val="191" w:hRule="atLeast"/>
        </w:trPr>
        <w:tc>
          <w:tcPr>
            <w:tcW w:w="7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4</w:t>
            </w:r>
          </w:p>
        </w:tc>
        <w:tc>
          <w:tcPr>
            <w:tcW w:w="43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中环路垃圾收集站</w:t>
            </w:r>
          </w:p>
        </w:tc>
        <w:tc>
          <w:tcPr>
            <w:tcW w:w="492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江滨北路中环桥下</w:t>
            </w:r>
          </w:p>
        </w:tc>
        <w:tc>
          <w:tcPr>
            <w:tcW w:w="3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双坑5T集装箱</w:t>
            </w:r>
          </w:p>
        </w:tc>
      </w:tr>
      <w:tr>
        <w:tblPrEx>
          <w:tblLayout w:type="fixed"/>
          <w:tblCellMar>
            <w:top w:w="15" w:type="dxa"/>
            <w:left w:w="15" w:type="dxa"/>
            <w:bottom w:w="15" w:type="dxa"/>
            <w:right w:w="15" w:type="dxa"/>
          </w:tblCellMar>
        </w:tblPrEx>
        <w:trPr>
          <w:trHeight w:val="191" w:hRule="atLeast"/>
        </w:trPr>
        <w:tc>
          <w:tcPr>
            <w:tcW w:w="7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5</w:t>
            </w:r>
          </w:p>
        </w:tc>
        <w:tc>
          <w:tcPr>
            <w:tcW w:w="43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中环北路垃圾收集站</w:t>
            </w:r>
          </w:p>
        </w:tc>
        <w:tc>
          <w:tcPr>
            <w:tcW w:w="492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中环北路五中坡底</w:t>
            </w:r>
          </w:p>
        </w:tc>
        <w:tc>
          <w:tcPr>
            <w:tcW w:w="3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双坑5T集装箱</w:t>
            </w:r>
          </w:p>
        </w:tc>
      </w:tr>
      <w:tr>
        <w:tblPrEx>
          <w:tblLayout w:type="fixed"/>
          <w:tblCellMar>
            <w:top w:w="15" w:type="dxa"/>
            <w:left w:w="15" w:type="dxa"/>
            <w:bottom w:w="15" w:type="dxa"/>
            <w:right w:w="15" w:type="dxa"/>
          </w:tblCellMar>
        </w:tblPrEx>
        <w:trPr>
          <w:trHeight w:val="191" w:hRule="atLeast"/>
        </w:trPr>
        <w:tc>
          <w:tcPr>
            <w:tcW w:w="7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6</w:t>
            </w:r>
          </w:p>
        </w:tc>
        <w:tc>
          <w:tcPr>
            <w:tcW w:w="43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中环花园垃圾收集站</w:t>
            </w:r>
          </w:p>
        </w:tc>
        <w:tc>
          <w:tcPr>
            <w:tcW w:w="492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江滨南路中环花园小区</w:t>
            </w:r>
          </w:p>
        </w:tc>
        <w:tc>
          <w:tcPr>
            <w:tcW w:w="3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双坑5T集装箱</w:t>
            </w:r>
          </w:p>
        </w:tc>
      </w:tr>
      <w:tr>
        <w:tblPrEx>
          <w:tblLayout w:type="fixed"/>
          <w:tblCellMar>
            <w:top w:w="15" w:type="dxa"/>
            <w:left w:w="15" w:type="dxa"/>
            <w:bottom w:w="15" w:type="dxa"/>
            <w:right w:w="15" w:type="dxa"/>
          </w:tblCellMar>
        </w:tblPrEx>
        <w:trPr>
          <w:trHeight w:val="191" w:hRule="atLeast"/>
        </w:trPr>
        <w:tc>
          <w:tcPr>
            <w:tcW w:w="7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7</w:t>
            </w:r>
          </w:p>
        </w:tc>
        <w:tc>
          <w:tcPr>
            <w:tcW w:w="43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城隍岭垃圾收集站</w:t>
            </w:r>
          </w:p>
        </w:tc>
        <w:tc>
          <w:tcPr>
            <w:tcW w:w="492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城郊镇城隍岭往济村路口</w:t>
            </w:r>
          </w:p>
        </w:tc>
        <w:tc>
          <w:tcPr>
            <w:tcW w:w="3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双坑5T集装箱</w:t>
            </w:r>
          </w:p>
        </w:tc>
      </w:tr>
      <w:tr>
        <w:tblPrEx>
          <w:tblLayout w:type="fixed"/>
          <w:tblCellMar>
            <w:top w:w="15" w:type="dxa"/>
            <w:left w:w="15" w:type="dxa"/>
            <w:bottom w:w="15" w:type="dxa"/>
            <w:right w:w="15" w:type="dxa"/>
          </w:tblCellMar>
        </w:tblPrEx>
        <w:trPr>
          <w:trHeight w:val="191" w:hRule="atLeast"/>
        </w:trPr>
        <w:tc>
          <w:tcPr>
            <w:tcW w:w="7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8</w:t>
            </w:r>
          </w:p>
        </w:tc>
        <w:tc>
          <w:tcPr>
            <w:tcW w:w="43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丽景家园垃圾收集站</w:t>
            </w:r>
          </w:p>
        </w:tc>
        <w:tc>
          <w:tcPr>
            <w:tcW w:w="492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新桥二路丽景家园小区</w:t>
            </w:r>
          </w:p>
        </w:tc>
        <w:tc>
          <w:tcPr>
            <w:tcW w:w="3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双坑5T集装箱</w:t>
            </w:r>
          </w:p>
        </w:tc>
      </w:tr>
      <w:tr>
        <w:tblPrEx>
          <w:tblLayout w:type="fixed"/>
          <w:tblCellMar>
            <w:top w:w="15" w:type="dxa"/>
            <w:left w:w="15" w:type="dxa"/>
            <w:bottom w:w="15" w:type="dxa"/>
            <w:right w:w="15" w:type="dxa"/>
          </w:tblCellMar>
        </w:tblPrEx>
        <w:trPr>
          <w:trHeight w:val="191" w:hRule="atLeast"/>
        </w:trPr>
        <w:tc>
          <w:tcPr>
            <w:tcW w:w="7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9</w:t>
            </w:r>
          </w:p>
        </w:tc>
        <w:tc>
          <w:tcPr>
            <w:tcW w:w="43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滨江壹号垃圾收集站</w:t>
            </w:r>
          </w:p>
        </w:tc>
        <w:tc>
          <w:tcPr>
            <w:tcW w:w="492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滨江壹号小区</w:t>
            </w:r>
          </w:p>
        </w:tc>
        <w:tc>
          <w:tcPr>
            <w:tcW w:w="3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双坑5T集装箱</w:t>
            </w:r>
          </w:p>
        </w:tc>
      </w:tr>
      <w:tr>
        <w:tblPrEx>
          <w:tblLayout w:type="fixed"/>
          <w:tblCellMar>
            <w:top w:w="15" w:type="dxa"/>
            <w:left w:w="15" w:type="dxa"/>
            <w:bottom w:w="15" w:type="dxa"/>
            <w:right w:w="15" w:type="dxa"/>
          </w:tblCellMar>
        </w:tblPrEx>
        <w:trPr>
          <w:trHeight w:val="191" w:hRule="atLeast"/>
        </w:trPr>
        <w:tc>
          <w:tcPr>
            <w:tcW w:w="7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10</w:t>
            </w:r>
          </w:p>
        </w:tc>
        <w:tc>
          <w:tcPr>
            <w:tcW w:w="43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金茂广场垃圾收集站</w:t>
            </w:r>
          </w:p>
        </w:tc>
        <w:tc>
          <w:tcPr>
            <w:tcW w:w="492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金茂城市广场小区</w:t>
            </w:r>
          </w:p>
        </w:tc>
        <w:tc>
          <w:tcPr>
            <w:tcW w:w="3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单坑5T集装箱</w:t>
            </w:r>
          </w:p>
        </w:tc>
      </w:tr>
      <w:tr>
        <w:tblPrEx>
          <w:tblLayout w:type="fixed"/>
          <w:tblCellMar>
            <w:top w:w="15" w:type="dxa"/>
            <w:left w:w="15" w:type="dxa"/>
            <w:bottom w:w="15" w:type="dxa"/>
            <w:right w:w="15" w:type="dxa"/>
          </w:tblCellMar>
        </w:tblPrEx>
        <w:trPr>
          <w:trHeight w:val="191" w:hRule="atLeast"/>
        </w:trPr>
        <w:tc>
          <w:tcPr>
            <w:tcW w:w="7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11</w:t>
            </w:r>
          </w:p>
        </w:tc>
        <w:tc>
          <w:tcPr>
            <w:tcW w:w="43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凯丽首府垃圾收集站</w:t>
            </w:r>
          </w:p>
        </w:tc>
        <w:tc>
          <w:tcPr>
            <w:tcW w:w="492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凯丽首府小区</w:t>
            </w:r>
          </w:p>
        </w:tc>
        <w:tc>
          <w:tcPr>
            <w:tcW w:w="3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单坑5T集装箱</w:t>
            </w:r>
          </w:p>
        </w:tc>
      </w:tr>
      <w:tr>
        <w:tblPrEx>
          <w:tblLayout w:type="fixed"/>
          <w:tblCellMar>
            <w:top w:w="15" w:type="dxa"/>
            <w:left w:w="15" w:type="dxa"/>
            <w:bottom w:w="15" w:type="dxa"/>
            <w:right w:w="15" w:type="dxa"/>
          </w:tblCellMar>
        </w:tblPrEx>
        <w:trPr>
          <w:trHeight w:val="191" w:hRule="atLeast"/>
        </w:trPr>
        <w:tc>
          <w:tcPr>
            <w:tcW w:w="7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12</w:t>
            </w:r>
          </w:p>
        </w:tc>
        <w:tc>
          <w:tcPr>
            <w:tcW w:w="43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永信时代垃圾收集站</w:t>
            </w:r>
          </w:p>
        </w:tc>
        <w:tc>
          <w:tcPr>
            <w:tcW w:w="492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永信时代小区</w:t>
            </w:r>
          </w:p>
        </w:tc>
        <w:tc>
          <w:tcPr>
            <w:tcW w:w="3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单坑5T集装箱</w:t>
            </w:r>
          </w:p>
        </w:tc>
      </w:tr>
      <w:tr>
        <w:tblPrEx>
          <w:tblLayout w:type="fixed"/>
          <w:tblCellMar>
            <w:top w:w="15" w:type="dxa"/>
            <w:left w:w="15" w:type="dxa"/>
            <w:bottom w:w="15" w:type="dxa"/>
            <w:right w:w="15" w:type="dxa"/>
          </w:tblCellMar>
        </w:tblPrEx>
        <w:trPr>
          <w:trHeight w:val="191" w:hRule="atLeast"/>
        </w:trPr>
        <w:tc>
          <w:tcPr>
            <w:tcW w:w="7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13</w:t>
            </w:r>
          </w:p>
        </w:tc>
        <w:tc>
          <w:tcPr>
            <w:tcW w:w="43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林业安置房垃圾收集站</w:t>
            </w:r>
          </w:p>
        </w:tc>
        <w:tc>
          <w:tcPr>
            <w:tcW w:w="492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林业总公司安置小区</w:t>
            </w:r>
          </w:p>
        </w:tc>
        <w:tc>
          <w:tcPr>
            <w:tcW w:w="3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单坑5T集装箱</w:t>
            </w:r>
          </w:p>
        </w:tc>
      </w:tr>
      <w:tr>
        <w:tblPrEx>
          <w:tblLayout w:type="fixed"/>
          <w:tblCellMar>
            <w:top w:w="15" w:type="dxa"/>
            <w:left w:w="15" w:type="dxa"/>
            <w:bottom w:w="15" w:type="dxa"/>
            <w:right w:w="15" w:type="dxa"/>
          </w:tblCellMar>
        </w:tblPrEx>
        <w:trPr>
          <w:trHeight w:val="90" w:hRule="atLeast"/>
        </w:trPr>
        <w:tc>
          <w:tcPr>
            <w:tcW w:w="7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14</w:t>
            </w:r>
          </w:p>
        </w:tc>
        <w:tc>
          <w:tcPr>
            <w:tcW w:w="43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万星广场垃圾收集站</w:t>
            </w:r>
          </w:p>
        </w:tc>
        <w:tc>
          <w:tcPr>
            <w:tcW w:w="492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江滨北路万星广场</w:t>
            </w:r>
          </w:p>
        </w:tc>
        <w:tc>
          <w:tcPr>
            <w:tcW w:w="3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单坑5T集装箱</w:t>
            </w:r>
          </w:p>
        </w:tc>
      </w:tr>
      <w:tr>
        <w:tblPrEx>
          <w:tblLayout w:type="fixed"/>
          <w:tblCellMar>
            <w:top w:w="15" w:type="dxa"/>
            <w:left w:w="15" w:type="dxa"/>
            <w:bottom w:w="15" w:type="dxa"/>
            <w:right w:w="15" w:type="dxa"/>
          </w:tblCellMar>
        </w:tblPrEx>
        <w:trPr>
          <w:trHeight w:val="191" w:hRule="atLeast"/>
        </w:trPr>
        <w:tc>
          <w:tcPr>
            <w:tcW w:w="7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15</w:t>
            </w:r>
          </w:p>
        </w:tc>
        <w:tc>
          <w:tcPr>
            <w:tcW w:w="43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金山水郡垃圾收集站</w:t>
            </w:r>
          </w:p>
        </w:tc>
        <w:tc>
          <w:tcPr>
            <w:tcW w:w="492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金山水郡1期小区</w:t>
            </w:r>
          </w:p>
        </w:tc>
        <w:tc>
          <w:tcPr>
            <w:tcW w:w="3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单坑2T集装箱</w:t>
            </w:r>
          </w:p>
        </w:tc>
      </w:tr>
      <w:tr>
        <w:tblPrEx>
          <w:tblLayout w:type="fixed"/>
          <w:tblCellMar>
            <w:top w:w="15" w:type="dxa"/>
            <w:left w:w="15" w:type="dxa"/>
            <w:bottom w:w="15" w:type="dxa"/>
            <w:right w:w="15" w:type="dxa"/>
          </w:tblCellMar>
        </w:tblPrEx>
        <w:trPr>
          <w:trHeight w:val="191" w:hRule="atLeast"/>
        </w:trPr>
        <w:tc>
          <w:tcPr>
            <w:tcW w:w="7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16</w:t>
            </w:r>
          </w:p>
        </w:tc>
        <w:tc>
          <w:tcPr>
            <w:tcW w:w="43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农贸市场垃圾收集站</w:t>
            </w:r>
          </w:p>
        </w:tc>
        <w:tc>
          <w:tcPr>
            <w:tcW w:w="492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小溪下游农贸市场</w:t>
            </w:r>
          </w:p>
        </w:tc>
        <w:tc>
          <w:tcPr>
            <w:tcW w:w="3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单坑2T集装箱</w:t>
            </w:r>
          </w:p>
        </w:tc>
      </w:tr>
      <w:tr>
        <w:tblPrEx>
          <w:tblLayout w:type="fixed"/>
          <w:tblCellMar>
            <w:top w:w="15" w:type="dxa"/>
            <w:left w:w="15" w:type="dxa"/>
            <w:bottom w:w="15" w:type="dxa"/>
            <w:right w:w="15" w:type="dxa"/>
          </w:tblCellMar>
        </w:tblPrEx>
        <w:trPr>
          <w:trHeight w:val="191" w:hRule="atLeast"/>
        </w:trPr>
        <w:tc>
          <w:tcPr>
            <w:tcW w:w="7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17</w:t>
            </w:r>
          </w:p>
        </w:tc>
        <w:tc>
          <w:tcPr>
            <w:tcW w:w="43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金城花园垃圾收集站</w:t>
            </w:r>
          </w:p>
        </w:tc>
        <w:tc>
          <w:tcPr>
            <w:tcW w:w="492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金城花园小区</w:t>
            </w:r>
          </w:p>
        </w:tc>
        <w:tc>
          <w:tcPr>
            <w:tcW w:w="3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240升垃圾桶</w:t>
            </w:r>
          </w:p>
        </w:tc>
      </w:tr>
      <w:tr>
        <w:tblPrEx>
          <w:tblLayout w:type="fixed"/>
          <w:tblCellMar>
            <w:top w:w="15" w:type="dxa"/>
            <w:left w:w="15" w:type="dxa"/>
            <w:bottom w:w="15" w:type="dxa"/>
            <w:right w:w="15" w:type="dxa"/>
          </w:tblCellMar>
        </w:tblPrEx>
        <w:trPr>
          <w:trHeight w:val="191" w:hRule="atLeast"/>
        </w:trPr>
        <w:tc>
          <w:tcPr>
            <w:tcW w:w="7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18</w:t>
            </w:r>
          </w:p>
        </w:tc>
        <w:tc>
          <w:tcPr>
            <w:tcW w:w="43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县总医院垃圾收集站</w:t>
            </w:r>
          </w:p>
        </w:tc>
        <w:tc>
          <w:tcPr>
            <w:tcW w:w="492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金鸡山路</w:t>
            </w:r>
          </w:p>
        </w:tc>
        <w:tc>
          <w:tcPr>
            <w:tcW w:w="3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240升垃圾桶</w:t>
            </w:r>
          </w:p>
        </w:tc>
      </w:tr>
      <w:tr>
        <w:tblPrEx>
          <w:tblLayout w:type="fixed"/>
          <w:tblCellMar>
            <w:top w:w="15" w:type="dxa"/>
            <w:left w:w="15" w:type="dxa"/>
            <w:bottom w:w="15" w:type="dxa"/>
            <w:right w:w="15" w:type="dxa"/>
          </w:tblCellMar>
        </w:tblPrEx>
        <w:trPr>
          <w:trHeight w:val="191" w:hRule="atLeast"/>
        </w:trPr>
        <w:tc>
          <w:tcPr>
            <w:tcW w:w="7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19</w:t>
            </w:r>
          </w:p>
        </w:tc>
        <w:tc>
          <w:tcPr>
            <w:tcW w:w="43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小溪上游垃圾收集站</w:t>
            </w:r>
          </w:p>
        </w:tc>
        <w:tc>
          <w:tcPr>
            <w:tcW w:w="492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小溪边上游公厕旁</w:t>
            </w:r>
          </w:p>
        </w:tc>
        <w:tc>
          <w:tcPr>
            <w:tcW w:w="3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204升垃圾桶</w:t>
            </w:r>
          </w:p>
        </w:tc>
      </w:tr>
      <w:tr>
        <w:tblPrEx>
          <w:tblLayout w:type="fixed"/>
          <w:tblCellMar>
            <w:top w:w="15" w:type="dxa"/>
            <w:left w:w="15" w:type="dxa"/>
            <w:bottom w:w="15" w:type="dxa"/>
            <w:right w:w="15" w:type="dxa"/>
          </w:tblCellMar>
        </w:tblPrEx>
        <w:trPr>
          <w:trHeight w:val="191" w:hRule="atLeast"/>
        </w:trPr>
        <w:tc>
          <w:tcPr>
            <w:tcW w:w="7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20</w:t>
            </w:r>
          </w:p>
        </w:tc>
        <w:tc>
          <w:tcPr>
            <w:tcW w:w="43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五星路垃圾收集站</w:t>
            </w:r>
          </w:p>
        </w:tc>
        <w:tc>
          <w:tcPr>
            <w:tcW w:w="492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五星路小礼堂旁</w:t>
            </w:r>
          </w:p>
        </w:tc>
        <w:tc>
          <w:tcPr>
            <w:tcW w:w="3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240升垃圾桶</w:t>
            </w:r>
          </w:p>
        </w:tc>
      </w:tr>
      <w:tr>
        <w:tblPrEx>
          <w:tblLayout w:type="fixed"/>
          <w:tblCellMar>
            <w:top w:w="15" w:type="dxa"/>
            <w:left w:w="15" w:type="dxa"/>
            <w:bottom w:w="15" w:type="dxa"/>
            <w:right w:w="15" w:type="dxa"/>
          </w:tblCellMar>
        </w:tblPrEx>
        <w:trPr>
          <w:trHeight w:val="191" w:hRule="atLeast"/>
        </w:trPr>
        <w:tc>
          <w:tcPr>
            <w:tcW w:w="7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21</w:t>
            </w:r>
          </w:p>
        </w:tc>
        <w:tc>
          <w:tcPr>
            <w:tcW w:w="43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新桥中心垃圾收集站</w:t>
            </w:r>
          </w:p>
        </w:tc>
        <w:tc>
          <w:tcPr>
            <w:tcW w:w="492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新桥二路新桥中心小区</w:t>
            </w:r>
          </w:p>
        </w:tc>
        <w:tc>
          <w:tcPr>
            <w:tcW w:w="3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240升垃圾桶</w:t>
            </w:r>
          </w:p>
        </w:tc>
      </w:tr>
      <w:tr>
        <w:tblPrEx>
          <w:tblLayout w:type="fixed"/>
          <w:tblCellMar>
            <w:top w:w="15" w:type="dxa"/>
            <w:left w:w="15" w:type="dxa"/>
            <w:bottom w:w="15" w:type="dxa"/>
            <w:right w:w="15" w:type="dxa"/>
          </w:tblCellMar>
        </w:tblPrEx>
        <w:trPr>
          <w:trHeight w:val="191" w:hRule="atLeast"/>
        </w:trPr>
        <w:tc>
          <w:tcPr>
            <w:tcW w:w="7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22</w:t>
            </w:r>
          </w:p>
        </w:tc>
        <w:tc>
          <w:tcPr>
            <w:tcW w:w="43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东方广场垃圾收集站</w:t>
            </w:r>
          </w:p>
        </w:tc>
        <w:tc>
          <w:tcPr>
            <w:tcW w:w="492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东方广场小区</w:t>
            </w:r>
          </w:p>
        </w:tc>
        <w:tc>
          <w:tcPr>
            <w:tcW w:w="3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单坑5T集装箱</w:t>
            </w:r>
          </w:p>
        </w:tc>
      </w:tr>
      <w:tr>
        <w:tblPrEx>
          <w:tblLayout w:type="fixed"/>
          <w:tblCellMar>
            <w:top w:w="15" w:type="dxa"/>
            <w:left w:w="15" w:type="dxa"/>
            <w:bottom w:w="15" w:type="dxa"/>
            <w:right w:w="15" w:type="dxa"/>
          </w:tblCellMar>
        </w:tblPrEx>
        <w:trPr>
          <w:trHeight w:val="191" w:hRule="atLeast"/>
        </w:trPr>
        <w:tc>
          <w:tcPr>
            <w:tcW w:w="7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23</w:t>
            </w:r>
          </w:p>
        </w:tc>
        <w:tc>
          <w:tcPr>
            <w:tcW w:w="43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东方新城垃圾收集站</w:t>
            </w:r>
          </w:p>
        </w:tc>
        <w:tc>
          <w:tcPr>
            <w:tcW w:w="492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金钢亭路东方新城小区</w:t>
            </w:r>
          </w:p>
        </w:tc>
        <w:tc>
          <w:tcPr>
            <w:tcW w:w="3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单坑5T集装箱</w:t>
            </w:r>
          </w:p>
        </w:tc>
      </w:tr>
      <w:tr>
        <w:tblPrEx>
          <w:tblLayout w:type="fixed"/>
          <w:tblCellMar>
            <w:top w:w="15" w:type="dxa"/>
            <w:left w:w="15" w:type="dxa"/>
            <w:bottom w:w="15" w:type="dxa"/>
            <w:right w:w="15" w:type="dxa"/>
          </w:tblCellMar>
        </w:tblPrEx>
        <w:trPr>
          <w:trHeight w:val="191" w:hRule="atLeast"/>
        </w:trPr>
        <w:tc>
          <w:tcPr>
            <w:tcW w:w="7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24</w:t>
            </w:r>
          </w:p>
        </w:tc>
        <w:tc>
          <w:tcPr>
            <w:tcW w:w="43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锦秀华庭垃圾收集站</w:t>
            </w:r>
          </w:p>
        </w:tc>
        <w:tc>
          <w:tcPr>
            <w:tcW w:w="492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鸡山路锦秀华庭小区</w:t>
            </w:r>
          </w:p>
        </w:tc>
        <w:tc>
          <w:tcPr>
            <w:tcW w:w="3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240升垃圾桶</w:t>
            </w:r>
          </w:p>
        </w:tc>
      </w:tr>
      <w:tr>
        <w:tblPrEx>
          <w:tblLayout w:type="fixed"/>
          <w:tblCellMar>
            <w:top w:w="15" w:type="dxa"/>
            <w:left w:w="15" w:type="dxa"/>
            <w:bottom w:w="15" w:type="dxa"/>
            <w:right w:w="15" w:type="dxa"/>
          </w:tblCellMar>
        </w:tblPrEx>
        <w:trPr>
          <w:trHeight w:val="191" w:hRule="atLeast"/>
        </w:trPr>
        <w:tc>
          <w:tcPr>
            <w:tcW w:w="7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25</w:t>
            </w:r>
          </w:p>
        </w:tc>
        <w:tc>
          <w:tcPr>
            <w:tcW w:w="43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中山嘉苑垃圾收集站</w:t>
            </w:r>
          </w:p>
        </w:tc>
        <w:tc>
          <w:tcPr>
            <w:tcW w:w="492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城东路中山嘉苑小区</w:t>
            </w:r>
          </w:p>
        </w:tc>
        <w:tc>
          <w:tcPr>
            <w:tcW w:w="3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240升垃圾桶</w:t>
            </w:r>
          </w:p>
        </w:tc>
      </w:tr>
      <w:tr>
        <w:tblPrEx>
          <w:tblLayout w:type="fixed"/>
          <w:tblCellMar>
            <w:top w:w="15" w:type="dxa"/>
            <w:left w:w="15" w:type="dxa"/>
            <w:bottom w:w="15" w:type="dxa"/>
            <w:right w:w="15" w:type="dxa"/>
          </w:tblCellMar>
        </w:tblPrEx>
        <w:trPr>
          <w:trHeight w:val="191" w:hRule="atLeast"/>
        </w:trPr>
        <w:tc>
          <w:tcPr>
            <w:tcW w:w="7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26</w:t>
            </w:r>
          </w:p>
        </w:tc>
        <w:tc>
          <w:tcPr>
            <w:tcW w:w="43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宁阳御景垃圾收集站</w:t>
            </w:r>
          </w:p>
        </w:tc>
        <w:tc>
          <w:tcPr>
            <w:tcW w:w="492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宁阳1路宁阳御景小区</w:t>
            </w:r>
          </w:p>
        </w:tc>
        <w:tc>
          <w:tcPr>
            <w:tcW w:w="3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240升垃圾桶</w:t>
            </w:r>
          </w:p>
        </w:tc>
      </w:tr>
      <w:tr>
        <w:tblPrEx>
          <w:tblLayout w:type="fixed"/>
          <w:tblCellMar>
            <w:top w:w="15" w:type="dxa"/>
            <w:left w:w="15" w:type="dxa"/>
            <w:bottom w:w="15" w:type="dxa"/>
            <w:right w:w="15" w:type="dxa"/>
          </w:tblCellMar>
        </w:tblPrEx>
        <w:trPr>
          <w:trHeight w:val="191" w:hRule="atLeast"/>
        </w:trPr>
        <w:tc>
          <w:tcPr>
            <w:tcW w:w="7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27</w:t>
            </w:r>
          </w:p>
        </w:tc>
        <w:tc>
          <w:tcPr>
            <w:tcW w:w="43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开辉悦城垃圾收集站</w:t>
            </w:r>
          </w:p>
        </w:tc>
        <w:tc>
          <w:tcPr>
            <w:tcW w:w="492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禾坑尾开辉悦城小区</w:t>
            </w:r>
          </w:p>
        </w:tc>
        <w:tc>
          <w:tcPr>
            <w:tcW w:w="3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240升垃圾桶</w:t>
            </w:r>
          </w:p>
        </w:tc>
      </w:tr>
      <w:tr>
        <w:tblPrEx>
          <w:tblLayout w:type="fixed"/>
          <w:tblCellMar>
            <w:top w:w="15" w:type="dxa"/>
            <w:left w:w="15" w:type="dxa"/>
            <w:bottom w:w="15" w:type="dxa"/>
            <w:right w:w="15" w:type="dxa"/>
          </w:tblCellMar>
        </w:tblPrEx>
        <w:trPr>
          <w:trHeight w:val="191" w:hRule="atLeast"/>
        </w:trPr>
        <w:tc>
          <w:tcPr>
            <w:tcW w:w="7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28</w:t>
            </w:r>
          </w:p>
        </w:tc>
        <w:tc>
          <w:tcPr>
            <w:tcW w:w="43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闽赣小商品垃圾收集站</w:t>
            </w:r>
          </w:p>
        </w:tc>
        <w:tc>
          <w:tcPr>
            <w:tcW w:w="492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边贸西路闽赣小商品城小区</w:t>
            </w:r>
          </w:p>
        </w:tc>
        <w:tc>
          <w:tcPr>
            <w:tcW w:w="3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240升垃圾桶</w:t>
            </w:r>
          </w:p>
        </w:tc>
      </w:tr>
      <w:tr>
        <w:tblPrEx>
          <w:tblLayout w:type="fixed"/>
          <w:tblCellMar>
            <w:top w:w="15" w:type="dxa"/>
            <w:left w:w="15" w:type="dxa"/>
            <w:bottom w:w="15" w:type="dxa"/>
            <w:right w:w="15" w:type="dxa"/>
          </w:tblCellMar>
        </w:tblPrEx>
        <w:trPr>
          <w:trHeight w:val="191" w:hRule="atLeast"/>
        </w:trPr>
        <w:tc>
          <w:tcPr>
            <w:tcW w:w="7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29</w:t>
            </w:r>
          </w:p>
        </w:tc>
        <w:tc>
          <w:tcPr>
            <w:tcW w:w="43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东山新苑垃圾收集站</w:t>
            </w:r>
          </w:p>
        </w:tc>
        <w:tc>
          <w:tcPr>
            <w:tcW w:w="492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江滨北路东山新苑小区</w:t>
            </w:r>
          </w:p>
        </w:tc>
        <w:tc>
          <w:tcPr>
            <w:tcW w:w="3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240升垃圾桶</w:t>
            </w:r>
          </w:p>
        </w:tc>
      </w:tr>
      <w:tr>
        <w:tblPrEx>
          <w:tblLayout w:type="fixed"/>
          <w:tblCellMar>
            <w:top w:w="15" w:type="dxa"/>
            <w:left w:w="15" w:type="dxa"/>
            <w:bottom w:w="15" w:type="dxa"/>
            <w:right w:w="15" w:type="dxa"/>
          </w:tblCellMar>
        </w:tblPrEx>
        <w:trPr>
          <w:trHeight w:val="191" w:hRule="atLeast"/>
        </w:trPr>
        <w:tc>
          <w:tcPr>
            <w:tcW w:w="7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kern w:val="0"/>
                <w:sz w:val="20"/>
                <w:szCs w:val="20"/>
                <w:highlight w:val="none"/>
              </w:rPr>
            </w:pPr>
            <w:r>
              <w:rPr>
                <w:rFonts w:hint="eastAsia" w:ascii="仿宋" w:hAnsi="仿宋" w:eastAsia="仿宋" w:cs="仿宋"/>
                <w:kern w:val="0"/>
                <w:sz w:val="20"/>
                <w:szCs w:val="20"/>
                <w:highlight w:val="none"/>
              </w:rPr>
              <w:t>30</w:t>
            </w:r>
          </w:p>
        </w:tc>
        <w:tc>
          <w:tcPr>
            <w:tcW w:w="43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kern w:val="0"/>
                <w:sz w:val="20"/>
                <w:szCs w:val="20"/>
                <w:highlight w:val="none"/>
              </w:rPr>
            </w:pPr>
            <w:r>
              <w:rPr>
                <w:rFonts w:hint="eastAsia" w:ascii="仿宋" w:hAnsi="仿宋" w:eastAsia="仿宋" w:cs="仿宋"/>
                <w:kern w:val="0"/>
                <w:sz w:val="20"/>
                <w:szCs w:val="20"/>
                <w:highlight w:val="none"/>
              </w:rPr>
              <w:t>城区粮油批发中心垃圾收集中转站</w:t>
            </w:r>
          </w:p>
        </w:tc>
        <w:tc>
          <w:tcPr>
            <w:tcW w:w="492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kern w:val="0"/>
                <w:sz w:val="20"/>
                <w:szCs w:val="20"/>
                <w:highlight w:val="none"/>
              </w:rPr>
            </w:pPr>
            <w:r>
              <w:rPr>
                <w:rFonts w:hint="eastAsia" w:ascii="仿宋" w:hAnsi="仿宋" w:eastAsia="仿宋" w:cs="仿宋"/>
                <w:kern w:val="0"/>
                <w:sz w:val="20"/>
                <w:szCs w:val="20"/>
                <w:highlight w:val="none"/>
              </w:rPr>
              <w:t>叶家山路</w:t>
            </w:r>
          </w:p>
        </w:tc>
        <w:tc>
          <w:tcPr>
            <w:tcW w:w="3683"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center"/>
              <w:rPr>
                <w:rFonts w:ascii="仿宋" w:hAnsi="仿宋" w:eastAsia="仿宋" w:cs="仿宋"/>
                <w:kern w:val="0"/>
                <w:sz w:val="20"/>
                <w:szCs w:val="20"/>
                <w:highlight w:val="none"/>
              </w:rPr>
            </w:pPr>
            <w:r>
              <w:rPr>
                <w:rFonts w:hint="eastAsia" w:ascii="仿宋" w:hAnsi="仿宋" w:eastAsia="仿宋" w:cs="仿宋"/>
                <w:kern w:val="0"/>
                <w:sz w:val="20"/>
                <w:szCs w:val="20"/>
                <w:highlight w:val="none"/>
              </w:rPr>
              <w:t>双坑5T集装箱</w:t>
            </w:r>
          </w:p>
        </w:tc>
      </w:tr>
      <w:tr>
        <w:tblPrEx>
          <w:tblLayout w:type="fixed"/>
          <w:tblCellMar>
            <w:top w:w="15" w:type="dxa"/>
            <w:left w:w="15" w:type="dxa"/>
            <w:bottom w:w="15" w:type="dxa"/>
            <w:right w:w="15" w:type="dxa"/>
          </w:tblCellMar>
        </w:tblPrEx>
        <w:trPr>
          <w:trHeight w:val="191" w:hRule="atLeast"/>
        </w:trPr>
        <w:tc>
          <w:tcPr>
            <w:tcW w:w="7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kern w:val="0"/>
                <w:sz w:val="20"/>
                <w:szCs w:val="20"/>
                <w:highlight w:val="none"/>
              </w:rPr>
            </w:pPr>
            <w:r>
              <w:rPr>
                <w:rFonts w:hint="eastAsia" w:ascii="仿宋" w:hAnsi="仿宋" w:eastAsia="仿宋" w:cs="仿宋"/>
                <w:kern w:val="0"/>
                <w:sz w:val="20"/>
                <w:szCs w:val="20"/>
                <w:highlight w:val="none"/>
              </w:rPr>
              <w:t>31</w:t>
            </w:r>
          </w:p>
        </w:tc>
        <w:tc>
          <w:tcPr>
            <w:tcW w:w="43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kern w:val="0"/>
                <w:sz w:val="20"/>
                <w:szCs w:val="20"/>
                <w:highlight w:val="none"/>
              </w:rPr>
            </w:pPr>
            <w:r>
              <w:rPr>
                <w:rFonts w:hint="eastAsia" w:ascii="仿宋" w:hAnsi="仿宋" w:eastAsia="仿宋" w:cs="仿宋"/>
                <w:kern w:val="0"/>
                <w:sz w:val="20"/>
                <w:szCs w:val="20"/>
                <w:highlight w:val="none"/>
              </w:rPr>
              <w:t>星河湾小区垃圾收集中转站</w:t>
            </w:r>
          </w:p>
        </w:tc>
        <w:tc>
          <w:tcPr>
            <w:tcW w:w="492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kern w:val="0"/>
                <w:sz w:val="20"/>
                <w:szCs w:val="20"/>
                <w:highlight w:val="none"/>
              </w:rPr>
            </w:pPr>
            <w:r>
              <w:rPr>
                <w:rFonts w:hint="eastAsia" w:ascii="仿宋" w:hAnsi="仿宋" w:eastAsia="仿宋" w:cs="仿宋"/>
                <w:kern w:val="0"/>
                <w:sz w:val="20"/>
                <w:szCs w:val="20"/>
                <w:highlight w:val="none"/>
              </w:rPr>
              <w:t>城南镇星河湾小区</w:t>
            </w:r>
          </w:p>
        </w:tc>
        <w:tc>
          <w:tcPr>
            <w:tcW w:w="3683"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center"/>
              <w:rPr>
                <w:rFonts w:ascii="仿宋" w:hAnsi="仿宋" w:eastAsia="仿宋" w:cs="仿宋"/>
                <w:kern w:val="0"/>
                <w:sz w:val="20"/>
                <w:szCs w:val="20"/>
                <w:highlight w:val="none"/>
              </w:rPr>
            </w:pPr>
            <w:r>
              <w:rPr>
                <w:rFonts w:hint="eastAsia" w:ascii="仿宋" w:hAnsi="仿宋" w:eastAsia="仿宋" w:cs="仿宋"/>
                <w:kern w:val="0"/>
                <w:sz w:val="20"/>
                <w:szCs w:val="20"/>
                <w:highlight w:val="none"/>
              </w:rPr>
              <w:t>双坑5T集装箱</w:t>
            </w:r>
          </w:p>
        </w:tc>
      </w:tr>
      <w:tr>
        <w:tblPrEx>
          <w:tblLayout w:type="fixed"/>
          <w:tblCellMar>
            <w:top w:w="15" w:type="dxa"/>
            <w:left w:w="15" w:type="dxa"/>
            <w:bottom w:w="15" w:type="dxa"/>
            <w:right w:w="15" w:type="dxa"/>
          </w:tblCellMar>
        </w:tblPrEx>
        <w:trPr>
          <w:trHeight w:val="191" w:hRule="atLeast"/>
        </w:trPr>
        <w:tc>
          <w:tcPr>
            <w:tcW w:w="7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kern w:val="0"/>
                <w:sz w:val="20"/>
                <w:szCs w:val="20"/>
                <w:highlight w:val="none"/>
              </w:rPr>
            </w:pPr>
            <w:r>
              <w:rPr>
                <w:rFonts w:hint="eastAsia" w:ascii="仿宋" w:hAnsi="仿宋" w:eastAsia="仿宋" w:cs="仿宋"/>
                <w:kern w:val="0"/>
                <w:sz w:val="20"/>
                <w:szCs w:val="20"/>
                <w:highlight w:val="none"/>
              </w:rPr>
              <w:t>32</w:t>
            </w:r>
          </w:p>
        </w:tc>
        <w:tc>
          <w:tcPr>
            <w:tcW w:w="43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kern w:val="0"/>
                <w:sz w:val="20"/>
                <w:szCs w:val="20"/>
                <w:highlight w:val="none"/>
              </w:rPr>
            </w:pPr>
            <w:r>
              <w:rPr>
                <w:rFonts w:hint="eastAsia" w:ascii="仿宋" w:hAnsi="仿宋" w:eastAsia="仿宋" w:cs="仿宋"/>
                <w:kern w:val="0"/>
                <w:sz w:val="20"/>
                <w:szCs w:val="20"/>
                <w:highlight w:val="none"/>
              </w:rPr>
              <w:t>天骏小区垃圾收集中转站</w:t>
            </w:r>
          </w:p>
        </w:tc>
        <w:tc>
          <w:tcPr>
            <w:tcW w:w="492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kern w:val="0"/>
                <w:sz w:val="20"/>
                <w:szCs w:val="20"/>
                <w:highlight w:val="none"/>
              </w:rPr>
            </w:pPr>
            <w:r>
              <w:rPr>
                <w:rFonts w:hint="eastAsia" w:ascii="仿宋" w:hAnsi="仿宋" w:eastAsia="仿宋" w:cs="仿宋"/>
                <w:kern w:val="0"/>
                <w:sz w:val="20"/>
                <w:szCs w:val="20"/>
                <w:highlight w:val="none"/>
              </w:rPr>
              <w:t>天骏小区</w:t>
            </w:r>
          </w:p>
        </w:tc>
        <w:tc>
          <w:tcPr>
            <w:tcW w:w="3683"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center"/>
              <w:rPr>
                <w:rFonts w:ascii="仿宋" w:hAnsi="仿宋" w:eastAsia="仿宋" w:cs="仿宋"/>
                <w:kern w:val="0"/>
                <w:sz w:val="20"/>
                <w:szCs w:val="20"/>
                <w:highlight w:val="none"/>
              </w:rPr>
            </w:pPr>
            <w:r>
              <w:rPr>
                <w:rFonts w:hint="eastAsia" w:ascii="仿宋" w:hAnsi="仿宋" w:eastAsia="仿宋" w:cs="仿宋"/>
                <w:kern w:val="0"/>
                <w:sz w:val="20"/>
                <w:szCs w:val="20"/>
                <w:highlight w:val="none"/>
              </w:rPr>
              <w:t>双坑5T集装箱</w:t>
            </w:r>
          </w:p>
        </w:tc>
      </w:tr>
      <w:tr>
        <w:tblPrEx>
          <w:tblLayout w:type="fixed"/>
          <w:tblCellMar>
            <w:top w:w="15" w:type="dxa"/>
            <w:left w:w="15" w:type="dxa"/>
            <w:bottom w:w="15" w:type="dxa"/>
            <w:right w:w="15" w:type="dxa"/>
          </w:tblCellMar>
        </w:tblPrEx>
        <w:trPr>
          <w:trHeight w:val="191" w:hRule="atLeast"/>
        </w:trPr>
        <w:tc>
          <w:tcPr>
            <w:tcW w:w="7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kern w:val="0"/>
                <w:sz w:val="20"/>
                <w:szCs w:val="20"/>
                <w:highlight w:val="none"/>
              </w:rPr>
            </w:pPr>
            <w:r>
              <w:rPr>
                <w:rFonts w:hint="eastAsia" w:ascii="仿宋" w:hAnsi="仿宋" w:eastAsia="仿宋" w:cs="仿宋"/>
                <w:kern w:val="0"/>
                <w:sz w:val="20"/>
                <w:szCs w:val="20"/>
                <w:highlight w:val="none"/>
              </w:rPr>
              <w:t>33</w:t>
            </w:r>
          </w:p>
        </w:tc>
        <w:tc>
          <w:tcPr>
            <w:tcW w:w="43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kern w:val="0"/>
                <w:sz w:val="20"/>
                <w:szCs w:val="20"/>
                <w:highlight w:val="none"/>
              </w:rPr>
            </w:pPr>
            <w:r>
              <w:rPr>
                <w:rFonts w:hint="eastAsia" w:ascii="仿宋" w:hAnsi="仿宋" w:eastAsia="仿宋" w:cs="仿宋"/>
                <w:kern w:val="0"/>
                <w:sz w:val="20"/>
                <w:szCs w:val="20"/>
                <w:highlight w:val="none"/>
              </w:rPr>
              <w:t>云海新天地小区垃圾收集中转点</w:t>
            </w:r>
          </w:p>
        </w:tc>
        <w:tc>
          <w:tcPr>
            <w:tcW w:w="492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kern w:val="0"/>
                <w:sz w:val="20"/>
                <w:szCs w:val="20"/>
                <w:highlight w:val="none"/>
              </w:rPr>
            </w:pPr>
            <w:r>
              <w:rPr>
                <w:rFonts w:hint="eastAsia" w:ascii="仿宋" w:hAnsi="仿宋" w:eastAsia="仿宋" w:cs="仿宋"/>
                <w:kern w:val="0"/>
                <w:sz w:val="20"/>
                <w:szCs w:val="20"/>
                <w:highlight w:val="none"/>
              </w:rPr>
              <w:t>云海新天地小区</w:t>
            </w:r>
          </w:p>
        </w:tc>
        <w:tc>
          <w:tcPr>
            <w:tcW w:w="3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kern w:val="0"/>
                <w:sz w:val="20"/>
                <w:szCs w:val="20"/>
                <w:highlight w:val="none"/>
              </w:rPr>
            </w:pPr>
            <w:r>
              <w:rPr>
                <w:rFonts w:hint="eastAsia" w:ascii="仿宋" w:hAnsi="仿宋" w:eastAsia="仿宋" w:cs="仿宋"/>
                <w:kern w:val="0"/>
                <w:sz w:val="20"/>
                <w:szCs w:val="20"/>
                <w:highlight w:val="none"/>
              </w:rPr>
              <w:t>单坑5T集装箱</w:t>
            </w:r>
          </w:p>
        </w:tc>
      </w:tr>
      <w:tr>
        <w:tblPrEx>
          <w:tblLayout w:type="fixed"/>
          <w:tblCellMar>
            <w:top w:w="15" w:type="dxa"/>
            <w:left w:w="15" w:type="dxa"/>
            <w:bottom w:w="15" w:type="dxa"/>
            <w:right w:w="15" w:type="dxa"/>
          </w:tblCellMar>
        </w:tblPrEx>
        <w:trPr>
          <w:trHeight w:val="191" w:hRule="atLeast"/>
        </w:trPr>
        <w:tc>
          <w:tcPr>
            <w:tcW w:w="7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34</w:t>
            </w:r>
          </w:p>
        </w:tc>
        <w:tc>
          <w:tcPr>
            <w:tcW w:w="43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合计</w:t>
            </w:r>
          </w:p>
        </w:tc>
        <w:tc>
          <w:tcPr>
            <w:tcW w:w="49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仿宋"/>
                <w:sz w:val="20"/>
                <w:szCs w:val="20"/>
                <w:highlight w:val="none"/>
              </w:rPr>
            </w:pPr>
          </w:p>
        </w:tc>
        <w:tc>
          <w:tcPr>
            <w:tcW w:w="3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21个站27个集装箱</w:t>
            </w:r>
          </w:p>
        </w:tc>
      </w:tr>
      <w:tr>
        <w:tblPrEx>
          <w:tblLayout w:type="fixed"/>
          <w:tblCellMar>
            <w:top w:w="15" w:type="dxa"/>
            <w:left w:w="15" w:type="dxa"/>
            <w:bottom w:w="15" w:type="dxa"/>
            <w:right w:w="15" w:type="dxa"/>
          </w:tblCellMar>
        </w:tblPrEx>
        <w:trPr>
          <w:trHeight w:val="460" w:hRule="atLeast"/>
        </w:trPr>
        <w:tc>
          <w:tcPr>
            <w:tcW w:w="13717"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kern w:val="0"/>
                <w:sz w:val="36"/>
                <w:szCs w:val="36"/>
                <w:highlight w:val="none"/>
              </w:rPr>
            </w:pPr>
            <w:r>
              <w:rPr>
                <w:rFonts w:hint="eastAsia" w:ascii="宋体" w:hAnsi="宋体" w:eastAsia="宋体" w:cs="宋体"/>
                <w:kern w:val="0"/>
                <w:sz w:val="36"/>
                <w:szCs w:val="36"/>
                <w:highlight w:val="none"/>
              </w:rPr>
              <w:t>垃圾收集驿站、收集点（三）</w:t>
            </w:r>
          </w:p>
        </w:tc>
      </w:tr>
      <w:tr>
        <w:tblPrEx>
          <w:tblLayout w:type="fixed"/>
          <w:tblCellMar>
            <w:top w:w="15" w:type="dxa"/>
            <w:left w:w="15" w:type="dxa"/>
            <w:bottom w:w="15" w:type="dxa"/>
            <w:right w:w="15" w:type="dxa"/>
          </w:tblCellMar>
        </w:tblPrEx>
        <w:trPr>
          <w:trHeight w:val="191" w:hRule="atLeast"/>
        </w:trPr>
        <w:tc>
          <w:tcPr>
            <w:tcW w:w="7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序号</w:t>
            </w:r>
          </w:p>
        </w:tc>
        <w:tc>
          <w:tcPr>
            <w:tcW w:w="43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路段</w:t>
            </w:r>
          </w:p>
        </w:tc>
        <w:tc>
          <w:tcPr>
            <w:tcW w:w="492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地点</w:t>
            </w:r>
          </w:p>
        </w:tc>
        <w:tc>
          <w:tcPr>
            <w:tcW w:w="3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设施/设备</w:t>
            </w:r>
          </w:p>
        </w:tc>
      </w:tr>
      <w:tr>
        <w:tblPrEx>
          <w:tblLayout w:type="fixed"/>
          <w:tblCellMar>
            <w:top w:w="15" w:type="dxa"/>
            <w:left w:w="15" w:type="dxa"/>
            <w:bottom w:w="15" w:type="dxa"/>
            <w:right w:w="15" w:type="dxa"/>
          </w:tblCellMar>
        </w:tblPrEx>
        <w:trPr>
          <w:trHeight w:val="191" w:hRule="atLeast"/>
        </w:trPr>
        <w:tc>
          <w:tcPr>
            <w:tcW w:w="7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1</w:t>
            </w:r>
          </w:p>
        </w:tc>
        <w:tc>
          <w:tcPr>
            <w:tcW w:w="43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西大二路</w:t>
            </w:r>
          </w:p>
        </w:tc>
        <w:tc>
          <w:tcPr>
            <w:tcW w:w="492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西大二路复烤厂上进路口驿站</w:t>
            </w:r>
          </w:p>
        </w:tc>
        <w:tc>
          <w:tcPr>
            <w:tcW w:w="3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240升垃圾桶</w:t>
            </w:r>
          </w:p>
        </w:tc>
      </w:tr>
      <w:tr>
        <w:tblPrEx>
          <w:tblLayout w:type="fixed"/>
          <w:tblCellMar>
            <w:top w:w="15" w:type="dxa"/>
            <w:left w:w="15" w:type="dxa"/>
            <w:bottom w:w="15" w:type="dxa"/>
            <w:right w:w="15" w:type="dxa"/>
          </w:tblCellMar>
        </w:tblPrEx>
        <w:trPr>
          <w:trHeight w:val="191" w:hRule="atLeast"/>
        </w:trPr>
        <w:tc>
          <w:tcPr>
            <w:tcW w:w="7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2</w:t>
            </w:r>
          </w:p>
        </w:tc>
        <w:tc>
          <w:tcPr>
            <w:tcW w:w="43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西大二路</w:t>
            </w:r>
          </w:p>
        </w:tc>
        <w:tc>
          <w:tcPr>
            <w:tcW w:w="492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西大二路复烤厂后门驿站</w:t>
            </w:r>
          </w:p>
        </w:tc>
        <w:tc>
          <w:tcPr>
            <w:tcW w:w="3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240升垃圾桶</w:t>
            </w:r>
          </w:p>
        </w:tc>
      </w:tr>
      <w:tr>
        <w:tblPrEx>
          <w:tblLayout w:type="fixed"/>
          <w:tblCellMar>
            <w:top w:w="15" w:type="dxa"/>
            <w:left w:w="15" w:type="dxa"/>
            <w:bottom w:w="15" w:type="dxa"/>
            <w:right w:w="15" w:type="dxa"/>
          </w:tblCellMar>
        </w:tblPrEx>
        <w:trPr>
          <w:trHeight w:val="191" w:hRule="atLeast"/>
        </w:trPr>
        <w:tc>
          <w:tcPr>
            <w:tcW w:w="7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3</w:t>
            </w:r>
          </w:p>
        </w:tc>
        <w:tc>
          <w:tcPr>
            <w:tcW w:w="43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西大二路</w:t>
            </w:r>
          </w:p>
        </w:tc>
        <w:tc>
          <w:tcPr>
            <w:tcW w:w="492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西大二路金鸡山路口驿站</w:t>
            </w:r>
          </w:p>
        </w:tc>
        <w:tc>
          <w:tcPr>
            <w:tcW w:w="3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240升垃圾桶</w:t>
            </w:r>
          </w:p>
        </w:tc>
      </w:tr>
      <w:tr>
        <w:tblPrEx>
          <w:tblLayout w:type="fixed"/>
          <w:tblCellMar>
            <w:top w:w="15" w:type="dxa"/>
            <w:left w:w="15" w:type="dxa"/>
            <w:bottom w:w="15" w:type="dxa"/>
            <w:right w:w="15" w:type="dxa"/>
          </w:tblCellMar>
        </w:tblPrEx>
        <w:trPr>
          <w:trHeight w:val="191" w:hRule="atLeast"/>
        </w:trPr>
        <w:tc>
          <w:tcPr>
            <w:tcW w:w="7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4</w:t>
            </w:r>
          </w:p>
        </w:tc>
        <w:tc>
          <w:tcPr>
            <w:tcW w:w="43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西大二路</w:t>
            </w:r>
          </w:p>
        </w:tc>
        <w:tc>
          <w:tcPr>
            <w:tcW w:w="492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西大二路客家宾馆驿站</w:t>
            </w:r>
          </w:p>
        </w:tc>
        <w:tc>
          <w:tcPr>
            <w:tcW w:w="3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240升垃圾桶</w:t>
            </w:r>
          </w:p>
        </w:tc>
      </w:tr>
      <w:tr>
        <w:tblPrEx>
          <w:tblLayout w:type="fixed"/>
          <w:tblCellMar>
            <w:top w:w="15" w:type="dxa"/>
            <w:left w:w="15" w:type="dxa"/>
            <w:bottom w:w="15" w:type="dxa"/>
            <w:right w:w="15" w:type="dxa"/>
          </w:tblCellMar>
        </w:tblPrEx>
        <w:trPr>
          <w:trHeight w:val="191" w:hRule="atLeast"/>
        </w:trPr>
        <w:tc>
          <w:tcPr>
            <w:tcW w:w="7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5</w:t>
            </w:r>
          </w:p>
        </w:tc>
        <w:tc>
          <w:tcPr>
            <w:tcW w:w="43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新桥二路</w:t>
            </w:r>
          </w:p>
        </w:tc>
        <w:tc>
          <w:tcPr>
            <w:tcW w:w="492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金山水郡小区对面县车队坡底驿站</w:t>
            </w:r>
          </w:p>
        </w:tc>
        <w:tc>
          <w:tcPr>
            <w:tcW w:w="3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240升垃圾桶</w:t>
            </w:r>
          </w:p>
        </w:tc>
      </w:tr>
      <w:tr>
        <w:tblPrEx>
          <w:tblLayout w:type="fixed"/>
          <w:tblCellMar>
            <w:top w:w="15" w:type="dxa"/>
            <w:left w:w="15" w:type="dxa"/>
            <w:bottom w:w="15" w:type="dxa"/>
            <w:right w:w="15" w:type="dxa"/>
          </w:tblCellMar>
        </w:tblPrEx>
        <w:trPr>
          <w:trHeight w:val="191" w:hRule="atLeast"/>
        </w:trPr>
        <w:tc>
          <w:tcPr>
            <w:tcW w:w="7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6</w:t>
            </w:r>
          </w:p>
        </w:tc>
        <w:tc>
          <w:tcPr>
            <w:tcW w:w="43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金钢亭路</w:t>
            </w:r>
          </w:p>
        </w:tc>
        <w:tc>
          <w:tcPr>
            <w:tcW w:w="492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东方广场小区驿站</w:t>
            </w:r>
          </w:p>
        </w:tc>
        <w:tc>
          <w:tcPr>
            <w:tcW w:w="3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240升垃圾桶</w:t>
            </w:r>
          </w:p>
        </w:tc>
      </w:tr>
      <w:tr>
        <w:tblPrEx>
          <w:tblLayout w:type="fixed"/>
          <w:tblCellMar>
            <w:top w:w="15" w:type="dxa"/>
            <w:left w:w="15" w:type="dxa"/>
            <w:bottom w:w="15" w:type="dxa"/>
            <w:right w:w="15" w:type="dxa"/>
          </w:tblCellMar>
        </w:tblPrEx>
        <w:trPr>
          <w:trHeight w:val="191" w:hRule="atLeast"/>
        </w:trPr>
        <w:tc>
          <w:tcPr>
            <w:tcW w:w="7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7</w:t>
            </w:r>
          </w:p>
        </w:tc>
        <w:tc>
          <w:tcPr>
            <w:tcW w:w="43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东大路</w:t>
            </w:r>
          </w:p>
        </w:tc>
        <w:tc>
          <w:tcPr>
            <w:tcW w:w="492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老化肥厂宿舍路口驿站</w:t>
            </w:r>
          </w:p>
        </w:tc>
        <w:tc>
          <w:tcPr>
            <w:tcW w:w="3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240升垃圾桶</w:t>
            </w:r>
          </w:p>
        </w:tc>
      </w:tr>
      <w:tr>
        <w:tblPrEx>
          <w:tblLayout w:type="fixed"/>
          <w:tblCellMar>
            <w:top w:w="15" w:type="dxa"/>
            <w:left w:w="15" w:type="dxa"/>
            <w:bottom w:w="15" w:type="dxa"/>
            <w:right w:w="15" w:type="dxa"/>
          </w:tblCellMar>
        </w:tblPrEx>
        <w:trPr>
          <w:trHeight w:val="191" w:hRule="atLeast"/>
        </w:trPr>
        <w:tc>
          <w:tcPr>
            <w:tcW w:w="7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8</w:t>
            </w:r>
          </w:p>
        </w:tc>
        <w:tc>
          <w:tcPr>
            <w:tcW w:w="43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东大路</w:t>
            </w:r>
          </w:p>
        </w:tc>
        <w:tc>
          <w:tcPr>
            <w:tcW w:w="492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高堑村部驿站</w:t>
            </w:r>
          </w:p>
        </w:tc>
        <w:tc>
          <w:tcPr>
            <w:tcW w:w="3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240升垃圾桶</w:t>
            </w:r>
          </w:p>
        </w:tc>
      </w:tr>
      <w:tr>
        <w:tblPrEx>
          <w:tblLayout w:type="fixed"/>
          <w:tblCellMar>
            <w:top w:w="15" w:type="dxa"/>
            <w:left w:w="15" w:type="dxa"/>
            <w:bottom w:w="15" w:type="dxa"/>
            <w:right w:w="15" w:type="dxa"/>
          </w:tblCellMar>
        </w:tblPrEx>
        <w:trPr>
          <w:trHeight w:val="191" w:hRule="atLeast"/>
        </w:trPr>
        <w:tc>
          <w:tcPr>
            <w:tcW w:w="7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9</w:t>
            </w:r>
          </w:p>
        </w:tc>
        <w:tc>
          <w:tcPr>
            <w:tcW w:w="43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江下路</w:t>
            </w:r>
          </w:p>
        </w:tc>
        <w:tc>
          <w:tcPr>
            <w:tcW w:w="492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四竹坑市场驿站</w:t>
            </w:r>
          </w:p>
        </w:tc>
        <w:tc>
          <w:tcPr>
            <w:tcW w:w="3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240升垃圾桶</w:t>
            </w:r>
          </w:p>
        </w:tc>
      </w:tr>
      <w:tr>
        <w:tblPrEx>
          <w:tblLayout w:type="fixed"/>
          <w:tblCellMar>
            <w:top w:w="15" w:type="dxa"/>
            <w:left w:w="15" w:type="dxa"/>
            <w:bottom w:w="15" w:type="dxa"/>
            <w:right w:w="15" w:type="dxa"/>
          </w:tblCellMar>
        </w:tblPrEx>
        <w:trPr>
          <w:trHeight w:val="191" w:hRule="atLeast"/>
        </w:trPr>
        <w:tc>
          <w:tcPr>
            <w:tcW w:w="7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10</w:t>
            </w:r>
          </w:p>
        </w:tc>
        <w:tc>
          <w:tcPr>
            <w:tcW w:w="43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江下路</w:t>
            </w:r>
          </w:p>
        </w:tc>
        <w:tc>
          <w:tcPr>
            <w:tcW w:w="492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东城雅苑小区驿站</w:t>
            </w:r>
          </w:p>
        </w:tc>
        <w:tc>
          <w:tcPr>
            <w:tcW w:w="3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240升垃圾桶</w:t>
            </w:r>
          </w:p>
        </w:tc>
      </w:tr>
      <w:tr>
        <w:tblPrEx>
          <w:tblLayout w:type="fixed"/>
          <w:tblCellMar>
            <w:top w:w="15" w:type="dxa"/>
            <w:left w:w="15" w:type="dxa"/>
            <w:bottom w:w="15" w:type="dxa"/>
            <w:right w:w="15" w:type="dxa"/>
          </w:tblCellMar>
        </w:tblPrEx>
        <w:trPr>
          <w:trHeight w:val="191" w:hRule="atLeast"/>
        </w:trPr>
        <w:tc>
          <w:tcPr>
            <w:tcW w:w="7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11</w:t>
            </w:r>
          </w:p>
        </w:tc>
        <w:tc>
          <w:tcPr>
            <w:tcW w:w="43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朝阳路</w:t>
            </w:r>
          </w:p>
        </w:tc>
        <w:tc>
          <w:tcPr>
            <w:tcW w:w="492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红旗小学驿站</w:t>
            </w:r>
          </w:p>
        </w:tc>
        <w:tc>
          <w:tcPr>
            <w:tcW w:w="3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240升垃圾桶</w:t>
            </w:r>
          </w:p>
        </w:tc>
      </w:tr>
      <w:tr>
        <w:tblPrEx>
          <w:tblLayout w:type="fixed"/>
          <w:tblCellMar>
            <w:top w:w="15" w:type="dxa"/>
            <w:left w:w="15" w:type="dxa"/>
            <w:bottom w:w="15" w:type="dxa"/>
            <w:right w:w="15" w:type="dxa"/>
          </w:tblCellMar>
        </w:tblPrEx>
        <w:trPr>
          <w:trHeight w:val="191" w:hRule="atLeast"/>
        </w:trPr>
        <w:tc>
          <w:tcPr>
            <w:tcW w:w="7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12</w:t>
            </w:r>
          </w:p>
        </w:tc>
        <w:tc>
          <w:tcPr>
            <w:tcW w:w="43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南大街</w:t>
            </w:r>
          </w:p>
        </w:tc>
        <w:tc>
          <w:tcPr>
            <w:tcW w:w="492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老少年宫门口驿站</w:t>
            </w:r>
          </w:p>
        </w:tc>
        <w:tc>
          <w:tcPr>
            <w:tcW w:w="3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240升垃圾桶</w:t>
            </w:r>
          </w:p>
        </w:tc>
      </w:tr>
      <w:tr>
        <w:tblPrEx>
          <w:tblLayout w:type="fixed"/>
          <w:tblCellMar>
            <w:top w:w="15" w:type="dxa"/>
            <w:left w:w="15" w:type="dxa"/>
            <w:bottom w:w="15" w:type="dxa"/>
            <w:right w:w="15" w:type="dxa"/>
          </w:tblCellMar>
        </w:tblPrEx>
        <w:trPr>
          <w:trHeight w:val="191" w:hRule="atLeast"/>
        </w:trPr>
        <w:tc>
          <w:tcPr>
            <w:tcW w:w="7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13</w:t>
            </w:r>
          </w:p>
        </w:tc>
        <w:tc>
          <w:tcPr>
            <w:tcW w:w="43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南大街</w:t>
            </w:r>
          </w:p>
        </w:tc>
        <w:tc>
          <w:tcPr>
            <w:tcW w:w="492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南门转盘驿站</w:t>
            </w:r>
          </w:p>
        </w:tc>
        <w:tc>
          <w:tcPr>
            <w:tcW w:w="3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240升垃圾桶</w:t>
            </w:r>
          </w:p>
        </w:tc>
      </w:tr>
      <w:tr>
        <w:tblPrEx>
          <w:tblLayout w:type="fixed"/>
          <w:tblCellMar>
            <w:top w:w="15" w:type="dxa"/>
            <w:left w:w="15" w:type="dxa"/>
            <w:bottom w:w="15" w:type="dxa"/>
            <w:right w:w="15" w:type="dxa"/>
          </w:tblCellMar>
        </w:tblPrEx>
        <w:trPr>
          <w:trHeight w:val="191" w:hRule="atLeast"/>
        </w:trPr>
        <w:tc>
          <w:tcPr>
            <w:tcW w:w="7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14</w:t>
            </w:r>
          </w:p>
        </w:tc>
        <w:tc>
          <w:tcPr>
            <w:tcW w:w="43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龙门路</w:t>
            </w:r>
          </w:p>
        </w:tc>
        <w:tc>
          <w:tcPr>
            <w:tcW w:w="492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电力公司龙门桥头驿站</w:t>
            </w:r>
          </w:p>
        </w:tc>
        <w:tc>
          <w:tcPr>
            <w:tcW w:w="3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240升垃圾桶</w:t>
            </w:r>
          </w:p>
        </w:tc>
      </w:tr>
      <w:tr>
        <w:tblPrEx>
          <w:tblLayout w:type="fixed"/>
          <w:tblCellMar>
            <w:top w:w="15" w:type="dxa"/>
            <w:left w:w="15" w:type="dxa"/>
            <w:bottom w:w="15" w:type="dxa"/>
            <w:right w:w="15" w:type="dxa"/>
          </w:tblCellMar>
        </w:tblPrEx>
        <w:trPr>
          <w:trHeight w:val="191" w:hRule="atLeast"/>
        </w:trPr>
        <w:tc>
          <w:tcPr>
            <w:tcW w:w="7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15</w:t>
            </w:r>
          </w:p>
        </w:tc>
        <w:tc>
          <w:tcPr>
            <w:tcW w:w="43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城南斑竹</w:t>
            </w:r>
          </w:p>
        </w:tc>
        <w:tc>
          <w:tcPr>
            <w:tcW w:w="492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城南村部驿站</w:t>
            </w:r>
          </w:p>
        </w:tc>
        <w:tc>
          <w:tcPr>
            <w:tcW w:w="3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240升垃圾桶</w:t>
            </w:r>
          </w:p>
        </w:tc>
      </w:tr>
      <w:tr>
        <w:tblPrEx>
          <w:tblLayout w:type="fixed"/>
          <w:tblCellMar>
            <w:top w:w="15" w:type="dxa"/>
            <w:left w:w="15" w:type="dxa"/>
            <w:bottom w:w="15" w:type="dxa"/>
            <w:right w:w="15" w:type="dxa"/>
          </w:tblCellMar>
        </w:tblPrEx>
        <w:trPr>
          <w:trHeight w:val="191" w:hRule="atLeast"/>
        </w:trPr>
        <w:tc>
          <w:tcPr>
            <w:tcW w:w="7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16</w:t>
            </w:r>
          </w:p>
        </w:tc>
        <w:tc>
          <w:tcPr>
            <w:tcW w:w="43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西门路</w:t>
            </w:r>
          </w:p>
        </w:tc>
        <w:tc>
          <w:tcPr>
            <w:tcW w:w="492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实幼门口驿站</w:t>
            </w:r>
          </w:p>
        </w:tc>
        <w:tc>
          <w:tcPr>
            <w:tcW w:w="3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240升垃圾桶</w:t>
            </w:r>
          </w:p>
        </w:tc>
      </w:tr>
      <w:tr>
        <w:tblPrEx>
          <w:tblLayout w:type="fixed"/>
          <w:tblCellMar>
            <w:top w:w="15" w:type="dxa"/>
            <w:left w:w="15" w:type="dxa"/>
            <w:bottom w:w="15" w:type="dxa"/>
            <w:right w:w="15" w:type="dxa"/>
          </w:tblCellMar>
        </w:tblPrEx>
        <w:trPr>
          <w:trHeight w:val="191" w:hRule="atLeast"/>
        </w:trPr>
        <w:tc>
          <w:tcPr>
            <w:tcW w:w="7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17</w:t>
            </w:r>
          </w:p>
        </w:tc>
        <w:tc>
          <w:tcPr>
            <w:tcW w:w="43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中环南路</w:t>
            </w:r>
          </w:p>
        </w:tc>
        <w:tc>
          <w:tcPr>
            <w:tcW w:w="492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新车站驿站</w:t>
            </w:r>
          </w:p>
        </w:tc>
        <w:tc>
          <w:tcPr>
            <w:tcW w:w="3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240升垃圾桶</w:t>
            </w:r>
          </w:p>
        </w:tc>
      </w:tr>
      <w:tr>
        <w:tblPrEx>
          <w:tblLayout w:type="fixed"/>
          <w:tblCellMar>
            <w:top w:w="15" w:type="dxa"/>
            <w:left w:w="15" w:type="dxa"/>
            <w:bottom w:w="15" w:type="dxa"/>
            <w:right w:w="15" w:type="dxa"/>
          </w:tblCellMar>
        </w:tblPrEx>
        <w:trPr>
          <w:trHeight w:val="191" w:hRule="atLeast"/>
        </w:trPr>
        <w:tc>
          <w:tcPr>
            <w:tcW w:w="7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18</w:t>
            </w:r>
          </w:p>
        </w:tc>
        <w:tc>
          <w:tcPr>
            <w:tcW w:w="43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中环南路</w:t>
            </w:r>
          </w:p>
        </w:tc>
        <w:tc>
          <w:tcPr>
            <w:tcW w:w="492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美食城驿站</w:t>
            </w:r>
          </w:p>
        </w:tc>
        <w:tc>
          <w:tcPr>
            <w:tcW w:w="3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240升垃圾桶</w:t>
            </w:r>
          </w:p>
        </w:tc>
      </w:tr>
      <w:tr>
        <w:tblPrEx>
          <w:tblLayout w:type="fixed"/>
          <w:tblCellMar>
            <w:top w:w="15" w:type="dxa"/>
            <w:left w:w="15" w:type="dxa"/>
            <w:bottom w:w="15" w:type="dxa"/>
            <w:right w:w="15" w:type="dxa"/>
          </w:tblCellMar>
        </w:tblPrEx>
        <w:trPr>
          <w:trHeight w:val="191" w:hRule="atLeast"/>
        </w:trPr>
        <w:tc>
          <w:tcPr>
            <w:tcW w:w="7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19</w:t>
            </w:r>
          </w:p>
        </w:tc>
        <w:tc>
          <w:tcPr>
            <w:tcW w:w="43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翠华西路</w:t>
            </w:r>
          </w:p>
        </w:tc>
        <w:tc>
          <w:tcPr>
            <w:tcW w:w="492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翠华小区市场驿站</w:t>
            </w:r>
          </w:p>
        </w:tc>
        <w:tc>
          <w:tcPr>
            <w:tcW w:w="3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240升垃圾桶</w:t>
            </w:r>
          </w:p>
        </w:tc>
      </w:tr>
      <w:tr>
        <w:tblPrEx>
          <w:tblLayout w:type="fixed"/>
          <w:tblCellMar>
            <w:top w:w="15" w:type="dxa"/>
            <w:left w:w="15" w:type="dxa"/>
            <w:bottom w:w="15" w:type="dxa"/>
            <w:right w:w="15" w:type="dxa"/>
          </w:tblCellMar>
        </w:tblPrEx>
        <w:trPr>
          <w:trHeight w:val="191" w:hRule="atLeast"/>
        </w:trPr>
        <w:tc>
          <w:tcPr>
            <w:tcW w:w="7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20</w:t>
            </w:r>
          </w:p>
        </w:tc>
        <w:tc>
          <w:tcPr>
            <w:tcW w:w="43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北大街</w:t>
            </w:r>
          </w:p>
        </w:tc>
        <w:tc>
          <w:tcPr>
            <w:tcW w:w="492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北山公租房驿站</w:t>
            </w:r>
          </w:p>
        </w:tc>
        <w:tc>
          <w:tcPr>
            <w:tcW w:w="3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240升垃圾桶</w:t>
            </w:r>
          </w:p>
        </w:tc>
      </w:tr>
      <w:tr>
        <w:tblPrEx>
          <w:tblLayout w:type="fixed"/>
          <w:tblCellMar>
            <w:top w:w="15" w:type="dxa"/>
            <w:left w:w="15" w:type="dxa"/>
            <w:bottom w:w="15" w:type="dxa"/>
            <w:right w:w="15" w:type="dxa"/>
          </w:tblCellMar>
        </w:tblPrEx>
        <w:trPr>
          <w:trHeight w:val="191" w:hRule="atLeast"/>
        </w:trPr>
        <w:tc>
          <w:tcPr>
            <w:tcW w:w="7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21</w:t>
            </w:r>
          </w:p>
        </w:tc>
        <w:tc>
          <w:tcPr>
            <w:tcW w:w="43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西大二路</w:t>
            </w:r>
          </w:p>
        </w:tc>
        <w:tc>
          <w:tcPr>
            <w:tcW w:w="492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看守所驿站</w:t>
            </w:r>
          </w:p>
        </w:tc>
        <w:tc>
          <w:tcPr>
            <w:tcW w:w="3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240升垃圾桶</w:t>
            </w:r>
          </w:p>
        </w:tc>
      </w:tr>
      <w:tr>
        <w:tblPrEx>
          <w:tblLayout w:type="fixed"/>
          <w:tblCellMar>
            <w:top w:w="15" w:type="dxa"/>
            <w:left w:w="15" w:type="dxa"/>
            <w:bottom w:w="15" w:type="dxa"/>
            <w:right w:w="15" w:type="dxa"/>
          </w:tblCellMar>
        </w:tblPrEx>
        <w:trPr>
          <w:trHeight w:val="191" w:hRule="atLeast"/>
        </w:trPr>
        <w:tc>
          <w:tcPr>
            <w:tcW w:w="7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22</w:t>
            </w:r>
          </w:p>
        </w:tc>
        <w:tc>
          <w:tcPr>
            <w:tcW w:w="43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西大二路</w:t>
            </w:r>
          </w:p>
        </w:tc>
        <w:tc>
          <w:tcPr>
            <w:tcW w:w="492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伍家山坡顶收集点</w:t>
            </w:r>
          </w:p>
        </w:tc>
        <w:tc>
          <w:tcPr>
            <w:tcW w:w="3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2T小摆臂车铁桶</w:t>
            </w:r>
          </w:p>
        </w:tc>
      </w:tr>
      <w:tr>
        <w:tblPrEx>
          <w:tblLayout w:type="fixed"/>
          <w:tblCellMar>
            <w:top w:w="15" w:type="dxa"/>
            <w:left w:w="15" w:type="dxa"/>
            <w:bottom w:w="15" w:type="dxa"/>
            <w:right w:w="15" w:type="dxa"/>
          </w:tblCellMar>
        </w:tblPrEx>
        <w:trPr>
          <w:trHeight w:val="191" w:hRule="atLeast"/>
        </w:trPr>
        <w:tc>
          <w:tcPr>
            <w:tcW w:w="7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23</w:t>
            </w:r>
          </w:p>
        </w:tc>
        <w:tc>
          <w:tcPr>
            <w:tcW w:w="43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新桥二路</w:t>
            </w:r>
          </w:p>
        </w:tc>
        <w:tc>
          <w:tcPr>
            <w:tcW w:w="492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老县车队收集点</w:t>
            </w:r>
          </w:p>
        </w:tc>
        <w:tc>
          <w:tcPr>
            <w:tcW w:w="3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2T小摆臂车铁桶</w:t>
            </w:r>
          </w:p>
        </w:tc>
      </w:tr>
      <w:tr>
        <w:tblPrEx>
          <w:tblLayout w:type="fixed"/>
          <w:tblCellMar>
            <w:top w:w="15" w:type="dxa"/>
            <w:left w:w="15" w:type="dxa"/>
            <w:bottom w:w="15" w:type="dxa"/>
            <w:right w:w="15" w:type="dxa"/>
          </w:tblCellMar>
        </w:tblPrEx>
        <w:trPr>
          <w:trHeight w:val="191" w:hRule="atLeast"/>
        </w:trPr>
        <w:tc>
          <w:tcPr>
            <w:tcW w:w="7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24</w:t>
            </w:r>
          </w:p>
        </w:tc>
        <w:tc>
          <w:tcPr>
            <w:tcW w:w="43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金鸡山</w:t>
            </w:r>
          </w:p>
        </w:tc>
        <w:tc>
          <w:tcPr>
            <w:tcW w:w="492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矿山机械厂门口收集点</w:t>
            </w:r>
          </w:p>
        </w:tc>
        <w:tc>
          <w:tcPr>
            <w:tcW w:w="3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2T小摆臂车铁桶</w:t>
            </w:r>
          </w:p>
        </w:tc>
      </w:tr>
      <w:tr>
        <w:tblPrEx>
          <w:tblLayout w:type="fixed"/>
          <w:tblCellMar>
            <w:top w:w="15" w:type="dxa"/>
            <w:left w:w="15" w:type="dxa"/>
            <w:bottom w:w="15" w:type="dxa"/>
            <w:right w:w="15" w:type="dxa"/>
          </w:tblCellMar>
        </w:tblPrEx>
        <w:trPr>
          <w:trHeight w:val="191" w:hRule="atLeast"/>
        </w:trPr>
        <w:tc>
          <w:tcPr>
            <w:tcW w:w="7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25</w:t>
            </w:r>
          </w:p>
        </w:tc>
        <w:tc>
          <w:tcPr>
            <w:tcW w:w="43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西大二路</w:t>
            </w:r>
          </w:p>
        </w:tc>
        <w:tc>
          <w:tcPr>
            <w:tcW w:w="492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西门加油站收集点</w:t>
            </w:r>
          </w:p>
        </w:tc>
        <w:tc>
          <w:tcPr>
            <w:tcW w:w="3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2T小摆臂车铁桶</w:t>
            </w:r>
          </w:p>
        </w:tc>
      </w:tr>
      <w:tr>
        <w:tblPrEx>
          <w:tblLayout w:type="fixed"/>
          <w:tblCellMar>
            <w:top w:w="15" w:type="dxa"/>
            <w:left w:w="15" w:type="dxa"/>
            <w:bottom w:w="15" w:type="dxa"/>
            <w:right w:w="15" w:type="dxa"/>
          </w:tblCellMar>
        </w:tblPrEx>
        <w:trPr>
          <w:trHeight w:val="191" w:hRule="atLeast"/>
        </w:trPr>
        <w:tc>
          <w:tcPr>
            <w:tcW w:w="7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26</w:t>
            </w:r>
          </w:p>
        </w:tc>
        <w:tc>
          <w:tcPr>
            <w:tcW w:w="43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西大二路</w:t>
            </w:r>
          </w:p>
        </w:tc>
        <w:tc>
          <w:tcPr>
            <w:tcW w:w="492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西山宾馆花圈焚烧垃圾池</w:t>
            </w:r>
          </w:p>
        </w:tc>
        <w:tc>
          <w:tcPr>
            <w:tcW w:w="3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垃圾池</w:t>
            </w:r>
          </w:p>
        </w:tc>
      </w:tr>
      <w:tr>
        <w:tblPrEx>
          <w:tblLayout w:type="fixed"/>
          <w:tblCellMar>
            <w:top w:w="15" w:type="dxa"/>
            <w:left w:w="15" w:type="dxa"/>
            <w:bottom w:w="15" w:type="dxa"/>
            <w:right w:w="15" w:type="dxa"/>
          </w:tblCellMar>
        </w:tblPrEx>
        <w:trPr>
          <w:trHeight w:val="191" w:hRule="atLeast"/>
        </w:trPr>
        <w:tc>
          <w:tcPr>
            <w:tcW w:w="7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27</w:t>
            </w:r>
          </w:p>
        </w:tc>
        <w:tc>
          <w:tcPr>
            <w:tcW w:w="43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西大二路</w:t>
            </w:r>
          </w:p>
        </w:tc>
        <w:tc>
          <w:tcPr>
            <w:tcW w:w="492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保安加油站收集点</w:t>
            </w:r>
          </w:p>
        </w:tc>
        <w:tc>
          <w:tcPr>
            <w:tcW w:w="3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2T小摆臂车铁桶</w:t>
            </w:r>
          </w:p>
        </w:tc>
      </w:tr>
      <w:tr>
        <w:tblPrEx>
          <w:tblLayout w:type="fixed"/>
          <w:tblCellMar>
            <w:top w:w="15" w:type="dxa"/>
            <w:left w:w="15" w:type="dxa"/>
            <w:bottom w:w="15" w:type="dxa"/>
            <w:right w:w="15" w:type="dxa"/>
          </w:tblCellMar>
        </w:tblPrEx>
        <w:trPr>
          <w:trHeight w:val="191" w:hRule="atLeast"/>
        </w:trPr>
        <w:tc>
          <w:tcPr>
            <w:tcW w:w="7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28</w:t>
            </w:r>
          </w:p>
        </w:tc>
        <w:tc>
          <w:tcPr>
            <w:tcW w:w="43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西大二路</w:t>
            </w:r>
          </w:p>
        </w:tc>
        <w:tc>
          <w:tcPr>
            <w:tcW w:w="492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拘留所路口收集点</w:t>
            </w:r>
          </w:p>
        </w:tc>
        <w:tc>
          <w:tcPr>
            <w:tcW w:w="3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2T小摆臂车铁桶</w:t>
            </w:r>
          </w:p>
        </w:tc>
      </w:tr>
      <w:tr>
        <w:tblPrEx>
          <w:tblLayout w:type="fixed"/>
          <w:tblCellMar>
            <w:top w:w="15" w:type="dxa"/>
            <w:left w:w="15" w:type="dxa"/>
            <w:bottom w:w="15" w:type="dxa"/>
            <w:right w:w="15" w:type="dxa"/>
          </w:tblCellMar>
        </w:tblPrEx>
        <w:trPr>
          <w:trHeight w:val="191" w:hRule="atLeast"/>
        </w:trPr>
        <w:tc>
          <w:tcPr>
            <w:tcW w:w="7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29</w:t>
            </w:r>
          </w:p>
        </w:tc>
        <w:tc>
          <w:tcPr>
            <w:tcW w:w="43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翠江镇茶果场新村</w:t>
            </w:r>
          </w:p>
        </w:tc>
        <w:tc>
          <w:tcPr>
            <w:tcW w:w="492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茶果场新村收集点</w:t>
            </w:r>
          </w:p>
        </w:tc>
        <w:tc>
          <w:tcPr>
            <w:tcW w:w="3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2T小摆臂车铁桶</w:t>
            </w:r>
          </w:p>
        </w:tc>
      </w:tr>
      <w:tr>
        <w:tblPrEx>
          <w:tblLayout w:type="fixed"/>
          <w:tblCellMar>
            <w:top w:w="15" w:type="dxa"/>
            <w:left w:w="15" w:type="dxa"/>
            <w:bottom w:w="15" w:type="dxa"/>
            <w:right w:w="15" w:type="dxa"/>
          </w:tblCellMar>
        </w:tblPrEx>
        <w:trPr>
          <w:trHeight w:val="191" w:hRule="atLeast"/>
        </w:trPr>
        <w:tc>
          <w:tcPr>
            <w:tcW w:w="7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30</w:t>
            </w:r>
          </w:p>
        </w:tc>
        <w:tc>
          <w:tcPr>
            <w:tcW w:w="43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小溪边上游</w:t>
            </w:r>
          </w:p>
        </w:tc>
        <w:tc>
          <w:tcPr>
            <w:tcW w:w="492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巫高新村收集点</w:t>
            </w:r>
          </w:p>
        </w:tc>
        <w:tc>
          <w:tcPr>
            <w:tcW w:w="3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2T小摆臂车铁桶</w:t>
            </w:r>
          </w:p>
        </w:tc>
      </w:tr>
      <w:tr>
        <w:tblPrEx>
          <w:tblLayout w:type="fixed"/>
          <w:tblCellMar>
            <w:top w:w="15" w:type="dxa"/>
            <w:left w:w="15" w:type="dxa"/>
            <w:bottom w:w="15" w:type="dxa"/>
            <w:right w:w="15" w:type="dxa"/>
          </w:tblCellMar>
        </w:tblPrEx>
        <w:trPr>
          <w:trHeight w:val="191" w:hRule="atLeast"/>
        </w:trPr>
        <w:tc>
          <w:tcPr>
            <w:tcW w:w="7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31</w:t>
            </w:r>
          </w:p>
        </w:tc>
        <w:tc>
          <w:tcPr>
            <w:tcW w:w="43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小溪边上游</w:t>
            </w:r>
          </w:p>
        </w:tc>
        <w:tc>
          <w:tcPr>
            <w:tcW w:w="492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宁化六中收集点</w:t>
            </w:r>
          </w:p>
        </w:tc>
        <w:tc>
          <w:tcPr>
            <w:tcW w:w="3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2个2T小摆臂车铁桶</w:t>
            </w:r>
          </w:p>
        </w:tc>
      </w:tr>
      <w:tr>
        <w:tblPrEx>
          <w:tblLayout w:type="fixed"/>
          <w:tblCellMar>
            <w:top w:w="15" w:type="dxa"/>
            <w:left w:w="15" w:type="dxa"/>
            <w:bottom w:w="15" w:type="dxa"/>
            <w:right w:w="15" w:type="dxa"/>
          </w:tblCellMar>
        </w:tblPrEx>
        <w:trPr>
          <w:trHeight w:val="191" w:hRule="atLeast"/>
        </w:trPr>
        <w:tc>
          <w:tcPr>
            <w:tcW w:w="7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32</w:t>
            </w:r>
          </w:p>
        </w:tc>
        <w:tc>
          <w:tcPr>
            <w:tcW w:w="43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东大路</w:t>
            </w:r>
          </w:p>
        </w:tc>
        <w:tc>
          <w:tcPr>
            <w:tcW w:w="492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110万伏变电站对面收集点</w:t>
            </w:r>
          </w:p>
        </w:tc>
        <w:tc>
          <w:tcPr>
            <w:tcW w:w="3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2T小摆臂车铁桶</w:t>
            </w:r>
          </w:p>
        </w:tc>
      </w:tr>
      <w:tr>
        <w:tblPrEx>
          <w:tblLayout w:type="fixed"/>
          <w:tblCellMar>
            <w:top w:w="15" w:type="dxa"/>
            <w:left w:w="15" w:type="dxa"/>
            <w:bottom w:w="15" w:type="dxa"/>
            <w:right w:w="15" w:type="dxa"/>
          </w:tblCellMar>
        </w:tblPrEx>
        <w:trPr>
          <w:trHeight w:val="191" w:hRule="atLeast"/>
        </w:trPr>
        <w:tc>
          <w:tcPr>
            <w:tcW w:w="7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33</w:t>
            </w:r>
          </w:p>
        </w:tc>
        <w:tc>
          <w:tcPr>
            <w:tcW w:w="43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东大路</w:t>
            </w:r>
          </w:p>
        </w:tc>
        <w:tc>
          <w:tcPr>
            <w:tcW w:w="492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老货车队收集点</w:t>
            </w:r>
          </w:p>
        </w:tc>
        <w:tc>
          <w:tcPr>
            <w:tcW w:w="3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2T小摆臂车铁桶</w:t>
            </w:r>
          </w:p>
        </w:tc>
      </w:tr>
      <w:tr>
        <w:tblPrEx>
          <w:tblLayout w:type="fixed"/>
          <w:tblCellMar>
            <w:top w:w="15" w:type="dxa"/>
            <w:left w:w="15" w:type="dxa"/>
            <w:bottom w:w="15" w:type="dxa"/>
            <w:right w:w="15" w:type="dxa"/>
          </w:tblCellMar>
        </w:tblPrEx>
        <w:trPr>
          <w:trHeight w:val="191" w:hRule="atLeast"/>
        </w:trPr>
        <w:tc>
          <w:tcPr>
            <w:tcW w:w="7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34</w:t>
            </w:r>
          </w:p>
        </w:tc>
        <w:tc>
          <w:tcPr>
            <w:tcW w:w="43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东大路</w:t>
            </w:r>
          </w:p>
        </w:tc>
        <w:tc>
          <w:tcPr>
            <w:tcW w:w="492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老东山桥收集点</w:t>
            </w:r>
          </w:p>
        </w:tc>
        <w:tc>
          <w:tcPr>
            <w:tcW w:w="3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2T小摆臂车铁桶</w:t>
            </w:r>
          </w:p>
        </w:tc>
      </w:tr>
      <w:tr>
        <w:tblPrEx>
          <w:tblLayout w:type="fixed"/>
          <w:tblCellMar>
            <w:top w:w="15" w:type="dxa"/>
            <w:left w:w="15" w:type="dxa"/>
            <w:bottom w:w="15" w:type="dxa"/>
            <w:right w:w="15" w:type="dxa"/>
          </w:tblCellMar>
        </w:tblPrEx>
        <w:trPr>
          <w:trHeight w:val="191" w:hRule="atLeast"/>
        </w:trPr>
        <w:tc>
          <w:tcPr>
            <w:tcW w:w="7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35</w:t>
            </w:r>
          </w:p>
        </w:tc>
        <w:tc>
          <w:tcPr>
            <w:tcW w:w="43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江滨北路</w:t>
            </w:r>
          </w:p>
        </w:tc>
        <w:tc>
          <w:tcPr>
            <w:tcW w:w="492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江滨北路高堑桥收集点（客家国际）</w:t>
            </w:r>
          </w:p>
        </w:tc>
        <w:tc>
          <w:tcPr>
            <w:tcW w:w="3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2T小摆臂车铁桶</w:t>
            </w:r>
          </w:p>
        </w:tc>
      </w:tr>
      <w:tr>
        <w:tblPrEx>
          <w:tblLayout w:type="fixed"/>
          <w:tblCellMar>
            <w:top w:w="15" w:type="dxa"/>
            <w:left w:w="15" w:type="dxa"/>
            <w:bottom w:w="15" w:type="dxa"/>
            <w:right w:w="15" w:type="dxa"/>
          </w:tblCellMar>
        </w:tblPrEx>
        <w:trPr>
          <w:trHeight w:val="191" w:hRule="atLeast"/>
        </w:trPr>
        <w:tc>
          <w:tcPr>
            <w:tcW w:w="7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36</w:t>
            </w:r>
          </w:p>
        </w:tc>
        <w:tc>
          <w:tcPr>
            <w:tcW w:w="43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江下路</w:t>
            </w:r>
          </w:p>
        </w:tc>
        <w:tc>
          <w:tcPr>
            <w:tcW w:w="492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城东小学收集点</w:t>
            </w:r>
          </w:p>
        </w:tc>
        <w:tc>
          <w:tcPr>
            <w:tcW w:w="3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2T小摆臂车铁桶</w:t>
            </w:r>
          </w:p>
        </w:tc>
      </w:tr>
      <w:tr>
        <w:tblPrEx>
          <w:tblLayout w:type="fixed"/>
          <w:tblCellMar>
            <w:top w:w="15" w:type="dxa"/>
            <w:left w:w="15" w:type="dxa"/>
            <w:bottom w:w="15" w:type="dxa"/>
            <w:right w:w="15" w:type="dxa"/>
          </w:tblCellMar>
        </w:tblPrEx>
        <w:trPr>
          <w:trHeight w:val="191" w:hRule="atLeast"/>
        </w:trPr>
        <w:tc>
          <w:tcPr>
            <w:tcW w:w="7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37</w:t>
            </w:r>
          </w:p>
        </w:tc>
        <w:tc>
          <w:tcPr>
            <w:tcW w:w="43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江下路</w:t>
            </w:r>
          </w:p>
        </w:tc>
        <w:tc>
          <w:tcPr>
            <w:tcW w:w="492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江下小学工地边收集点</w:t>
            </w:r>
          </w:p>
        </w:tc>
        <w:tc>
          <w:tcPr>
            <w:tcW w:w="3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2个2T小摆臂车铁桶</w:t>
            </w:r>
          </w:p>
        </w:tc>
      </w:tr>
      <w:tr>
        <w:tblPrEx>
          <w:tblLayout w:type="fixed"/>
          <w:tblCellMar>
            <w:top w:w="15" w:type="dxa"/>
            <w:left w:w="15" w:type="dxa"/>
            <w:bottom w:w="15" w:type="dxa"/>
            <w:right w:w="15" w:type="dxa"/>
          </w:tblCellMar>
        </w:tblPrEx>
        <w:trPr>
          <w:trHeight w:val="191" w:hRule="atLeast"/>
        </w:trPr>
        <w:tc>
          <w:tcPr>
            <w:tcW w:w="7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38</w:t>
            </w:r>
          </w:p>
        </w:tc>
        <w:tc>
          <w:tcPr>
            <w:tcW w:w="43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东街弄</w:t>
            </w:r>
          </w:p>
        </w:tc>
        <w:tc>
          <w:tcPr>
            <w:tcW w:w="492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粮油加工厂收集点</w:t>
            </w:r>
          </w:p>
        </w:tc>
        <w:tc>
          <w:tcPr>
            <w:tcW w:w="3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2T小摆臂车铁桶</w:t>
            </w:r>
          </w:p>
        </w:tc>
      </w:tr>
      <w:tr>
        <w:tblPrEx>
          <w:tblLayout w:type="fixed"/>
          <w:tblCellMar>
            <w:top w:w="15" w:type="dxa"/>
            <w:left w:w="15" w:type="dxa"/>
            <w:bottom w:w="15" w:type="dxa"/>
            <w:right w:w="15" w:type="dxa"/>
          </w:tblCellMar>
        </w:tblPrEx>
        <w:trPr>
          <w:trHeight w:val="191" w:hRule="atLeast"/>
        </w:trPr>
        <w:tc>
          <w:tcPr>
            <w:tcW w:w="7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39</w:t>
            </w:r>
          </w:p>
        </w:tc>
        <w:tc>
          <w:tcPr>
            <w:tcW w:w="43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两大街</w:t>
            </w:r>
          </w:p>
        </w:tc>
        <w:tc>
          <w:tcPr>
            <w:tcW w:w="492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老车站公厕后面收集点</w:t>
            </w:r>
          </w:p>
        </w:tc>
        <w:tc>
          <w:tcPr>
            <w:tcW w:w="3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2T小摆臂车铁桶</w:t>
            </w:r>
          </w:p>
        </w:tc>
      </w:tr>
      <w:tr>
        <w:tblPrEx>
          <w:tblLayout w:type="fixed"/>
          <w:tblCellMar>
            <w:top w:w="15" w:type="dxa"/>
            <w:left w:w="15" w:type="dxa"/>
            <w:bottom w:w="15" w:type="dxa"/>
            <w:right w:w="15" w:type="dxa"/>
          </w:tblCellMar>
        </w:tblPrEx>
        <w:trPr>
          <w:trHeight w:val="191" w:hRule="atLeast"/>
        </w:trPr>
        <w:tc>
          <w:tcPr>
            <w:tcW w:w="7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40</w:t>
            </w:r>
          </w:p>
        </w:tc>
        <w:tc>
          <w:tcPr>
            <w:tcW w:w="43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南大街</w:t>
            </w:r>
          </w:p>
        </w:tc>
        <w:tc>
          <w:tcPr>
            <w:tcW w:w="492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永利建材市场边收集点</w:t>
            </w:r>
          </w:p>
        </w:tc>
        <w:tc>
          <w:tcPr>
            <w:tcW w:w="3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2T小摆臂车铁桶</w:t>
            </w:r>
          </w:p>
        </w:tc>
      </w:tr>
      <w:tr>
        <w:tblPrEx>
          <w:tblLayout w:type="fixed"/>
          <w:tblCellMar>
            <w:top w:w="15" w:type="dxa"/>
            <w:left w:w="15" w:type="dxa"/>
            <w:bottom w:w="15" w:type="dxa"/>
            <w:right w:w="15" w:type="dxa"/>
          </w:tblCellMar>
        </w:tblPrEx>
        <w:trPr>
          <w:trHeight w:val="191" w:hRule="atLeast"/>
        </w:trPr>
        <w:tc>
          <w:tcPr>
            <w:tcW w:w="7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41</w:t>
            </w:r>
          </w:p>
        </w:tc>
        <w:tc>
          <w:tcPr>
            <w:tcW w:w="43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南大街</w:t>
            </w:r>
          </w:p>
        </w:tc>
        <w:tc>
          <w:tcPr>
            <w:tcW w:w="492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制材厂收集点</w:t>
            </w:r>
          </w:p>
        </w:tc>
        <w:tc>
          <w:tcPr>
            <w:tcW w:w="3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2T小摆臂车铁桶</w:t>
            </w:r>
          </w:p>
        </w:tc>
      </w:tr>
      <w:tr>
        <w:tblPrEx>
          <w:tblLayout w:type="fixed"/>
          <w:tblCellMar>
            <w:top w:w="15" w:type="dxa"/>
            <w:left w:w="15" w:type="dxa"/>
            <w:bottom w:w="15" w:type="dxa"/>
            <w:right w:w="15" w:type="dxa"/>
          </w:tblCellMar>
        </w:tblPrEx>
        <w:trPr>
          <w:trHeight w:val="191" w:hRule="atLeast"/>
        </w:trPr>
        <w:tc>
          <w:tcPr>
            <w:tcW w:w="7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42</w:t>
            </w:r>
          </w:p>
        </w:tc>
        <w:tc>
          <w:tcPr>
            <w:tcW w:w="43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何家园</w:t>
            </w:r>
          </w:p>
        </w:tc>
        <w:tc>
          <w:tcPr>
            <w:tcW w:w="492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何家园新村收集点</w:t>
            </w:r>
          </w:p>
        </w:tc>
        <w:tc>
          <w:tcPr>
            <w:tcW w:w="3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2T小摆臂车铁桶</w:t>
            </w:r>
          </w:p>
        </w:tc>
      </w:tr>
      <w:tr>
        <w:tblPrEx>
          <w:tblLayout w:type="fixed"/>
          <w:tblCellMar>
            <w:top w:w="15" w:type="dxa"/>
            <w:left w:w="15" w:type="dxa"/>
            <w:bottom w:w="15" w:type="dxa"/>
            <w:right w:w="15" w:type="dxa"/>
          </w:tblCellMar>
        </w:tblPrEx>
        <w:trPr>
          <w:trHeight w:val="191" w:hRule="atLeast"/>
        </w:trPr>
        <w:tc>
          <w:tcPr>
            <w:tcW w:w="7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43</w:t>
            </w:r>
          </w:p>
        </w:tc>
        <w:tc>
          <w:tcPr>
            <w:tcW w:w="43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工业大道（205线）</w:t>
            </w:r>
          </w:p>
        </w:tc>
        <w:tc>
          <w:tcPr>
            <w:tcW w:w="492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造纸厂新村收集点</w:t>
            </w:r>
          </w:p>
        </w:tc>
        <w:tc>
          <w:tcPr>
            <w:tcW w:w="3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2T小摆臂车铁桶</w:t>
            </w:r>
          </w:p>
        </w:tc>
      </w:tr>
      <w:tr>
        <w:tblPrEx>
          <w:tblLayout w:type="fixed"/>
          <w:tblCellMar>
            <w:top w:w="15" w:type="dxa"/>
            <w:left w:w="15" w:type="dxa"/>
            <w:bottom w:w="15" w:type="dxa"/>
            <w:right w:w="15" w:type="dxa"/>
          </w:tblCellMar>
        </w:tblPrEx>
        <w:trPr>
          <w:trHeight w:val="191" w:hRule="atLeast"/>
        </w:trPr>
        <w:tc>
          <w:tcPr>
            <w:tcW w:w="7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44</w:t>
            </w:r>
          </w:p>
        </w:tc>
        <w:tc>
          <w:tcPr>
            <w:tcW w:w="43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工业大道（205线）</w:t>
            </w:r>
          </w:p>
        </w:tc>
        <w:tc>
          <w:tcPr>
            <w:tcW w:w="492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福源小区收集点</w:t>
            </w:r>
          </w:p>
        </w:tc>
        <w:tc>
          <w:tcPr>
            <w:tcW w:w="3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2T小摆臂车铁桶</w:t>
            </w:r>
          </w:p>
        </w:tc>
      </w:tr>
      <w:tr>
        <w:tblPrEx>
          <w:tblLayout w:type="fixed"/>
          <w:tblCellMar>
            <w:top w:w="15" w:type="dxa"/>
            <w:left w:w="15" w:type="dxa"/>
            <w:bottom w:w="15" w:type="dxa"/>
            <w:right w:w="15" w:type="dxa"/>
          </w:tblCellMar>
        </w:tblPrEx>
        <w:trPr>
          <w:trHeight w:val="191" w:hRule="atLeast"/>
        </w:trPr>
        <w:tc>
          <w:tcPr>
            <w:tcW w:w="7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45</w:t>
            </w:r>
          </w:p>
        </w:tc>
        <w:tc>
          <w:tcPr>
            <w:tcW w:w="43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工业大道（205线）</w:t>
            </w:r>
          </w:p>
        </w:tc>
        <w:tc>
          <w:tcPr>
            <w:tcW w:w="492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车辆检测站收集点</w:t>
            </w:r>
          </w:p>
        </w:tc>
        <w:tc>
          <w:tcPr>
            <w:tcW w:w="3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2T小摆臂车铁桶</w:t>
            </w:r>
          </w:p>
        </w:tc>
      </w:tr>
      <w:tr>
        <w:tblPrEx>
          <w:tblLayout w:type="fixed"/>
          <w:tblCellMar>
            <w:top w:w="15" w:type="dxa"/>
            <w:left w:w="15" w:type="dxa"/>
            <w:bottom w:w="15" w:type="dxa"/>
            <w:right w:w="15" w:type="dxa"/>
          </w:tblCellMar>
        </w:tblPrEx>
        <w:trPr>
          <w:trHeight w:val="191" w:hRule="atLeast"/>
        </w:trPr>
        <w:tc>
          <w:tcPr>
            <w:tcW w:w="7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46</w:t>
            </w:r>
          </w:p>
        </w:tc>
        <w:tc>
          <w:tcPr>
            <w:tcW w:w="43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工业园区</w:t>
            </w:r>
          </w:p>
        </w:tc>
        <w:tc>
          <w:tcPr>
            <w:tcW w:w="492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福科特收集点</w:t>
            </w:r>
          </w:p>
        </w:tc>
        <w:tc>
          <w:tcPr>
            <w:tcW w:w="3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2T小摆臂车铁桶</w:t>
            </w:r>
          </w:p>
        </w:tc>
      </w:tr>
      <w:tr>
        <w:tblPrEx>
          <w:tblLayout w:type="fixed"/>
          <w:tblCellMar>
            <w:top w:w="15" w:type="dxa"/>
            <w:left w:w="15" w:type="dxa"/>
            <w:bottom w:w="15" w:type="dxa"/>
            <w:right w:w="15" w:type="dxa"/>
          </w:tblCellMar>
        </w:tblPrEx>
        <w:trPr>
          <w:trHeight w:val="191" w:hRule="atLeast"/>
        </w:trPr>
        <w:tc>
          <w:tcPr>
            <w:tcW w:w="7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47</w:t>
            </w:r>
          </w:p>
        </w:tc>
        <w:tc>
          <w:tcPr>
            <w:tcW w:w="43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工业园区</w:t>
            </w:r>
          </w:p>
        </w:tc>
        <w:tc>
          <w:tcPr>
            <w:tcW w:w="492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长宁针织厂收集点</w:t>
            </w:r>
          </w:p>
        </w:tc>
        <w:tc>
          <w:tcPr>
            <w:tcW w:w="3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2T小摆臂车铁桶</w:t>
            </w:r>
          </w:p>
        </w:tc>
      </w:tr>
      <w:tr>
        <w:tblPrEx>
          <w:tblLayout w:type="fixed"/>
          <w:tblCellMar>
            <w:top w:w="15" w:type="dxa"/>
            <w:left w:w="15" w:type="dxa"/>
            <w:bottom w:w="15" w:type="dxa"/>
            <w:right w:w="15" w:type="dxa"/>
          </w:tblCellMar>
        </w:tblPrEx>
        <w:trPr>
          <w:trHeight w:val="191" w:hRule="atLeast"/>
        </w:trPr>
        <w:tc>
          <w:tcPr>
            <w:tcW w:w="7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48</w:t>
            </w:r>
          </w:p>
        </w:tc>
        <w:tc>
          <w:tcPr>
            <w:tcW w:w="43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工业园区</w:t>
            </w:r>
          </w:p>
        </w:tc>
        <w:tc>
          <w:tcPr>
            <w:tcW w:w="492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月兔空调收集点</w:t>
            </w:r>
          </w:p>
        </w:tc>
        <w:tc>
          <w:tcPr>
            <w:tcW w:w="3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2个2T小摆臂车铁桶</w:t>
            </w:r>
          </w:p>
        </w:tc>
      </w:tr>
      <w:tr>
        <w:tblPrEx>
          <w:tblLayout w:type="fixed"/>
          <w:tblCellMar>
            <w:top w:w="15" w:type="dxa"/>
            <w:left w:w="15" w:type="dxa"/>
            <w:bottom w:w="15" w:type="dxa"/>
            <w:right w:w="15" w:type="dxa"/>
          </w:tblCellMar>
        </w:tblPrEx>
        <w:trPr>
          <w:trHeight w:val="191" w:hRule="atLeast"/>
        </w:trPr>
        <w:tc>
          <w:tcPr>
            <w:tcW w:w="7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49</w:t>
            </w:r>
          </w:p>
        </w:tc>
        <w:tc>
          <w:tcPr>
            <w:tcW w:w="43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工业园区</w:t>
            </w:r>
          </w:p>
        </w:tc>
        <w:tc>
          <w:tcPr>
            <w:tcW w:w="492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红色大道园区办公区对面收集点</w:t>
            </w:r>
          </w:p>
        </w:tc>
        <w:tc>
          <w:tcPr>
            <w:tcW w:w="3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2T小摆臂车铁桶</w:t>
            </w:r>
          </w:p>
        </w:tc>
      </w:tr>
      <w:tr>
        <w:tblPrEx>
          <w:tblLayout w:type="fixed"/>
          <w:tblCellMar>
            <w:top w:w="15" w:type="dxa"/>
            <w:left w:w="15" w:type="dxa"/>
            <w:bottom w:w="15" w:type="dxa"/>
            <w:right w:w="15" w:type="dxa"/>
          </w:tblCellMar>
        </w:tblPrEx>
        <w:trPr>
          <w:trHeight w:val="191" w:hRule="atLeast"/>
        </w:trPr>
        <w:tc>
          <w:tcPr>
            <w:tcW w:w="7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50</w:t>
            </w:r>
          </w:p>
        </w:tc>
        <w:tc>
          <w:tcPr>
            <w:tcW w:w="43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工业园区</w:t>
            </w:r>
          </w:p>
        </w:tc>
        <w:tc>
          <w:tcPr>
            <w:tcW w:w="492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礼邦通信收集点</w:t>
            </w:r>
          </w:p>
        </w:tc>
        <w:tc>
          <w:tcPr>
            <w:tcW w:w="3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2T小摆臂车铁桶</w:t>
            </w:r>
          </w:p>
        </w:tc>
      </w:tr>
      <w:tr>
        <w:tblPrEx>
          <w:tblLayout w:type="fixed"/>
          <w:tblCellMar>
            <w:top w:w="15" w:type="dxa"/>
            <w:left w:w="15" w:type="dxa"/>
            <w:bottom w:w="15" w:type="dxa"/>
            <w:right w:w="15" w:type="dxa"/>
          </w:tblCellMar>
        </w:tblPrEx>
        <w:trPr>
          <w:trHeight w:val="191" w:hRule="atLeast"/>
        </w:trPr>
        <w:tc>
          <w:tcPr>
            <w:tcW w:w="7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51</w:t>
            </w:r>
          </w:p>
        </w:tc>
        <w:tc>
          <w:tcPr>
            <w:tcW w:w="43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工业园区</w:t>
            </w:r>
          </w:p>
        </w:tc>
        <w:tc>
          <w:tcPr>
            <w:tcW w:w="492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鸿丰物流收集点</w:t>
            </w:r>
          </w:p>
        </w:tc>
        <w:tc>
          <w:tcPr>
            <w:tcW w:w="3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2T小摆臂车铁桶</w:t>
            </w:r>
          </w:p>
        </w:tc>
      </w:tr>
      <w:tr>
        <w:tblPrEx>
          <w:tblLayout w:type="fixed"/>
          <w:tblCellMar>
            <w:top w:w="15" w:type="dxa"/>
            <w:left w:w="15" w:type="dxa"/>
            <w:bottom w:w="15" w:type="dxa"/>
            <w:right w:w="15" w:type="dxa"/>
          </w:tblCellMar>
        </w:tblPrEx>
        <w:trPr>
          <w:trHeight w:val="191" w:hRule="atLeast"/>
        </w:trPr>
        <w:tc>
          <w:tcPr>
            <w:tcW w:w="7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52</w:t>
            </w:r>
          </w:p>
        </w:tc>
        <w:tc>
          <w:tcPr>
            <w:tcW w:w="43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工业园区</w:t>
            </w:r>
          </w:p>
        </w:tc>
        <w:tc>
          <w:tcPr>
            <w:tcW w:w="492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玻璃厂收集点</w:t>
            </w:r>
          </w:p>
        </w:tc>
        <w:tc>
          <w:tcPr>
            <w:tcW w:w="3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2T小摆臂车铁桶</w:t>
            </w:r>
          </w:p>
        </w:tc>
      </w:tr>
      <w:tr>
        <w:tblPrEx>
          <w:tblLayout w:type="fixed"/>
          <w:tblCellMar>
            <w:top w:w="15" w:type="dxa"/>
            <w:left w:w="15" w:type="dxa"/>
            <w:bottom w:w="15" w:type="dxa"/>
            <w:right w:w="15" w:type="dxa"/>
          </w:tblCellMar>
        </w:tblPrEx>
        <w:trPr>
          <w:trHeight w:val="191" w:hRule="atLeast"/>
        </w:trPr>
        <w:tc>
          <w:tcPr>
            <w:tcW w:w="7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53</w:t>
            </w:r>
          </w:p>
        </w:tc>
        <w:tc>
          <w:tcPr>
            <w:tcW w:w="43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工业园区</w:t>
            </w:r>
          </w:p>
        </w:tc>
        <w:tc>
          <w:tcPr>
            <w:tcW w:w="492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铜厂门口收集点</w:t>
            </w:r>
          </w:p>
        </w:tc>
        <w:tc>
          <w:tcPr>
            <w:tcW w:w="3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2T小摆臂车铁桶</w:t>
            </w:r>
          </w:p>
        </w:tc>
      </w:tr>
      <w:tr>
        <w:tblPrEx>
          <w:tblLayout w:type="fixed"/>
          <w:tblCellMar>
            <w:top w:w="15" w:type="dxa"/>
            <w:left w:w="15" w:type="dxa"/>
            <w:bottom w:w="15" w:type="dxa"/>
            <w:right w:w="15" w:type="dxa"/>
          </w:tblCellMar>
        </w:tblPrEx>
        <w:trPr>
          <w:trHeight w:val="191" w:hRule="atLeast"/>
        </w:trPr>
        <w:tc>
          <w:tcPr>
            <w:tcW w:w="7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54</w:t>
            </w:r>
          </w:p>
        </w:tc>
        <w:tc>
          <w:tcPr>
            <w:tcW w:w="43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莲塘食品加工区</w:t>
            </w:r>
          </w:p>
        </w:tc>
        <w:tc>
          <w:tcPr>
            <w:tcW w:w="492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翠云山茶叶收集点</w:t>
            </w:r>
          </w:p>
        </w:tc>
        <w:tc>
          <w:tcPr>
            <w:tcW w:w="3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2T小摆臂车铁桶</w:t>
            </w:r>
          </w:p>
        </w:tc>
      </w:tr>
      <w:tr>
        <w:tblPrEx>
          <w:tblLayout w:type="fixed"/>
          <w:tblCellMar>
            <w:top w:w="15" w:type="dxa"/>
            <w:left w:w="15" w:type="dxa"/>
            <w:bottom w:w="15" w:type="dxa"/>
            <w:right w:w="15" w:type="dxa"/>
          </w:tblCellMar>
        </w:tblPrEx>
        <w:trPr>
          <w:trHeight w:val="191" w:hRule="atLeast"/>
        </w:trPr>
        <w:tc>
          <w:tcPr>
            <w:tcW w:w="7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55</w:t>
            </w:r>
          </w:p>
        </w:tc>
        <w:tc>
          <w:tcPr>
            <w:tcW w:w="43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莲塘食品加工区</w:t>
            </w:r>
          </w:p>
        </w:tc>
        <w:tc>
          <w:tcPr>
            <w:tcW w:w="492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鑫鑫食品加工厂收集点</w:t>
            </w:r>
          </w:p>
        </w:tc>
        <w:tc>
          <w:tcPr>
            <w:tcW w:w="3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2T小摆臂车铁桶</w:t>
            </w:r>
          </w:p>
        </w:tc>
      </w:tr>
      <w:tr>
        <w:tblPrEx>
          <w:tblLayout w:type="fixed"/>
          <w:tblCellMar>
            <w:top w:w="15" w:type="dxa"/>
            <w:left w:w="15" w:type="dxa"/>
            <w:bottom w:w="15" w:type="dxa"/>
            <w:right w:w="15" w:type="dxa"/>
          </w:tblCellMar>
        </w:tblPrEx>
        <w:trPr>
          <w:trHeight w:val="191" w:hRule="atLeast"/>
        </w:trPr>
        <w:tc>
          <w:tcPr>
            <w:tcW w:w="7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56</w:t>
            </w:r>
          </w:p>
        </w:tc>
        <w:tc>
          <w:tcPr>
            <w:tcW w:w="43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莲塘食品加工区</w:t>
            </w:r>
          </w:p>
        </w:tc>
        <w:tc>
          <w:tcPr>
            <w:tcW w:w="492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扬晨食品收集点</w:t>
            </w:r>
          </w:p>
        </w:tc>
        <w:tc>
          <w:tcPr>
            <w:tcW w:w="3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2T小摆臂车铁桶</w:t>
            </w:r>
          </w:p>
        </w:tc>
      </w:tr>
      <w:tr>
        <w:tblPrEx>
          <w:tblLayout w:type="fixed"/>
          <w:tblCellMar>
            <w:top w:w="15" w:type="dxa"/>
            <w:left w:w="15" w:type="dxa"/>
            <w:bottom w:w="15" w:type="dxa"/>
            <w:right w:w="15" w:type="dxa"/>
          </w:tblCellMar>
        </w:tblPrEx>
        <w:trPr>
          <w:trHeight w:val="191" w:hRule="atLeast"/>
        </w:trPr>
        <w:tc>
          <w:tcPr>
            <w:tcW w:w="7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57</w:t>
            </w:r>
          </w:p>
        </w:tc>
        <w:tc>
          <w:tcPr>
            <w:tcW w:w="43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307线</w:t>
            </w:r>
          </w:p>
        </w:tc>
        <w:tc>
          <w:tcPr>
            <w:tcW w:w="492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开辉悦城收集点</w:t>
            </w:r>
          </w:p>
        </w:tc>
        <w:tc>
          <w:tcPr>
            <w:tcW w:w="3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2个2T小摆臂车铁桶</w:t>
            </w:r>
          </w:p>
        </w:tc>
      </w:tr>
      <w:tr>
        <w:tblPrEx>
          <w:tblLayout w:type="fixed"/>
          <w:tblCellMar>
            <w:top w:w="15" w:type="dxa"/>
            <w:left w:w="15" w:type="dxa"/>
            <w:bottom w:w="15" w:type="dxa"/>
            <w:right w:w="15" w:type="dxa"/>
          </w:tblCellMar>
        </w:tblPrEx>
        <w:trPr>
          <w:trHeight w:val="191" w:hRule="atLeast"/>
        </w:trPr>
        <w:tc>
          <w:tcPr>
            <w:tcW w:w="7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58</w:t>
            </w:r>
          </w:p>
        </w:tc>
        <w:tc>
          <w:tcPr>
            <w:tcW w:w="43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307线</w:t>
            </w:r>
          </w:p>
        </w:tc>
        <w:tc>
          <w:tcPr>
            <w:tcW w:w="492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龙门路延伸路段路口收集点</w:t>
            </w:r>
          </w:p>
        </w:tc>
        <w:tc>
          <w:tcPr>
            <w:tcW w:w="3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2T小摆臂车铁桶</w:t>
            </w:r>
          </w:p>
        </w:tc>
      </w:tr>
      <w:tr>
        <w:tblPrEx>
          <w:tblLayout w:type="fixed"/>
          <w:tblCellMar>
            <w:top w:w="15" w:type="dxa"/>
            <w:left w:w="15" w:type="dxa"/>
            <w:bottom w:w="15" w:type="dxa"/>
            <w:right w:w="15" w:type="dxa"/>
          </w:tblCellMar>
        </w:tblPrEx>
        <w:trPr>
          <w:trHeight w:val="191" w:hRule="atLeast"/>
        </w:trPr>
        <w:tc>
          <w:tcPr>
            <w:tcW w:w="7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59</w:t>
            </w:r>
          </w:p>
        </w:tc>
        <w:tc>
          <w:tcPr>
            <w:tcW w:w="43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307线</w:t>
            </w:r>
          </w:p>
        </w:tc>
        <w:tc>
          <w:tcPr>
            <w:tcW w:w="492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金钢亭路与307线交叉口收集点</w:t>
            </w:r>
          </w:p>
        </w:tc>
        <w:tc>
          <w:tcPr>
            <w:tcW w:w="3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2T小摆臂车铁桶</w:t>
            </w:r>
          </w:p>
        </w:tc>
      </w:tr>
      <w:tr>
        <w:tblPrEx>
          <w:tblLayout w:type="fixed"/>
          <w:tblCellMar>
            <w:top w:w="15" w:type="dxa"/>
            <w:left w:w="15" w:type="dxa"/>
            <w:bottom w:w="15" w:type="dxa"/>
            <w:right w:w="15" w:type="dxa"/>
          </w:tblCellMar>
        </w:tblPrEx>
        <w:trPr>
          <w:trHeight w:val="191" w:hRule="atLeast"/>
        </w:trPr>
        <w:tc>
          <w:tcPr>
            <w:tcW w:w="7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60</w:t>
            </w:r>
          </w:p>
        </w:tc>
        <w:tc>
          <w:tcPr>
            <w:tcW w:w="43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307线</w:t>
            </w:r>
          </w:p>
        </w:tc>
        <w:tc>
          <w:tcPr>
            <w:tcW w:w="492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林业棚户区改造小区收集点</w:t>
            </w:r>
          </w:p>
        </w:tc>
        <w:tc>
          <w:tcPr>
            <w:tcW w:w="3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2T小摆臂车铁桶</w:t>
            </w:r>
          </w:p>
        </w:tc>
      </w:tr>
      <w:tr>
        <w:tblPrEx>
          <w:tblLayout w:type="fixed"/>
          <w:tblCellMar>
            <w:top w:w="15" w:type="dxa"/>
            <w:left w:w="15" w:type="dxa"/>
            <w:bottom w:w="15" w:type="dxa"/>
            <w:right w:w="15" w:type="dxa"/>
          </w:tblCellMar>
        </w:tblPrEx>
        <w:trPr>
          <w:trHeight w:val="191" w:hRule="atLeast"/>
        </w:trPr>
        <w:tc>
          <w:tcPr>
            <w:tcW w:w="7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61</w:t>
            </w:r>
          </w:p>
        </w:tc>
        <w:tc>
          <w:tcPr>
            <w:tcW w:w="43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307线</w:t>
            </w:r>
          </w:p>
        </w:tc>
        <w:tc>
          <w:tcPr>
            <w:tcW w:w="492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城南曲塅收集点</w:t>
            </w:r>
          </w:p>
        </w:tc>
        <w:tc>
          <w:tcPr>
            <w:tcW w:w="3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2T小摆臂车铁桶</w:t>
            </w:r>
          </w:p>
        </w:tc>
      </w:tr>
      <w:tr>
        <w:tblPrEx>
          <w:tblLayout w:type="fixed"/>
          <w:tblCellMar>
            <w:top w:w="15" w:type="dxa"/>
            <w:left w:w="15" w:type="dxa"/>
            <w:bottom w:w="15" w:type="dxa"/>
            <w:right w:w="15" w:type="dxa"/>
          </w:tblCellMar>
        </w:tblPrEx>
        <w:trPr>
          <w:trHeight w:val="191" w:hRule="atLeast"/>
        </w:trPr>
        <w:tc>
          <w:tcPr>
            <w:tcW w:w="7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62</w:t>
            </w:r>
          </w:p>
        </w:tc>
        <w:tc>
          <w:tcPr>
            <w:tcW w:w="43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307线</w:t>
            </w:r>
          </w:p>
        </w:tc>
        <w:tc>
          <w:tcPr>
            <w:tcW w:w="492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城南镇政府收集点</w:t>
            </w:r>
          </w:p>
        </w:tc>
        <w:tc>
          <w:tcPr>
            <w:tcW w:w="3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2T小摆臂车铁桶</w:t>
            </w:r>
          </w:p>
        </w:tc>
      </w:tr>
      <w:tr>
        <w:tblPrEx>
          <w:tblLayout w:type="fixed"/>
          <w:tblCellMar>
            <w:top w:w="15" w:type="dxa"/>
            <w:left w:w="15" w:type="dxa"/>
            <w:bottom w:w="15" w:type="dxa"/>
            <w:right w:w="15" w:type="dxa"/>
          </w:tblCellMar>
        </w:tblPrEx>
        <w:trPr>
          <w:trHeight w:val="191" w:hRule="atLeast"/>
        </w:trPr>
        <w:tc>
          <w:tcPr>
            <w:tcW w:w="7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63</w:t>
            </w:r>
          </w:p>
        </w:tc>
        <w:tc>
          <w:tcPr>
            <w:tcW w:w="43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307线</w:t>
            </w:r>
          </w:p>
        </w:tc>
        <w:tc>
          <w:tcPr>
            <w:tcW w:w="492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城南小学收集点</w:t>
            </w:r>
          </w:p>
        </w:tc>
        <w:tc>
          <w:tcPr>
            <w:tcW w:w="3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2T小摆臂车铁桶</w:t>
            </w:r>
          </w:p>
        </w:tc>
      </w:tr>
      <w:tr>
        <w:tblPrEx>
          <w:tblLayout w:type="fixed"/>
          <w:tblCellMar>
            <w:top w:w="15" w:type="dxa"/>
            <w:left w:w="15" w:type="dxa"/>
            <w:bottom w:w="15" w:type="dxa"/>
            <w:right w:w="15" w:type="dxa"/>
          </w:tblCellMar>
        </w:tblPrEx>
        <w:trPr>
          <w:trHeight w:val="191" w:hRule="atLeast"/>
        </w:trPr>
        <w:tc>
          <w:tcPr>
            <w:tcW w:w="7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64</w:t>
            </w:r>
          </w:p>
        </w:tc>
        <w:tc>
          <w:tcPr>
            <w:tcW w:w="43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边贸西路</w:t>
            </w:r>
          </w:p>
        </w:tc>
        <w:tc>
          <w:tcPr>
            <w:tcW w:w="492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闽赣小商品收集点</w:t>
            </w:r>
          </w:p>
        </w:tc>
        <w:tc>
          <w:tcPr>
            <w:tcW w:w="3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2T小摆臂车铁桶</w:t>
            </w:r>
          </w:p>
        </w:tc>
      </w:tr>
      <w:tr>
        <w:tblPrEx>
          <w:tblLayout w:type="fixed"/>
          <w:tblCellMar>
            <w:top w:w="15" w:type="dxa"/>
            <w:left w:w="15" w:type="dxa"/>
            <w:bottom w:w="15" w:type="dxa"/>
            <w:right w:w="15" w:type="dxa"/>
          </w:tblCellMar>
        </w:tblPrEx>
        <w:trPr>
          <w:trHeight w:val="191" w:hRule="atLeast"/>
        </w:trPr>
        <w:tc>
          <w:tcPr>
            <w:tcW w:w="7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65</w:t>
            </w:r>
          </w:p>
        </w:tc>
        <w:tc>
          <w:tcPr>
            <w:tcW w:w="43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城南斑竹</w:t>
            </w:r>
          </w:p>
        </w:tc>
        <w:tc>
          <w:tcPr>
            <w:tcW w:w="492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石螺坑松香厂路口收集点</w:t>
            </w:r>
          </w:p>
        </w:tc>
        <w:tc>
          <w:tcPr>
            <w:tcW w:w="3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2T小摆臂车铁桶</w:t>
            </w:r>
          </w:p>
        </w:tc>
      </w:tr>
      <w:tr>
        <w:tblPrEx>
          <w:tblLayout w:type="fixed"/>
          <w:tblCellMar>
            <w:top w:w="15" w:type="dxa"/>
            <w:left w:w="15" w:type="dxa"/>
            <w:bottom w:w="15" w:type="dxa"/>
            <w:right w:w="15" w:type="dxa"/>
          </w:tblCellMar>
        </w:tblPrEx>
        <w:trPr>
          <w:trHeight w:val="191" w:hRule="atLeast"/>
        </w:trPr>
        <w:tc>
          <w:tcPr>
            <w:tcW w:w="7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66</w:t>
            </w:r>
          </w:p>
        </w:tc>
        <w:tc>
          <w:tcPr>
            <w:tcW w:w="43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中环北路</w:t>
            </w:r>
          </w:p>
        </w:tc>
        <w:tc>
          <w:tcPr>
            <w:tcW w:w="492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工贸学校收集点</w:t>
            </w:r>
          </w:p>
        </w:tc>
        <w:tc>
          <w:tcPr>
            <w:tcW w:w="3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3个2T小摆臂车铁桶</w:t>
            </w:r>
          </w:p>
        </w:tc>
      </w:tr>
      <w:tr>
        <w:tblPrEx>
          <w:tblLayout w:type="fixed"/>
          <w:tblCellMar>
            <w:top w:w="15" w:type="dxa"/>
            <w:left w:w="15" w:type="dxa"/>
            <w:bottom w:w="15" w:type="dxa"/>
            <w:right w:w="15" w:type="dxa"/>
          </w:tblCellMar>
        </w:tblPrEx>
        <w:trPr>
          <w:trHeight w:val="191" w:hRule="atLeast"/>
        </w:trPr>
        <w:tc>
          <w:tcPr>
            <w:tcW w:w="7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67</w:t>
            </w:r>
          </w:p>
        </w:tc>
        <w:tc>
          <w:tcPr>
            <w:tcW w:w="43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中环北路</w:t>
            </w:r>
          </w:p>
        </w:tc>
        <w:tc>
          <w:tcPr>
            <w:tcW w:w="492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五中收集点</w:t>
            </w:r>
          </w:p>
        </w:tc>
        <w:tc>
          <w:tcPr>
            <w:tcW w:w="3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2个2T小摆臂车铁桶</w:t>
            </w:r>
          </w:p>
        </w:tc>
      </w:tr>
      <w:tr>
        <w:tblPrEx>
          <w:tblLayout w:type="fixed"/>
          <w:tblCellMar>
            <w:top w:w="15" w:type="dxa"/>
            <w:left w:w="15" w:type="dxa"/>
            <w:bottom w:w="15" w:type="dxa"/>
            <w:right w:w="15" w:type="dxa"/>
          </w:tblCellMar>
        </w:tblPrEx>
        <w:trPr>
          <w:trHeight w:val="191" w:hRule="atLeast"/>
        </w:trPr>
        <w:tc>
          <w:tcPr>
            <w:tcW w:w="7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68</w:t>
            </w:r>
          </w:p>
        </w:tc>
        <w:tc>
          <w:tcPr>
            <w:tcW w:w="43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鸡山路</w:t>
            </w:r>
          </w:p>
        </w:tc>
        <w:tc>
          <w:tcPr>
            <w:tcW w:w="492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翠华小区收集点</w:t>
            </w:r>
          </w:p>
        </w:tc>
        <w:tc>
          <w:tcPr>
            <w:tcW w:w="3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2T小摆臂车铁桶</w:t>
            </w:r>
          </w:p>
        </w:tc>
      </w:tr>
      <w:tr>
        <w:tblPrEx>
          <w:tblLayout w:type="fixed"/>
          <w:tblCellMar>
            <w:top w:w="15" w:type="dxa"/>
            <w:left w:w="15" w:type="dxa"/>
            <w:bottom w:w="15" w:type="dxa"/>
            <w:right w:w="15" w:type="dxa"/>
          </w:tblCellMar>
        </w:tblPrEx>
        <w:trPr>
          <w:trHeight w:val="191" w:hRule="atLeast"/>
        </w:trPr>
        <w:tc>
          <w:tcPr>
            <w:tcW w:w="7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69</w:t>
            </w:r>
          </w:p>
        </w:tc>
        <w:tc>
          <w:tcPr>
            <w:tcW w:w="43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鸡山路</w:t>
            </w:r>
          </w:p>
        </w:tc>
        <w:tc>
          <w:tcPr>
            <w:tcW w:w="492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公租房小区收集点</w:t>
            </w:r>
          </w:p>
        </w:tc>
        <w:tc>
          <w:tcPr>
            <w:tcW w:w="3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2T小摆臂车铁桶</w:t>
            </w:r>
          </w:p>
        </w:tc>
      </w:tr>
      <w:tr>
        <w:tblPrEx>
          <w:tblLayout w:type="fixed"/>
          <w:tblCellMar>
            <w:top w:w="15" w:type="dxa"/>
            <w:left w:w="15" w:type="dxa"/>
            <w:bottom w:w="15" w:type="dxa"/>
            <w:right w:w="15" w:type="dxa"/>
          </w:tblCellMar>
        </w:tblPrEx>
        <w:trPr>
          <w:trHeight w:val="191" w:hRule="atLeast"/>
        </w:trPr>
        <w:tc>
          <w:tcPr>
            <w:tcW w:w="7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70</w:t>
            </w:r>
          </w:p>
        </w:tc>
        <w:tc>
          <w:tcPr>
            <w:tcW w:w="43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翠华西路</w:t>
            </w:r>
          </w:p>
        </w:tc>
        <w:tc>
          <w:tcPr>
            <w:tcW w:w="492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翠华西桥收集点</w:t>
            </w:r>
          </w:p>
        </w:tc>
        <w:tc>
          <w:tcPr>
            <w:tcW w:w="3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2个2T小摆臂车铁桶</w:t>
            </w:r>
          </w:p>
        </w:tc>
      </w:tr>
      <w:tr>
        <w:tblPrEx>
          <w:tblLayout w:type="fixed"/>
          <w:tblCellMar>
            <w:top w:w="15" w:type="dxa"/>
            <w:left w:w="15" w:type="dxa"/>
            <w:bottom w:w="15" w:type="dxa"/>
            <w:right w:w="15" w:type="dxa"/>
          </w:tblCellMar>
        </w:tblPrEx>
        <w:trPr>
          <w:trHeight w:val="191" w:hRule="atLeast"/>
        </w:trPr>
        <w:tc>
          <w:tcPr>
            <w:tcW w:w="7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71</w:t>
            </w:r>
          </w:p>
        </w:tc>
        <w:tc>
          <w:tcPr>
            <w:tcW w:w="43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东方花园路</w:t>
            </w:r>
          </w:p>
        </w:tc>
        <w:tc>
          <w:tcPr>
            <w:tcW w:w="492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实验二小收集点</w:t>
            </w:r>
          </w:p>
        </w:tc>
        <w:tc>
          <w:tcPr>
            <w:tcW w:w="3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2T小摆臂车铁桶</w:t>
            </w:r>
          </w:p>
        </w:tc>
      </w:tr>
      <w:tr>
        <w:tblPrEx>
          <w:tblLayout w:type="fixed"/>
          <w:tblCellMar>
            <w:top w:w="15" w:type="dxa"/>
            <w:left w:w="15" w:type="dxa"/>
            <w:bottom w:w="15" w:type="dxa"/>
            <w:right w:w="15" w:type="dxa"/>
          </w:tblCellMar>
        </w:tblPrEx>
        <w:trPr>
          <w:trHeight w:val="191" w:hRule="atLeast"/>
        </w:trPr>
        <w:tc>
          <w:tcPr>
            <w:tcW w:w="7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72</w:t>
            </w:r>
          </w:p>
        </w:tc>
        <w:tc>
          <w:tcPr>
            <w:tcW w:w="43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东方花园路</w:t>
            </w:r>
          </w:p>
        </w:tc>
        <w:tc>
          <w:tcPr>
            <w:tcW w:w="492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东方新城小区收集点</w:t>
            </w:r>
          </w:p>
        </w:tc>
        <w:tc>
          <w:tcPr>
            <w:tcW w:w="3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2T小摆臂车铁桶</w:t>
            </w:r>
          </w:p>
        </w:tc>
      </w:tr>
      <w:tr>
        <w:tblPrEx>
          <w:tblLayout w:type="fixed"/>
          <w:tblCellMar>
            <w:top w:w="15" w:type="dxa"/>
            <w:left w:w="15" w:type="dxa"/>
            <w:bottom w:w="15" w:type="dxa"/>
            <w:right w:w="15" w:type="dxa"/>
          </w:tblCellMar>
        </w:tblPrEx>
        <w:trPr>
          <w:trHeight w:val="191" w:hRule="atLeast"/>
        </w:trPr>
        <w:tc>
          <w:tcPr>
            <w:tcW w:w="7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73</w:t>
            </w:r>
          </w:p>
        </w:tc>
        <w:tc>
          <w:tcPr>
            <w:tcW w:w="43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瓦庄村</w:t>
            </w:r>
          </w:p>
        </w:tc>
        <w:tc>
          <w:tcPr>
            <w:tcW w:w="492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瓦庄桥头收集点</w:t>
            </w:r>
          </w:p>
        </w:tc>
        <w:tc>
          <w:tcPr>
            <w:tcW w:w="3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2T小摆臂车铁桶</w:t>
            </w:r>
          </w:p>
        </w:tc>
      </w:tr>
      <w:tr>
        <w:tblPrEx>
          <w:tblLayout w:type="fixed"/>
          <w:tblCellMar>
            <w:top w:w="15" w:type="dxa"/>
            <w:left w:w="15" w:type="dxa"/>
            <w:bottom w:w="15" w:type="dxa"/>
            <w:right w:w="15" w:type="dxa"/>
          </w:tblCellMar>
        </w:tblPrEx>
        <w:trPr>
          <w:trHeight w:val="191" w:hRule="atLeast"/>
        </w:trPr>
        <w:tc>
          <w:tcPr>
            <w:tcW w:w="7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74</w:t>
            </w:r>
          </w:p>
        </w:tc>
        <w:tc>
          <w:tcPr>
            <w:tcW w:w="43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瓦庄村</w:t>
            </w:r>
          </w:p>
        </w:tc>
        <w:tc>
          <w:tcPr>
            <w:tcW w:w="492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瓦庄村部收集点</w:t>
            </w:r>
          </w:p>
        </w:tc>
        <w:tc>
          <w:tcPr>
            <w:tcW w:w="3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2T小摆臂车铁桶</w:t>
            </w:r>
          </w:p>
        </w:tc>
      </w:tr>
      <w:tr>
        <w:tblPrEx>
          <w:tblLayout w:type="fixed"/>
          <w:tblCellMar>
            <w:top w:w="15" w:type="dxa"/>
            <w:left w:w="15" w:type="dxa"/>
            <w:bottom w:w="15" w:type="dxa"/>
            <w:right w:w="15" w:type="dxa"/>
          </w:tblCellMar>
        </w:tblPrEx>
        <w:trPr>
          <w:trHeight w:val="191" w:hRule="atLeast"/>
        </w:trPr>
        <w:tc>
          <w:tcPr>
            <w:tcW w:w="7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75</w:t>
            </w:r>
          </w:p>
        </w:tc>
        <w:tc>
          <w:tcPr>
            <w:tcW w:w="43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瓦庄村</w:t>
            </w:r>
          </w:p>
        </w:tc>
        <w:tc>
          <w:tcPr>
            <w:tcW w:w="492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瓦庄苗圃门口收集点</w:t>
            </w:r>
          </w:p>
        </w:tc>
        <w:tc>
          <w:tcPr>
            <w:tcW w:w="3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2T小摆臂车铁桶</w:t>
            </w:r>
          </w:p>
        </w:tc>
      </w:tr>
      <w:tr>
        <w:tblPrEx>
          <w:tblLayout w:type="fixed"/>
          <w:tblCellMar>
            <w:top w:w="15" w:type="dxa"/>
            <w:left w:w="15" w:type="dxa"/>
            <w:bottom w:w="15" w:type="dxa"/>
            <w:right w:w="15" w:type="dxa"/>
          </w:tblCellMar>
        </w:tblPrEx>
        <w:trPr>
          <w:trHeight w:val="191" w:hRule="atLeast"/>
        </w:trPr>
        <w:tc>
          <w:tcPr>
            <w:tcW w:w="7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合计</w:t>
            </w:r>
          </w:p>
        </w:tc>
        <w:tc>
          <w:tcPr>
            <w:tcW w:w="439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仿宋"/>
                <w:sz w:val="20"/>
                <w:szCs w:val="20"/>
                <w:highlight w:val="none"/>
              </w:rPr>
            </w:pPr>
          </w:p>
        </w:tc>
        <w:tc>
          <w:tcPr>
            <w:tcW w:w="49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仿宋"/>
                <w:sz w:val="20"/>
                <w:szCs w:val="20"/>
                <w:highlight w:val="none"/>
              </w:rPr>
            </w:pPr>
          </w:p>
        </w:tc>
        <w:tc>
          <w:tcPr>
            <w:tcW w:w="3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0"/>
                <w:szCs w:val="20"/>
                <w:highlight w:val="none"/>
              </w:rPr>
            </w:pPr>
            <w:r>
              <w:rPr>
                <w:rFonts w:hint="eastAsia" w:ascii="仿宋" w:hAnsi="仿宋" w:eastAsia="仿宋" w:cs="仿宋"/>
                <w:kern w:val="0"/>
                <w:sz w:val="20"/>
                <w:szCs w:val="20"/>
                <w:highlight w:val="none"/>
              </w:rPr>
              <w:t>54个收集点61个铁桶</w:t>
            </w:r>
          </w:p>
        </w:tc>
      </w:tr>
    </w:tbl>
    <w:p>
      <w:pPr>
        <w:pStyle w:val="6"/>
        <w:keepNext w:val="0"/>
        <w:keepLines w:val="0"/>
        <w:widowControl/>
        <w:numPr>
          <w:ilvl w:val="0"/>
          <w:numId w:val="0"/>
        </w:numPr>
        <w:suppressLineNumbers w:val="0"/>
        <w:spacing w:before="100" w:beforeAutospacing="1" w:after="100" w:afterAutospacing="1" w:line="345" w:lineRule="atLeast"/>
        <w:ind w:leftChars="0" w:right="0" w:rightChars="0"/>
        <w:jc w:val="left"/>
        <w:rPr>
          <w:rStyle w:val="10"/>
          <w:rFonts w:hint="eastAsia" w:ascii="宋体" w:hAnsi="宋体" w:eastAsia="宋体" w:cs="宋体"/>
          <w:sz w:val="24"/>
          <w:szCs w:val="24"/>
          <w:lang w:eastAsia="zh-CN"/>
        </w:rPr>
      </w:pPr>
    </w:p>
    <w:p>
      <w:pPr>
        <w:pStyle w:val="6"/>
        <w:keepNext w:val="0"/>
        <w:keepLines w:val="0"/>
        <w:widowControl/>
        <w:suppressLineNumbers w:val="0"/>
        <w:spacing w:before="100" w:beforeAutospacing="1" w:after="100" w:afterAutospacing="1" w:line="345" w:lineRule="atLeast"/>
        <w:jc w:val="left"/>
        <w:rPr>
          <w:rStyle w:val="10"/>
          <w:rFonts w:hint="eastAsia" w:ascii="宋体" w:hAnsi="宋体" w:eastAsia="宋体" w:cs="宋体"/>
          <w:sz w:val="24"/>
          <w:szCs w:val="24"/>
          <w:lang w:eastAsia="zh-CN"/>
        </w:rPr>
      </w:pPr>
    </w:p>
    <w:p>
      <w:pPr>
        <w:pStyle w:val="6"/>
        <w:keepNext w:val="0"/>
        <w:keepLines w:val="0"/>
        <w:widowControl/>
        <w:suppressLineNumbers w:val="0"/>
        <w:spacing w:before="100" w:beforeAutospacing="1" w:after="100" w:afterAutospacing="1" w:line="345" w:lineRule="atLeast"/>
        <w:jc w:val="left"/>
        <w:rPr>
          <w:rStyle w:val="10"/>
          <w:rFonts w:hint="eastAsia" w:ascii="宋体" w:hAnsi="宋体" w:eastAsia="宋体" w:cs="宋体"/>
          <w:sz w:val="24"/>
          <w:szCs w:val="24"/>
          <w:lang w:eastAsia="zh-CN"/>
        </w:rPr>
      </w:pPr>
    </w:p>
    <w:p>
      <w:pPr>
        <w:pStyle w:val="6"/>
        <w:keepNext w:val="0"/>
        <w:keepLines w:val="0"/>
        <w:widowControl/>
        <w:suppressLineNumbers w:val="0"/>
        <w:spacing w:before="100" w:beforeAutospacing="1" w:after="100" w:afterAutospacing="1" w:line="345" w:lineRule="atLeast"/>
        <w:jc w:val="left"/>
        <w:rPr>
          <w:rStyle w:val="10"/>
          <w:rFonts w:hint="eastAsia" w:ascii="宋体" w:hAnsi="宋体" w:eastAsia="宋体" w:cs="宋体"/>
          <w:sz w:val="24"/>
          <w:szCs w:val="24"/>
          <w:lang w:eastAsia="zh-CN"/>
        </w:rPr>
      </w:pPr>
    </w:p>
    <w:p>
      <w:pPr>
        <w:pStyle w:val="6"/>
        <w:keepNext w:val="0"/>
        <w:keepLines w:val="0"/>
        <w:widowControl/>
        <w:suppressLineNumbers w:val="0"/>
        <w:spacing w:before="100" w:beforeAutospacing="1" w:after="100" w:afterAutospacing="1" w:line="345" w:lineRule="atLeast"/>
        <w:jc w:val="left"/>
        <w:rPr>
          <w:rStyle w:val="10"/>
          <w:rFonts w:hint="eastAsia" w:ascii="宋体" w:hAnsi="宋体" w:eastAsia="宋体" w:cs="宋体"/>
          <w:sz w:val="24"/>
          <w:szCs w:val="24"/>
          <w:lang w:eastAsia="zh-CN"/>
        </w:rPr>
        <w:sectPr>
          <w:pgSz w:w="16838" w:h="11906" w:orient="landscape"/>
          <w:pgMar w:top="1803" w:right="1440" w:bottom="1803" w:left="1440" w:header="851" w:footer="992" w:gutter="0"/>
          <w:pgBorders w:offsetFrom="page">
            <w:top w:val="none" w:sz="0" w:space="0"/>
            <w:left w:val="none" w:sz="0" w:space="0"/>
            <w:bottom w:val="none" w:sz="0" w:space="0"/>
            <w:right w:val="none" w:sz="0" w:space="0"/>
          </w:pgBorders>
          <w:cols w:space="720" w:num="1"/>
          <w:rtlGutter w:val="0"/>
          <w:docGrid w:type="lines" w:linePitch="319" w:charSpace="0"/>
        </w:sectPr>
      </w:pPr>
    </w:p>
    <w:p>
      <w:pPr>
        <w:pStyle w:val="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45" w:lineRule="atLeast"/>
        <w:ind w:firstLine="0" w:firstLineChars="0"/>
        <w:jc w:val="left"/>
        <w:textAlignment w:val="auto"/>
        <w:rPr>
          <w:rFonts w:hint="eastAsia" w:ascii="宋体" w:hAnsi="宋体" w:eastAsia="宋体" w:cs="宋体"/>
          <w:sz w:val="24"/>
          <w:szCs w:val="24"/>
        </w:rPr>
      </w:pPr>
      <w:bookmarkStart w:id="0" w:name="_GoBack"/>
      <w:bookmarkEnd w:id="0"/>
      <w:r>
        <w:rPr>
          <w:rStyle w:val="10"/>
          <w:rFonts w:hint="eastAsia" w:ascii="宋体" w:hAnsi="宋体" w:cs="宋体"/>
          <w:sz w:val="24"/>
          <w:szCs w:val="24"/>
          <w:lang w:val="en-US" w:eastAsia="zh-CN"/>
        </w:rPr>
        <w:t>1.2</w:t>
      </w:r>
      <w:r>
        <w:rPr>
          <w:rStyle w:val="10"/>
          <w:rFonts w:hint="eastAsia" w:ascii="宋体" w:hAnsi="宋体" w:eastAsia="宋体" w:cs="宋体"/>
          <w:sz w:val="24"/>
          <w:szCs w:val="24"/>
        </w:rPr>
        <w:t>垃圾转运要求作业要求与质量标准</w:t>
      </w:r>
    </w:p>
    <w:p>
      <w:pPr>
        <w:pStyle w:val="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460" w:lineRule="exact"/>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1.生活垃圾要及时清运，做到垃圾日产日清；</w:t>
      </w:r>
    </w:p>
    <w:p>
      <w:pPr>
        <w:pStyle w:val="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460" w:lineRule="exact"/>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2.垃圾装运量应以车辆的额定荷载和有效容积为限，不得超重、超高运输；</w:t>
      </w:r>
    </w:p>
    <w:p>
      <w:pPr>
        <w:pStyle w:val="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460" w:lineRule="exact"/>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3.各种环卫作业车辆（含扫地车、清洗车、洒水车、清运车、人力手推车、人力三轮车、电动摩托车等）标志清晰、车容整洁美观，车体外无污物、无吊挂垃圾、杂物和污垢，车体无损，密闭运输，按指 定地点倾倒，无乱倒、乱卸现象；</w:t>
      </w:r>
    </w:p>
    <w:p>
      <w:pPr>
        <w:pStyle w:val="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460" w:lineRule="exact"/>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4.环卫车辆在作业时必须开启行车记录仪及GPS系统。</w:t>
      </w:r>
    </w:p>
    <w:p>
      <w:pPr>
        <w:pStyle w:val="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460" w:lineRule="exact"/>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5.车辆挂牌作业，按交通规则和作业路线行驶，文明礼让；</w:t>
      </w:r>
    </w:p>
    <w:p>
      <w:pPr>
        <w:pStyle w:val="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460" w:lineRule="exact"/>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6.生活垃圾运输车辆从起点至垃圾填埋场，卸垃圾平台过程中，要密闭运输，做到无垃圾散落、飘挂，无垃圾污水洒漏，无沿路乱倒垃圾；</w:t>
      </w:r>
    </w:p>
    <w:p>
      <w:pPr>
        <w:pStyle w:val="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460" w:lineRule="exact"/>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7.车容车貌完好美观、干净整洁、标识规范；</w:t>
      </w:r>
    </w:p>
    <w:p>
      <w:pPr>
        <w:pStyle w:val="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460" w:lineRule="exact"/>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8.严格执行进磅计量，索取计量单，服从检查指挥；</w:t>
      </w:r>
    </w:p>
    <w:p>
      <w:pPr>
        <w:pStyle w:val="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460" w:lineRule="exact"/>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9.在垃极转运站倾卸垃圾时，垃圾运输车辆必须听从现场人员指挥，在卸垃圾平台卸完垃圾后，即予关闭复位车箱，并把车箱周边拖挂的垃圾清理干净方能离开卸垃圾平台。雨天平台泥泞时可在填埋区（倾倒区）入口指 定位置清理车箱周边拖挂的垃圾。</w:t>
      </w:r>
    </w:p>
    <w:p>
      <w:pPr>
        <w:pStyle w:val="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460" w:lineRule="exact"/>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10.生活垃圾运输车辆离开填埋场后必须依次减速通过车轮清洗平台，使车辆车轮自动清洗干净，同时再次检查确认车辆完全密闭后再上路；</w:t>
      </w:r>
    </w:p>
    <w:p>
      <w:pPr>
        <w:pStyle w:val="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460" w:lineRule="exact"/>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11.遵守环卫停车场和修理厂相关规章制度。</w:t>
      </w:r>
    </w:p>
    <w:p>
      <w:pPr>
        <w:pStyle w:val="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460" w:lineRule="exact"/>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12.除“四害”要达到国家卫生城市标准。</w:t>
      </w:r>
    </w:p>
    <w:p>
      <w:pPr>
        <w:pStyle w:val="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460" w:lineRule="exact"/>
        <w:ind w:firstLine="480" w:firstLineChars="200"/>
        <w:jc w:val="both"/>
        <w:textAlignment w:val="auto"/>
        <w:rPr>
          <w:rFonts w:hint="eastAsia" w:ascii="宋体" w:hAnsi="宋体" w:eastAsia="宋体" w:cs="宋体"/>
          <w:sz w:val="24"/>
          <w:szCs w:val="24"/>
        </w:rPr>
      </w:pPr>
    </w:p>
    <w:p>
      <w:pPr>
        <w:pStyle w:val="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460" w:lineRule="exact"/>
        <w:ind w:firstLine="482" w:firstLineChars="200"/>
        <w:jc w:val="both"/>
        <w:textAlignment w:val="auto"/>
        <w:rPr>
          <w:rFonts w:hint="eastAsia" w:ascii="宋体" w:hAnsi="宋体" w:eastAsia="宋体" w:cs="宋体"/>
          <w:b/>
          <w:bCs/>
          <w:sz w:val="24"/>
          <w:szCs w:val="24"/>
        </w:rPr>
      </w:pPr>
      <w:r>
        <w:rPr>
          <w:rFonts w:hint="eastAsia" w:ascii="宋体" w:hAnsi="宋体" w:cs="宋体"/>
          <w:b/>
          <w:bCs/>
          <w:sz w:val="24"/>
          <w:szCs w:val="24"/>
          <w:lang w:val="en-US" w:eastAsia="zh-CN"/>
        </w:rPr>
        <w:t>3.3</w:t>
      </w:r>
      <w:r>
        <w:rPr>
          <w:rFonts w:hint="eastAsia" w:ascii="宋体" w:hAnsi="宋体" w:eastAsia="宋体" w:cs="宋体"/>
          <w:b/>
          <w:bCs/>
          <w:sz w:val="24"/>
          <w:szCs w:val="24"/>
        </w:rPr>
        <w:t>垃极转运站运行管理标准</w:t>
      </w:r>
    </w:p>
    <w:p>
      <w:pPr>
        <w:pStyle w:val="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460" w:lineRule="exact"/>
        <w:ind w:firstLine="360" w:firstLineChars="150"/>
        <w:jc w:val="both"/>
        <w:textAlignment w:val="auto"/>
        <w:rPr>
          <w:rFonts w:hint="eastAsia" w:ascii="宋体" w:hAnsi="宋体" w:eastAsia="宋体" w:cs="宋体"/>
          <w:sz w:val="24"/>
          <w:szCs w:val="24"/>
        </w:rPr>
      </w:pPr>
      <w:r>
        <w:rPr>
          <w:rFonts w:hint="eastAsia" w:ascii="宋体" w:hAnsi="宋体" w:eastAsia="宋体" w:cs="宋体"/>
          <w:sz w:val="24"/>
          <w:szCs w:val="24"/>
        </w:rPr>
        <w:t>（1）转运站应有除臭、防尘、防污染扩散及污水处置等设施。</w:t>
      </w:r>
    </w:p>
    <w:p>
      <w:pPr>
        <w:pStyle w:val="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460" w:lineRule="exact"/>
        <w:ind w:firstLine="360" w:firstLineChars="150"/>
        <w:jc w:val="both"/>
        <w:textAlignment w:val="auto"/>
        <w:rPr>
          <w:rFonts w:hint="eastAsia" w:ascii="宋体" w:hAnsi="宋体" w:eastAsia="宋体" w:cs="宋体"/>
          <w:sz w:val="24"/>
          <w:szCs w:val="24"/>
        </w:rPr>
      </w:pPr>
      <w:r>
        <w:rPr>
          <w:rFonts w:hint="eastAsia" w:ascii="宋体" w:hAnsi="宋体" w:eastAsia="宋体" w:cs="宋体"/>
          <w:sz w:val="24"/>
          <w:szCs w:val="24"/>
        </w:rPr>
        <w:t>（2）转运站内外场地应整洁，无撒落垃圾和堆积杂物，无积留污水。</w:t>
      </w:r>
    </w:p>
    <w:p>
      <w:pPr>
        <w:pStyle w:val="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460" w:lineRule="exact"/>
        <w:ind w:firstLine="360" w:firstLineChars="150"/>
        <w:jc w:val="both"/>
        <w:textAlignment w:val="auto"/>
        <w:rPr>
          <w:rFonts w:hint="eastAsia" w:ascii="宋体" w:hAnsi="宋体" w:eastAsia="宋体" w:cs="宋体"/>
          <w:sz w:val="24"/>
          <w:szCs w:val="24"/>
        </w:rPr>
      </w:pPr>
      <w:r>
        <w:rPr>
          <w:rFonts w:hint="eastAsia" w:ascii="宋体" w:hAnsi="宋体" w:eastAsia="宋体" w:cs="宋体"/>
          <w:sz w:val="24"/>
          <w:szCs w:val="24"/>
        </w:rPr>
        <w:t>（3）室内通风应良好，无恶臭，墙壁、窗户应无积尘、蛛网。</w:t>
      </w:r>
    </w:p>
    <w:p>
      <w:pPr>
        <w:pStyle w:val="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460" w:lineRule="exact"/>
        <w:ind w:firstLine="360" w:firstLineChars="150"/>
        <w:jc w:val="both"/>
        <w:textAlignment w:val="auto"/>
        <w:rPr>
          <w:rFonts w:hint="eastAsia" w:ascii="宋体" w:hAnsi="宋体" w:eastAsia="宋体" w:cs="宋体"/>
          <w:sz w:val="24"/>
          <w:szCs w:val="24"/>
        </w:rPr>
      </w:pPr>
      <w:r>
        <w:rPr>
          <w:rFonts w:hint="eastAsia" w:ascii="宋体" w:hAnsi="宋体" w:eastAsia="宋体" w:cs="宋体"/>
          <w:sz w:val="24"/>
          <w:szCs w:val="24"/>
        </w:rPr>
        <w:t>（4）进入站内的垃圾应当日转运或定时转运，过夜垃圾不得超过二吨并加盖封闭。</w:t>
      </w:r>
    </w:p>
    <w:p>
      <w:pPr>
        <w:pStyle w:val="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460" w:lineRule="exact"/>
        <w:ind w:firstLine="360" w:firstLineChars="150"/>
        <w:jc w:val="both"/>
        <w:textAlignment w:val="auto"/>
        <w:rPr>
          <w:rFonts w:hint="eastAsia" w:ascii="宋体" w:hAnsi="宋体" w:eastAsia="宋体" w:cs="宋体"/>
          <w:sz w:val="24"/>
          <w:szCs w:val="24"/>
        </w:rPr>
      </w:pPr>
      <w:r>
        <w:rPr>
          <w:rFonts w:hint="eastAsia" w:ascii="宋体" w:hAnsi="宋体" w:eastAsia="宋体" w:cs="宋体"/>
          <w:sz w:val="24"/>
          <w:szCs w:val="24"/>
        </w:rPr>
        <w:t>（5)站内垃圾装运容器应整洁，无积垢，无吊挂垃圾。</w:t>
      </w:r>
    </w:p>
    <w:p>
      <w:pPr>
        <w:pStyle w:val="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460" w:lineRule="exact"/>
        <w:ind w:firstLine="360" w:firstLineChars="150"/>
        <w:jc w:val="both"/>
        <w:textAlignment w:val="auto"/>
        <w:rPr>
          <w:rFonts w:hint="eastAsia" w:ascii="宋体" w:hAnsi="宋体" w:eastAsia="宋体" w:cs="宋体"/>
          <w:sz w:val="24"/>
          <w:szCs w:val="24"/>
        </w:rPr>
      </w:pPr>
      <w:r>
        <w:rPr>
          <w:rFonts w:hint="eastAsia" w:ascii="宋体" w:hAnsi="宋体" w:eastAsia="宋体" w:cs="宋体"/>
          <w:sz w:val="24"/>
          <w:szCs w:val="24"/>
        </w:rPr>
        <w:t>（6）站内机械设备按章操作，维修保养及时。</w:t>
      </w:r>
    </w:p>
    <w:p>
      <w:pPr>
        <w:pStyle w:val="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460" w:lineRule="exact"/>
        <w:ind w:firstLine="360" w:firstLineChars="150"/>
        <w:jc w:val="both"/>
        <w:textAlignment w:val="auto"/>
        <w:rPr>
          <w:rFonts w:hint="eastAsia" w:ascii="宋体" w:hAnsi="宋体" w:eastAsia="宋体" w:cs="宋体"/>
          <w:sz w:val="24"/>
          <w:szCs w:val="24"/>
        </w:rPr>
      </w:pPr>
      <w:r>
        <w:rPr>
          <w:rFonts w:hint="eastAsia" w:ascii="宋体" w:hAnsi="宋体" w:eastAsia="宋体" w:cs="宋体"/>
          <w:sz w:val="24"/>
          <w:szCs w:val="24"/>
        </w:rPr>
        <w:t>（7）场地应有专人管理，工具、物品置放应有序整洁，解决和协调清扫保洁所作业中的困难与问题。</w:t>
      </w:r>
    </w:p>
    <w:p>
      <w:pPr>
        <w:pStyle w:val="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460" w:lineRule="exact"/>
        <w:ind w:firstLine="360" w:firstLineChars="150"/>
        <w:jc w:val="both"/>
        <w:textAlignment w:val="auto"/>
        <w:rPr>
          <w:rFonts w:hint="eastAsia" w:ascii="宋体" w:hAnsi="宋体" w:eastAsia="宋体" w:cs="宋体"/>
          <w:sz w:val="24"/>
          <w:szCs w:val="24"/>
        </w:rPr>
      </w:pPr>
      <w:r>
        <w:rPr>
          <w:rFonts w:hint="eastAsia" w:ascii="宋体" w:hAnsi="宋体" w:eastAsia="宋体" w:cs="宋体"/>
          <w:sz w:val="24"/>
          <w:szCs w:val="24"/>
        </w:rPr>
        <w:t>（8）转运站周围环境应整洁，装卸作业完毕，应及时清扫场地。</w:t>
      </w:r>
    </w:p>
    <w:p>
      <w:pPr>
        <w:pStyle w:val="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460" w:lineRule="exact"/>
        <w:ind w:firstLine="360" w:firstLineChars="150"/>
        <w:jc w:val="both"/>
        <w:textAlignment w:val="auto"/>
        <w:rPr>
          <w:rFonts w:hint="eastAsia" w:ascii="宋体" w:hAnsi="宋体" w:eastAsia="宋体" w:cs="宋体"/>
          <w:sz w:val="24"/>
          <w:szCs w:val="24"/>
        </w:rPr>
      </w:pPr>
      <w:r>
        <w:rPr>
          <w:rFonts w:hint="eastAsia" w:ascii="宋体" w:hAnsi="宋体" w:eastAsia="宋体" w:cs="宋体"/>
          <w:sz w:val="24"/>
          <w:szCs w:val="24"/>
        </w:rPr>
        <w:t>（9）按要求做好转运站的“灭四害”工作。</w:t>
      </w:r>
    </w:p>
    <w:p>
      <w:pPr>
        <w:pStyle w:val="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460" w:lineRule="exact"/>
        <w:ind w:firstLine="482" w:firstLineChars="200"/>
        <w:jc w:val="both"/>
        <w:textAlignment w:val="auto"/>
        <w:rPr>
          <w:rStyle w:val="10"/>
          <w:rFonts w:hint="eastAsia" w:ascii="宋体" w:hAnsi="宋体" w:eastAsia="宋体" w:cs="宋体"/>
          <w:sz w:val="24"/>
          <w:szCs w:val="24"/>
        </w:rPr>
      </w:pPr>
      <w:r>
        <w:rPr>
          <w:rStyle w:val="10"/>
          <w:rFonts w:hint="eastAsia" w:ascii="宋体" w:hAnsi="宋体" w:cs="宋体"/>
          <w:sz w:val="24"/>
          <w:szCs w:val="24"/>
          <w:lang w:val="en-US" w:eastAsia="zh-CN"/>
        </w:rPr>
        <w:t>4、</w:t>
      </w:r>
      <w:r>
        <w:rPr>
          <w:rStyle w:val="10"/>
          <w:rFonts w:hint="eastAsia" w:ascii="宋体" w:hAnsi="宋体" w:eastAsia="宋体" w:cs="宋体"/>
          <w:sz w:val="24"/>
          <w:szCs w:val="24"/>
          <w:lang w:val="en-US" w:eastAsia="zh-CN"/>
        </w:rPr>
        <w:t>宁化县</w:t>
      </w:r>
      <w:r>
        <w:rPr>
          <w:rStyle w:val="10"/>
          <w:rFonts w:hint="eastAsia" w:ascii="宋体" w:hAnsi="宋体" w:eastAsia="宋体" w:cs="宋体"/>
          <w:sz w:val="24"/>
          <w:szCs w:val="24"/>
        </w:rPr>
        <w:t>城区公厕清扫保洁项目</w:t>
      </w:r>
    </w:p>
    <w:p>
      <w:pPr>
        <w:pStyle w:val="6"/>
        <w:keepNext w:val="0"/>
        <w:keepLines w:val="0"/>
        <w:pageBreakBefore w:val="0"/>
        <w:widowControl/>
        <w:numPr>
          <w:ilvl w:val="0"/>
          <w:numId w:val="0"/>
        </w:numPr>
        <w:suppressLineNumbers w:val="0"/>
        <w:kinsoku/>
        <w:wordWrap/>
        <w:overflowPunct/>
        <w:topLinePunct w:val="0"/>
        <w:autoSpaceDE/>
        <w:autoSpaceDN/>
        <w:bidi w:val="0"/>
        <w:adjustRightInd/>
        <w:snapToGrid/>
        <w:spacing w:before="100" w:beforeAutospacing="1" w:after="100" w:afterAutospacing="1" w:line="460" w:lineRule="exact"/>
        <w:ind w:right="0" w:rightChars="0" w:firstLine="482" w:firstLineChars="200"/>
        <w:jc w:val="both"/>
        <w:textAlignment w:val="auto"/>
        <w:rPr>
          <w:rStyle w:val="10"/>
          <w:rFonts w:hint="eastAsia" w:ascii="宋体" w:hAnsi="宋体" w:eastAsia="宋体" w:cs="宋体"/>
          <w:sz w:val="24"/>
          <w:szCs w:val="24"/>
          <w:lang w:val="en-US" w:eastAsia="zh-CN"/>
        </w:rPr>
      </w:pPr>
      <w:r>
        <w:rPr>
          <w:rStyle w:val="10"/>
          <w:rFonts w:hint="eastAsia" w:ascii="宋体" w:hAnsi="宋体" w:cs="宋体"/>
          <w:sz w:val="24"/>
          <w:szCs w:val="24"/>
          <w:lang w:val="en-US" w:eastAsia="zh-CN"/>
        </w:rPr>
        <w:t>4.1</w:t>
      </w:r>
      <w:r>
        <w:rPr>
          <w:rStyle w:val="10"/>
          <w:rFonts w:hint="eastAsia" w:ascii="宋体" w:hAnsi="宋体" w:eastAsia="宋体" w:cs="宋体"/>
          <w:sz w:val="24"/>
          <w:szCs w:val="24"/>
          <w:lang w:val="en-US" w:eastAsia="zh-CN"/>
        </w:rPr>
        <w:t>作业范围</w:t>
      </w:r>
    </w:p>
    <w:p>
      <w:pPr>
        <w:pStyle w:val="6"/>
        <w:keepNext w:val="0"/>
        <w:keepLines w:val="0"/>
        <w:pageBreakBefore w:val="0"/>
        <w:widowControl/>
        <w:numPr>
          <w:ilvl w:val="0"/>
          <w:numId w:val="0"/>
        </w:numPr>
        <w:suppressLineNumbers w:val="0"/>
        <w:kinsoku/>
        <w:wordWrap/>
        <w:overflowPunct/>
        <w:topLinePunct w:val="0"/>
        <w:autoSpaceDE/>
        <w:autoSpaceDN/>
        <w:bidi w:val="0"/>
        <w:adjustRightInd/>
        <w:snapToGrid/>
        <w:spacing w:before="100" w:beforeAutospacing="1" w:after="100" w:afterAutospacing="1" w:line="460" w:lineRule="exact"/>
        <w:ind w:right="0" w:rightChars="0" w:firstLine="480" w:firstLineChars="200"/>
        <w:jc w:val="both"/>
        <w:textAlignment w:val="auto"/>
        <w:rPr>
          <w:rStyle w:val="10"/>
          <w:rFonts w:hint="eastAsia" w:ascii="宋体" w:hAnsi="宋体" w:eastAsia="宋体" w:cs="宋体"/>
          <w:b w:val="0"/>
          <w:bCs/>
          <w:sz w:val="24"/>
          <w:szCs w:val="24"/>
          <w:lang w:val="en-US" w:eastAsia="zh-CN"/>
        </w:rPr>
      </w:pPr>
      <w:r>
        <w:rPr>
          <w:rStyle w:val="10"/>
          <w:rFonts w:hint="eastAsia" w:ascii="宋体" w:hAnsi="宋体" w:eastAsia="宋体" w:cs="宋体"/>
          <w:b w:val="0"/>
          <w:bCs/>
          <w:sz w:val="24"/>
          <w:szCs w:val="24"/>
          <w:lang w:val="en-US" w:eastAsia="zh-CN"/>
        </w:rPr>
        <w:t>城区37座公厕（含6座移动式公厕）。</w:t>
      </w:r>
    </w:p>
    <w:p>
      <w:pPr>
        <w:pStyle w:val="6"/>
        <w:keepNext w:val="0"/>
        <w:keepLines w:val="0"/>
        <w:widowControl/>
        <w:numPr>
          <w:ilvl w:val="0"/>
          <w:numId w:val="0"/>
        </w:numPr>
        <w:suppressLineNumbers w:val="0"/>
        <w:spacing w:before="100" w:beforeAutospacing="1" w:after="100" w:afterAutospacing="1" w:line="345" w:lineRule="atLeast"/>
        <w:ind w:right="0" w:rightChars="0"/>
        <w:jc w:val="both"/>
        <w:rPr>
          <w:rStyle w:val="10"/>
          <w:rFonts w:hint="eastAsia" w:ascii="宋体" w:hAnsi="宋体" w:eastAsia="宋体" w:cs="宋体"/>
          <w:b w:val="0"/>
          <w:bCs/>
          <w:sz w:val="24"/>
          <w:szCs w:val="24"/>
          <w:lang w:val="en-US" w:eastAsia="zh-CN"/>
        </w:rPr>
      </w:pPr>
      <w:r>
        <w:rPr>
          <w:rStyle w:val="10"/>
          <w:rFonts w:hint="eastAsia" w:ascii="宋体" w:hAnsi="宋体" w:eastAsia="宋体" w:cs="宋体"/>
          <w:b w:val="0"/>
          <w:bCs/>
          <w:sz w:val="24"/>
          <w:szCs w:val="24"/>
          <w:lang w:val="en-US" w:eastAsia="zh-CN"/>
        </w:rPr>
        <w:drawing>
          <wp:inline distT="0" distB="0" distL="114300" distR="114300">
            <wp:extent cx="5266055" cy="3340100"/>
            <wp:effectExtent l="0" t="0" r="10795" b="12700"/>
            <wp:docPr id="2" name="图片 1" descr="15674793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1567479355(1)"/>
                    <pic:cNvPicPr>
                      <a:picLocks noChangeAspect="1"/>
                    </pic:cNvPicPr>
                  </pic:nvPicPr>
                  <pic:blipFill>
                    <a:blip r:embed="rId5"/>
                    <a:stretch>
                      <a:fillRect/>
                    </a:stretch>
                  </pic:blipFill>
                  <pic:spPr>
                    <a:xfrm>
                      <a:off x="0" y="0"/>
                      <a:ext cx="5266055" cy="3340100"/>
                    </a:xfrm>
                    <a:prstGeom prst="rect">
                      <a:avLst/>
                    </a:prstGeom>
                    <a:noFill/>
                    <a:ln w="9525">
                      <a:noFill/>
                    </a:ln>
                  </pic:spPr>
                </pic:pic>
              </a:graphicData>
            </a:graphic>
          </wp:inline>
        </w:drawing>
      </w:r>
    </w:p>
    <w:p>
      <w:pPr>
        <w:pStyle w:val="6"/>
        <w:keepNext w:val="0"/>
        <w:keepLines w:val="0"/>
        <w:widowControl/>
        <w:numPr>
          <w:ilvl w:val="0"/>
          <w:numId w:val="0"/>
        </w:numPr>
        <w:suppressLineNumbers w:val="0"/>
        <w:spacing w:before="100" w:beforeAutospacing="1" w:after="100" w:afterAutospacing="1" w:line="345" w:lineRule="atLeast"/>
        <w:ind w:right="0" w:rightChars="0"/>
        <w:jc w:val="both"/>
        <w:rPr>
          <w:rStyle w:val="10"/>
          <w:rFonts w:hint="eastAsia" w:ascii="宋体" w:hAnsi="宋体" w:eastAsia="宋体" w:cs="宋体"/>
          <w:b w:val="0"/>
          <w:bCs/>
          <w:sz w:val="24"/>
          <w:szCs w:val="24"/>
          <w:lang w:val="en-US" w:eastAsia="zh-CN"/>
        </w:rPr>
      </w:pPr>
      <w:r>
        <w:rPr>
          <w:rStyle w:val="10"/>
          <w:rFonts w:hint="eastAsia" w:ascii="宋体" w:hAnsi="宋体" w:eastAsia="宋体" w:cs="宋体"/>
          <w:b w:val="0"/>
          <w:bCs/>
          <w:sz w:val="24"/>
          <w:szCs w:val="24"/>
          <w:lang w:val="en-US" w:eastAsia="zh-CN"/>
        </w:rPr>
        <w:drawing>
          <wp:inline distT="0" distB="0" distL="114300" distR="114300">
            <wp:extent cx="5266055" cy="3345815"/>
            <wp:effectExtent l="0" t="0" r="10795" b="6985"/>
            <wp:docPr id="3" name="图片 2" descr="15674793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1567479377(1)"/>
                    <pic:cNvPicPr>
                      <a:picLocks noChangeAspect="1"/>
                    </pic:cNvPicPr>
                  </pic:nvPicPr>
                  <pic:blipFill>
                    <a:blip r:embed="rId6"/>
                    <a:stretch>
                      <a:fillRect/>
                    </a:stretch>
                  </pic:blipFill>
                  <pic:spPr>
                    <a:xfrm>
                      <a:off x="0" y="0"/>
                      <a:ext cx="5266055" cy="3345815"/>
                    </a:xfrm>
                    <a:prstGeom prst="rect">
                      <a:avLst/>
                    </a:prstGeom>
                    <a:noFill/>
                    <a:ln w="9525">
                      <a:noFill/>
                    </a:ln>
                  </pic:spPr>
                </pic:pic>
              </a:graphicData>
            </a:graphic>
          </wp:inline>
        </w:drawing>
      </w:r>
    </w:p>
    <w:p>
      <w:pPr>
        <w:pStyle w:val="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460" w:lineRule="exact"/>
        <w:ind w:firstLine="482" w:firstLineChars="200"/>
        <w:jc w:val="both"/>
        <w:textAlignment w:val="auto"/>
        <w:rPr>
          <w:rFonts w:hint="eastAsia" w:ascii="宋体" w:hAnsi="宋体" w:eastAsia="宋体" w:cs="宋体"/>
          <w:color w:val="000000"/>
          <w:sz w:val="24"/>
          <w:szCs w:val="24"/>
          <w:highlight w:val="none"/>
        </w:rPr>
      </w:pPr>
      <w:r>
        <w:rPr>
          <w:rStyle w:val="10"/>
          <w:rFonts w:hint="eastAsia" w:ascii="宋体" w:hAnsi="宋体" w:cs="宋体"/>
          <w:color w:val="000000"/>
          <w:sz w:val="24"/>
          <w:szCs w:val="24"/>
          <w:highlight w:val="none"/>
          <w:lang w:val="en-US" w:eastAsia="zh-CN"/>
        </w:rPr>
        <w:t>4.2</w:t>
      </w:r>
      <w:r>
        <w:rPr>
          <w:rStyle w:val="10"/>
          <w:rFonts w:hint="eastAsia" w:ascii="宋体" w:hAnsi="宋体" w:eastAsia="宋体" w:cs="宋体"/>
          <w:color w:val="000000"/>
          <w:sz w:val="24"/>
          <w:szCs w:val="24"/>
          <w:highlight w:val="none"/>
          <w:lang w:val="en-US" w:eastAsia="zh-CN"/>
        </w:rPr>
        <w:t>公厕清扫保洁</w:t>
      </w:r>
      <w:r>
        <w:rPr>
          <w:rStyle w:val="10"/>
          <w:rFonts w:hint="eastAsia" w:ascii="宋体" w:hAnsi="宋体" w:eastAsia="宋体" w:cs="宋体"/>
          <w:color w:val="000000"/>
          <w:sz w:val="24"/>
          <w:szCs w:val="24"/>
          <w:highlight w:val="none"/>
        </w:rPr>
        <w:t>作业要求</w:t>
      </w:r>
    </w:p>
    <w:p>
      <w:pPr>
        <w:pStyle w:val="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460" w:lineRule="exact"/>
        <w:ind w:firstLine="360" w:firstLineChars="150"/>
        <w:jc w:val="both"/>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（1）作业时间：5:00-23：00，分班服务；</w:t>
      </w:r>
    </w:p>
    <w:p>
      <w:pPr>
        <w:pStyle w:val="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460" w:lineRule="exact"/>
        <w:ind w:firstLine="360" w:firstLineChars="150"/>
        <w:jc w:val="both"/>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（2）各种制度上墙，便于市民监督；导向醒目，标识规范，配置齐全，使用完好；</w:t>
      </w:r>
    </w:p>
    <w:p>
      <w:pPr>
        <w:pStyle w:val="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460" w:lineRule="exact"/>
        <w:ind w:firstLine="360" w:firstLineChars="150"/>
        <w:jc w:val="both"/>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（3）公厕服务员着装整齐，佩证上岗；</w:t>
      </w:r>
    </w:p>
    <w:p>
      <w:pPr>
        <w:pStyle w:val="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460" w:lineRule="exact"/>
        <w:ind w:firstLine="360" w:firstLineChars="150"/>
        <w:jc w:val="both"/>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（4）实现公厕水冲化、粪便排放无害化，粪污水应经化粪池处理后排入市政污水管网，公厕化粪池每半年清掏不少于1次；</w:t>
      </w:r>
    </w:p>
    <w:p>
      <w:pPr>
        <w:pStyle w:val="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460" w:lineRule="exact"/>
        <w:ind w:firstLine="360" w:firstLineChars="150"/>
        <w:jc w:val="both"/>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（5）公厕服务员应做好公厕内外各项卫生，定期做好厕内消杀、除臭，保持公厕环境卫生整洁；</w:t>
      </w:r>
    </w:p>
    <w:p>
      <w:pPr>
        <w:pStyle w:val="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460" w:lineRule="exact"/>
        <w:ind w:firstLine="360" w:firstLineChars="150"/>
        <w:jc w:val="both"/>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（6）公厕内部各类设施应有序摆放，要保持厕内设施完好，确保公厕正常运行。设有残疾间的不得挪为他用；</w:t>
      </w:r>
    </w:p>
    <w:p>
      <w:pPr>
        <w:pStyle w:val="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460" w:lineRule="exact"/>
        <w:ind w:firstLine="360" w:firstLineChars="150"/>
        <w:jc w:val="both"/>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（7）公厕服务员应文明服务，不得与如厕人员争吵，严禁收费。</w:t>
      </w:r>
    </w:p>
    <w:p>
      <w:pPr>
        <w:pStyle w:val="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460" w:lineRule="exact"/>
        <w:ind w:firstLine="482" w:firstLineChars="200"/>
        <w:jc w:val="both"/>
        <w:textAlignment w:val="auto"/>
        <w:rPr>
          <w:rFonts w:hint="eastAsia" w:ascii="宋体" w:hAnsi="宋体" w:eastAsia="宋体" w:cs="宋体"/>
          <w:color w:val="000000"/>
          <w:sz w:val="24"/>
          <w:szCs w:val="24"/>
          <w:highlight w:val="none"/>
        </w:rPr>
      </w:pPr>
      <w:r>
        <w:rPr>
          <w:rStyle w:val="10"/>
          <w:rFonts w:hint="eastAsia" w:ascii="宋体" w:hAnsi="宋体" w:cs="宋体"/>
          <w:color w:val="000000"/>
          <w:sz w:val="24"/>
          <w:szCs w:val="24"/>
          <w:highlight w:val="none"/>
          <w:lang w:val="en-US" w:eastAsia="zh-CN"/>
        </w:rPr>
        <w:t>4.3</w:t>
      </w:r>
      <w:r>
        <w:rPr>
          <w:rStyle w:val="10"/>
          <w:rFonts w:hint="eastAsia" w:ascii="宋体" w:hAnsi="宋体" w:eastAsia="宋体" w:cs="宋体"/>
          <w:color w:val="000000"/>
          <w:sz w:val="24"/>
          <w:szCs w:val="24"/>
          <w:highlight w:val="none"/>
          <w:lang w:val="en-US" w:eastAsia="zh-CN"/>
        </w:rPr>
        <w:t>公厕清扫保洁</w:t>
      </w:r>
      <w:r>
        <w:rPr>
          <w:rStyle w:val="10"/>
          <w:rFonts w:hint="eastAsia" w:ascii="宋体" w:hAnsi="宋体" w:eastAsia="宋体" w:cs="宋体"/>
          <w:color w:val="000000"/>
          <w:sz w:val="24"/>
          <w:szCs w:val="24"/>
          <w:highlight w:val="none"/>
        </w:rPr>
        <w:t>质量标准</w:t>
      </w:r>
    </w:p>
    <w:p>
      <w:pPr>
        <w:pStyle w:val="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460" w:lineRule="exact"/>
        <w:ind w:firstLine="360" w:firstLineChars="150"/>
        <w:jc w:val="both"/>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（1）厕内无异味，采光、照明、通风良好；</w:t>
      </w:r>
    </w:p>
    <w:p>
      <w:pPr>
        <w:pStyle w:val="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460" w:lineRule="exact"/>
        <w:ind w:firstLine="360" w:firstLineChars="150"/>
        <w:jc w:val="both"/>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（2）墙面清：公厕内、外墙整洁，墙面光洁无破损、污浊、渗漏；隔板、窗栅、门窗玻璃无破损；公厕内墙面、天花板、门窗和隔离板无积灰、污迹、蛛网，无乱涂乱画，无破损。</w:t>
      </w:r>
    </w:p>
    <w:p>
      <w:pPr>
        <w:pStyle w:val="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460" w:lineRule="exact"/>
        <w:ind w:firstLine="360" w:firstLineChars="150"/>
        <w:jc w:val="both"/>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（3）地面清：公厕地面光洁、无积水；</w:t>
      </w:r>
    </w:p>
    <w:p>
      <w:pPr>
        <w:pStyle w:val="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460" w:lineRule="exact"/>
        <w:ind w:firstLine="360" w:firstLineChars="150"/>
        <w:jc w:val="both"/>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（4）厕位清：蹲位整洁，大便槽两侧无粪便污物，槽内无粪迹，无堵塞，洁净见底；公厕粪池盖密闭，无缺少、破损现象；</w:t>
      </w:r>
    </w:p>
    <w:p>
      <w:pPr>
        <w:pStyle w:val="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460" w:lineRule="exact"/>
        <w:ind w:firstLine="360" w:firstLineChars="150"/>
        <w:jc w:val="both"/>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（5）小便斗清：小便槽（斗）无水锈、尿垢、垃圾，无明显臭味；沟眼、管道保持畅通；</w:t>
      </w:r>
    </w:p>
    <w:p>
      <w:pPr>
        <w:pStyle w:val="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460" w:lineRule="exact"/>
        <w:ind w:firstLine="360" w:firstLineChars="150"/>
        <w:jc w:val="both"/>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（6）设施完好，公厕内照明灯具、洗手器具、冲水设备等设施设备保持完好，无缺亮渗漏、无积灰、污物；无障碍公厕通道畅通；</w:t>
      </w:r>
    </w:p>
    <w:p>
      <w:pPr>
        <w:pStyle w:val="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460" w:lineRule="exact"/>
        <w:ind w:firstLine="360" w:firstLineChars="150"/>
        <w:jc w:val="both"/>
        <w:textAlignment w:val="auto"/>
        <w:rPr>
          <w:rFonts w:hint="eastAsia" w:ascii="宋体" w:hAnsi="宋体" w:eastAsia="宋体" w:cs="宋体"/>
          <w:color w:val="000000"/>
          <w:sz w:val="24"/>
          <w:szCs w:val="24"/>
          <w:highlight w:val="none"/>
          <w:lang w:eastAsia="zh-CN"/>
        </w:rPr>
      </w:pPr>
      <w:r>
        <w:rPr>
          <w:rFonts w:hint="eastAsia" w:ascii="宋体" w:hAnsi="宋体" w:eastAsia="宋体" w:cs="宋体"/>
          <w:color w:val="000000"/>
          <w:sz w:val="24"/>
          <w:szCs w:val="24"/>
          <w:highlight w:val="none"/>
        </w:rPr>
        <w:t>（7）公厕内外环境整洁，无蜘蛛网、蚊蝇，无卫生死角</w:t>
      </w:r>
      <w:r>
        <w:rPr>
          <w:rFonts w:hint="eastAsia" w:ascii="宋体" w:hAnsi="宋体" w:eastAsia="宋体" w:cs="宋体"/>
          <w:color w:val="000000"/>
          <w:sz w:val="24"/>
          <w:szCs w:val="24"/>
          <w:highlight w:val="none"/>
          <w:lang w:eastAsia="zh-CN"/>
        </w:rPr>
        <w:t>；</w:t>
      </w:r>
    </w:p>
    <w:p>
      <w:pPr>
        <w:pStyle w:val="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460" w:lineRule="exact"/>
        <w:ind w:firstLine="360" w:firstLineChars="150"/>
        <w:jc w:val="both"/>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eastAsia="zh-CN"/>
        </w:rPr>
        <w:t>（</w:t>
      </w:r>
      <w:r>
        <w:rPr>
          <w:rFonts w:hint="eastAsia" w:ascii="宋体" w:hAnsi="宋体" w:eastAsia="宋体" w:cs="宋体"/>
          <w:color w:val="000000"/>
          <w:sz w:val="24"/>
          <w:szCs w:val="24"/>
          <w:highlight w:val="none"/>
          <w:lang w:val="en-US" w:eastAsia="zh-CN"/>
        </w:rPr>
        <w:t>8</w:t>
      </w:r>
      <w:r>
        <w:rPr>
          <w:rFonts w:hint="eastAsia" w:ascii="宋体" w:hAnsi="宋体" w:eastAsia="宋体" w:cs="宋体"/>
          <w:color w:val="000000"/>
          <w:sz w:val="24"/>
          <w:szCs w:val="24"/>
          <w:highlight w:val="none"/>
          <w:lang w:eastAsia="zh-CN"/>
        </w:rPr>
        <w:t>）</w:t>
      </w:r>
      <w:r>
        <w:rPr>
          <w:rFonts w:hint="eastAsia" w:ascii="宋体" w:hAnsi="宋体" w:eastAsia="宋体" w:cs="宋体"/>
          <w:color w:val="000000"/>
          <w:sz w:val="24"/>
          <w:szCs w:val="24"/>
          <w:highlight w:val="none"/>
        </w:rPr>
        <w:t>管理间（工具间）物品摆放有序，整洁无杂物，无闲杂人员，不得挪作他用。</w:t>
      </w:r>
    </w:p>
    <w:p>
      <w:pPr>
        <w:pStyle w:val="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460" w:lineRule="exact"/>
        <w:ind w:firstLine="360" w:firstLineChars="150"/>
        <w:jc w:val="both"/>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w:t>
      </w:r>
      <w:r>
        <w:rPr>
          <w:rFonts w:hint="eastAsia" w:ascii="宋体" w:hAnsi="宋体" w:eastAsia="宋体" w:cs="宋体"/>
          <w:color w:val="000000"/>
          <w:sz w:val="24"/>
          <w:szCs w:val="24"/>
          <w:highlight w:val="none"/>
          <w:lang w:val="en-US" w:eastAsia="zh-CN"/>
        </w:rPr>
        <w:t>9</w:t>
      </w:r>
      <w:r>
        <w:rPr>
          <w:rFonts w:hint="eastAsia" w:ascii="宋体" w:hAnsi="宋体" w:eastAsia="宋体" w:cs="宋体"/>
          <w:color w:val="000000"/>
          <w:sz w:val="24"/>
          <w:szCs w:val="24"/>
          <w:highlight w:val="none"/>
        </w:rPr>
        <w:t>）蝇蚊孳生季节，应定时喷洒灭蚊蝇药物，有效控制蝇蛆孳生。</w:t>
      </w:r>
    </w:p>
    <w:p>
      <w:pPr>
        <w:pStyle w:val="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460" w:lineRule="exact"/>
        <w:ind w:firstLine="360" w:firstLineChars="150"/>
        <w:jc w:val="both"/>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（10）公厕有专人管理，管理员着统一的环卫服装。</w:t>
      </w:r>
    </w:p>
    <w:p>
      <w:pPr>
        <w:pStyle w:val="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460" w:lineRule="exact"/>
        <w:ind w:firstLine="360" w:firstLineChars="150"/>
        <w:jc w:val="both"/>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w:t>
      </w:r>
      <w:r>
        <w:rPr>
          <w:rFonts w:hint="eastAsia" w:ascii="宋体" w:hAnsi="宋体" w:cs="宋体"/>
          <w:color w:val="000000"/>
          <w:sz w:val="24"/>
          <w:szCs w:val="24"/>
          <w:highlight w:val="none"/>
          <w:lang w:val="en-US" w:eastAsia="zh-CN"/>
        </w:rPr>
        <w:t>11</w:t>
      </w:r>
      <w:r>
        <w:rPr>
          <w:rFonts w:hint="eastAsia" w:ascii="宋体" w:hAnsi="宋体" w:eastAsia="宋体" w:cs="宋体"/>
          <w:color w:val="000000"/>
          <w:sz w:val="24"/>
          <w:szCs w:val="24"/>
          <w:highlight w:val="none"/>
          <w:lang w:val="en-US" w:eastAsia="zh-CN"/>
        </w:rPr>
        <w:t>）每三年完成城区公厕化粪池的免费清疏工作，确保化粪池正常运行使用。</w:t>
      </w:r>
    </w:p>
    <w:p>
      <w:pPr>
        <w:pStyle w:val="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460" w:lineRule="exact"/>
        <w:ind w:firstLine="360" w:firstLineChars="150"/>
        <w:jc w:val="both"/>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w:t>
      </w:r>
      <w:r>
        <w:rPr>
          <w:rFonts w:hint="eastAsia" w:ascii="宋体" w:hAnsi="宋体" w:cs="宋体"/>
          <w:color w:val="000000"/>
          <w:sz w:val="24"/>
          <w:szCs w:val="24"/>
          <w:highlight w:val="none"/>
          <w:lang w:val="en-US" w:eastAsia="zh-CN"/>
        </w:rPr>
        <w:t>12</w:t>
      </w:r>
      <w:r>
        <w:rPr>
          <w:rFonts w:hint="eastAsia" w:ascii="宋体" w:hAnsi="宋体" w:eastAsia="宋体" w:cs="宋体"/>
          <w:color w:val="000000"/>
          <w:sz w:val="24"/>
          <w:szCs w:val="24"/>
          <w:highlight w:val="none"/>
          <w:lang w:val="en-US" w:eastAsia="zh-CN"/>
        </w:rPr>
        <w:t>）接到公厕化粪池出现异常情况，应在2小时内到达现场处置。</w:t>
      </w:r>
    </w:p>
    <w:p>
      <w:pPr>
        <w:pStyle w:val="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460" w:lineRule="exact"/>
        <w:ind w:firstLine="360" w:firstLineChars="150"/>
        <w:jc w:val="both"/>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w:t>
      </w:r>
      <w:r>
        <w:rPr>
          <w:rFonts w:hint="eastAsia" w:ascii="宋体" w:hAnsi="宋体" w:cs="宋体"/>
          <w:color w:val="000000"/>
          <w:sz w:val="24"/>
          <w:szCs w:val="24"/>
          <w:highlight w:val="none"/>
          <w:lang w:val="en-US" w:eastAsia="zh-CN"/>
        </w:rPr>
        <w:t>13</w:t>
      </w:r>
      <w:r>
        <w:rPr>
          <w:rFonts w:hint="eastAsia" w:ascii="宋体" w:hAnsi="宋体" w:eastAsia="宋体" w:cs="宋体"/>
          <w:color w:val="000000"/>
          <w:sz w:val="24"/>
          <w:szCs w:val="24"/>
          <w:highlight w:val="none"/>
          <w:lang w:val="en-US" w:eastAsia="zh-CN"/>
        </w:rPr>
        <w:t>）化粪池清理完毕后，化粪池正常使用，出入口畅通，周边干净整洁。</w:t>
      </w:r>
    </w:p>
    <w:p>
      <w:pPr>
        <w:pStyle w:val="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460" w:lineRule="exact"/>
        <w:ind w:firstLine="360" w:firstLineChars="150"/>
        <w:jc w:val="both"/>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w:t>
      </w:r>
      <w:r>
        <w:rPr>
          <w:rFonts w:hint="eastAsia" w:ascii="宋体" w:hAnsi="宋体" w:cs="宋体"/>
          <w:color w:val="000000"/>
          <w:sz w:val="24"/>
          <w:szCs w:val="24"/>
          <w:highlight w:val="none"/>
          <w:lang w:val="en-US" w:eastAsia="zh-CN"/>
        </w:rPr>
        <w:t>14</w:t>
      </w:r>
      <w:r>
        <w:rPr>
          <w:rFonts w:hint="eastAsia" w:ascii="宋体" w:hAnsi="宋体" w:eastAsia="宋体" w:cs="宋体"/>
          <w:color w:val="000000"/>
          <w:sz w:val="24"/>
          <w:szCs w:val="24"/>
          <w:highlight w:val="none"/>
          <w:lang w:val="en-US" w:eastAsia="zh-CN"/>
        </w:rPr>
        <w:t>）有机物运输车辆车况良好，密闭、无滴漏。外观干净整洁、标识清晰。</w:t>
      </w:r>
    </w:p>
    <w:p>
      <w:pPr>
        <w:pStyle w:val="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460" w:lineRule="exact"/>
        <w:ind w:firstLine="360" w:firstLineChars="150"/>
        <w:jc w:val="both"/>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w:t>
      </w:r>
      <w:r>
        <w:rPr>
          <w:rFonts w:hint="eastAsia" w:ascii="宋体" w:hAnsi="宋体" w:cs="宋体"/>
          <w:color w:val="000000"/>
          <w:sz w:val="24"/>
          <w:szCs w:val="24"/>
          <w:highlight w:val="none"/>
          <w:lang w:val="en-US" w:eastAsia="zh-CN"/>
        </w:rPr>
        <w:t>15</w:t>
      </w:r>
      <w:r>
        <w:rPr>
          <w:rFonts w:hint="eastAsia" w:ascii="宋体" w:hAnsi="宋体" w:eastAsia="宋体" w:cs="宋体"/>
          <w:color w:val="000000"/>
          <w:sz w:val="24"/>
          <w:szCs w:val="24"/>
          <w:highlight w:val="none"/>
          <w:lang w:val="en-US" w:eastAsia="zh-CN"/>
        </w:rPr>
        <w:t>）有机物必须统一运到指定地点，不得偷倒、乱倒、乱排放。运输作业结束后，及时清洗车辆和辅助设施，不得留有污迹。</w:t>
      </w:r>
    </w:p>
    <w:p>
      <w:pPr>
        <w:pStyle w:val="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460" w:lineRule="exact"/>
        <w:ind w:firstLine="360" w:firstLineChars="150"/>
        <w:jc w:val="both"/>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w:t>
      </w:r>
      <w:r>
        <w:rPr>
          <w:rFonts w:hint="eastAsia" w:ascii="宋体" w:hAnsi="宋体" w:cs="宋体"/>
          <w:color w:val="000000"/>
          <w:sz w:val="24"/>
          <w:szCs w:val="24"/>
          <w:highlight w:val="none"/>
          <w:lang w:val="en-US" w:eastAsia="zh-CN"/>
        </w:rPr>
        <w:t>16</w:t>
      </w:r>
      <w:r>
        <w:rPr>
          <w:rFonts w:hint="eastAsia" w:ascii="宋体" w:hAnsi="宋体" w:eastAsia="宋体" w:cs="宋体"/>
          <w:color w:val="000000"/>
          <w:sz w:val="24"/>
          <w:szCs w:val="24"/>
          <w:highlight w:val="none"/>
          <w:lang w:val="en-US" w:eastAsia="zh-CN"/>
        </w:rPr>
        <w:t>）严格按规定程序处置有机物，保证设施设备正常运行使用。</w:t>
      </w:r>
    </w:p>
    <w:p>
      <w:pPr>
        <w:pStyle w:val="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460" w:lineRule="exact"/>
        <w:ind w:firstLine="482" w:firstLineChars="200"/>
        <w:jc w:val="both"/>
        <w:textAlignment w:val="auto"/>
        <w:rPr>
          <w:rStyle w:val="10"/>
          <w:rFonts w:hint="eastAsia" w:ascii="宋体" w:hAnsi="宋体" w:eastAsia="宋体" w:cs="宋体"/>
          <w:color w:val="000000"/>
          <w:sz w:val="24"/>
          <w:szCs w:val="24"/>
          <w:highlight w:val="none"/>
        </w:rPr>
      </w:pPr>
      <w:r>
        <w:rPr>
          <w:rStyle w:val="10"/>
          <w:rFonts w:hint="eastAsia" w:ascii="宋体" w:hAnsi="宋体" w:cs="宋体"/>
          <w:color w:val="000000"/>
          <w:sz w:val="24"/>
          <w:szCs w:val="24"/>
          <w:highlight w:val="none"/>
          <w:lang w:val="en-US" w:eastAsia="zh-CN"/>
        </w:rPr>
        <w:t>5、</w:t>
      </w:r>
      <w:r>
        <w:rPr>
          <w:rStyle w:val="10"/>
          <w:rFonts w:hint="eastAsia" w:ascii="宋体" w:hAnsi="宋体" w:eastAsia="宋体" w:cs="宋体"/>
          <w:color w:val="000000"/>
          <w:sz w:val="24"/>
          <w:szCs w:val="24"/>
          <w:highlight w:val="none"/>
          <w:lang w:val="en-US" w:eastAsia="zh-CN"/>
        </w:rPr>
        <w:t>宁化县</w:t>
      </w:r>
      <w:r>
        <w:rPr>
          <w:rStyle w:val="10"/>
          <w:rFonts w:hint="eastAsia" w:ascii="宋体" w:hAnsi="宋体" w:eastAsia="宋体" w:cs="宋体"/>
          <w:color w:val="000000"/>
          <w:sz w:val="24"/>
          <w:szCs w:val="24"/>
          <w:highlight w:val="none"/>
        </w:rPr>
        <w:t>城区</w:t>
      </w:r>
      <w:r>
        <w:rPr>
          <w:rStyle w:val="10"/>
          <w:rFonts w:hint="eastAsia" w:ascii="宋体" w:hAnsi="宋体" w:eastAsia="宋体" w:cs="宋体"/>
          <w:color w:val="000000"/>
          <w:sz w:val="24"/>
          <w:szCs w:val="24"/>
          <w:highlight w:val="none"/>
          <w:lang w:val="en-US" w:eastAsia="zh-CN"/>
        </w:rPr>
        <w:t>河道保洁</w:t>
      </w:r>
      <w:r>
        <w:rPr>
          <w:rStyle w:val="10"/>
          <w:rFonts w:hint="eastAsia" w:ascii="宋体" w:hAnsi="宋体" w:eastAsia="宋体" w:cs="宋体"/>
          <w:color w:val="000000"/>
          <w:sz w:val="24"/>
          <w:szCs w:val="24"/>
          <w:highlight w:val="none"/>
        </w:rPr>
        <w:t>项目</w:t>
      </w:r>
    </w:p>
    <w:p>
      <w:pPr>
        <w:pStyle w:val="6"/>
        <w:keepNext w:val="0"/>
        <w:keepLines w:val="0"/>
        <w:pageBreakBefore w:val="0"/>
        <w:widowControl/>
        <w:numPr>
          <w:ilvl w:val="0"/>
          <w:numId w:val="0"/>
        </w:numPr>
        <w:suppressLineNumbers w:val="0"/>
        <w:kinsoku/>
        <w:wordWrap/>
        <w:overflowPunct/>
        <w:topLinePunct w:val="0"/>
        <w:autoSpaceDE/>
        <w:autoSpaceDN/>
        <w:bidi w:val="0"/>
        <w:adjustRightInd/>
        <w:snapToGrid/>
        <w:spacing w:before="100" w:beforeAutospacing="1" w:after="100" w:afterAutospacing="1" w:line="460" w:lineRule="exact"/>
        <w:ind w:right="0" w:rightChars="0" w:firstLine="482" w:firstLineChars="200"/>
        <w:jc w:val="both"/>
        <w:textAlignment w:val="auto"/>
        <w:rPr>
          <w:rFonts w:hint="eastAsia" w:ascii="宋体" w:hAnsi="宋体" w:eastAsia="宋体" w:cs="宋体"/>
          <w:color w:val="000000"/>
          <w:sz w:val="24"/>
          <w:szCs w:val="24"/>
          <w:highlight w:val="none"/>
          <w:lang w:val="en-US" w:eastAsia="zh-CN"/>
        </w:rPr>
      </w:pPr>
      <w:r>
        <w:rPr>
          <w:rStyle w:val="10"/>
          <w:rFonts w:hint="eastAsia" w:ascii="宋体" w:hAnsi="宋体" w:cs="宋体"/>
          <w:color w:val="000000"/>
          <w:sz w:val="24"/>
          <w:szCs w:val="24"/>
          <w:highlight w:val="none"/>
          <w:lang w:val="en-US" w:eastAsia="zh-CN"/>
        </w:rPr>
        <w:t>5.1</w:t>
      </w:r>
      <w:r>
        <w:rPr>
          <w:rStyle w:val="10"/>
          <w:rFonts w:hint="eastAsia" w:ascii="宋体" w:hAnsi="宋体" w:eastAsia="宋体" w:cs="宋体"/>
          <w:color w:val="000000"/>
          <w:sz w:val="24"/>
          <w:szCs w:val="24"/>
          <w:highlight w:val="none"/>
          <w:lang w:val="en-US" w:eastAsia="zh-CN"/>
        </w:rPr>
        <w:t>保洁作业范围：</w:t>
      </w:r>
      <w:r>
        <w:rPr>
          <w:rFonts w:hint="eastAsia" w:ascii="宋体" w:hAnsi="宋体" w:eastAsia="宋体" w:cs="宋体"/>
          <w:color w:val="000000"/>
          <w:sz w:val="24"/>
          <w:szCs w:val="24"/>
          <w:highlight w:val="none"/>
          <w:lang w:val="en-US" w:eastAsia="zh-CN"/>
        </w:rPr>
        <w:t>主要包括西溪河客属橡皮坝至西门桥、小溪河东门桥至国道356线早禾排涵洞。</w:t>
      </w:r>
    </w:p>
    <w:p>
      <w:pPr>
        <w:pStyle w:val="6"/>
        <w:keepNext w:val="0"/>
        <w:keepLines w:val="0"/>
        <w:pageBreakBefore w:val="0"/>
        <w:widowControl/>
        <w:numPr>
          <w:ilvl w:val="0"/>
          <w:numId w:val="0"/>
        </w:numPr>
        <w:suppressLineNumbers w:val="0"/>
        <w:kinsoku/>
        <w:wordWrap/>
        <w:overflowPunct/>
        <w:topLinePunct w:val="0"/>
        <w:autoSpaceDE/>
        <w:autoSpaceDN/>
        <w:bidi w:val="0"/>
        <w:adjustRightInd/>
        <w:snapToGrid/>
        <w:spacing w:before="100" w:beforeAutospacing="1" w:after="100" w:afterAutospacing="1" w:line="460" w:lineRule="exact"/>
        <w:ind w:right="0" w:rightChars="0" w:firstLine="480" w:firstLineChars="200"/>
        <w:jc w:val="both"/>
        <w:textAlignment w:val="auto"/>
        <w:rPr>
          <w:rFonts w:hint="eastAsia" w:ascii="宋体" w:hAnsi="宋体" w:eastAsia="宋体" w:cs="宋体"/>
          <w:color w:val="000000"/>
          <w:sz w:val="24"/>
          <w:szCs w:val="24"/>
          <w:highlight w:val="none"/>
          <w:lang w:val="en-US" w:eastAsia="zh-CN"/>
        </w:rPr>
      </w:pPr>
      <w:r>
        <w:rPr>
          <w:rFonts w:hint="eastAsia" w:ascii="宋体" w:hAnsi="宋体" w:cs="宋体"/>
          <w:color w:val="000000"/>
          <w:sz w:val="24"/>
          <w:szCs w:val="24"/>
          <w:highlight w:val="none"/>
          <w:lang w:val="en-US" w:eastAsia="zh-CN"/>
        </w:rPr>
        <w:t>5.2</w:t>
      </w:r>
      <w:r>
        <w:rPr>
          <w:rFonts w:hint="eastAsia" w:ascii="宋体" w:hAnsi="宋体" w:eastAsia="宋体" w:cs="宋体"/>
          <w:b/>
          <w:bCs/>
          <w:color w:val="000000"/>
          <w:sz w:val="24"/>
          <w:szCs w:val="24"/>
          <w:highlight w:val="none"/>
          <w:lang w:val="en-US" w:eastAsia="zh-CN"/>
        </w:rPr>
        <w:t>保洁标准：</w:t>
      </w:r>
      <w:r>
        <w:rPr>
          <w:rFonts w:hint="eastAsia" w:ascii="宋体" w:hAnsi="宋体" w:eastAsia="宋体" w:cs="宋体"/>
          <w:color w:val="000000"/>
          <w:sz w:val="24"/>
          <w:szCs w:val="24"/>
          <w:highlight w:val="none"/>
          <w:lang w:val="en-US" w:eastAsia="zh-CN"/>
        </w:rPr>
        <w:t>按河道水面洁净度要求实行巡回保洁，水面成片漂浮物的滞留时间不超过30分钟，垃圾即时转运。</w:t>
      </w:r>
    </w:p>
    <w:p>
      <w:pPr>
        <w:pStyle w:val="6"/>
        <w:keepNext w:val="0"/>
        <w:keepLines w:val="0"/>
        <w:pageBreakBefore w:val="0"/>
        <w:widowControl/>
        <w:numPr>
          <w:ilvl w:val="0"/>
          <w:numId w:val="0"/>
        </w:numPr>
        <w:suppressLineNumbers w:val="0"/>
        <w:kinsoku/>
        <w:wordWrap/>
        <w:overflowPunct/>
        <w:topLinePunct w:val="0"/>
        <w:autoSpaceDE/>
        <w:autoSpaceDN/>
        <w:bidi w:val="0"/>
        <w:adjustRightInd/>
        <w:snapToGrid/>
        <w:spacing w:before="100" w:beforeAutospacing="1" w:after="100" w:afterAutospacing="1" w:line="460" w:lineRule="exact"/>
        <w:ind w:right="0" w:rightChars="0" w:firstLine="480" w:firstLineChars="200"/>
        <w:jc w:val="both"/>
        <w:textAlignment w:val="auto"/>
        <w:rPr>
          <w:rFonts w:hint="eastAsia" w:ascii="宋体" w:hAnsi="宋体" w:eastAsia="宋体" w:cs="宋体"/>
          <w:color w:val="000000"/>
          <w:sz w:val="24"/>
          <w:szCs w:val="24"/>
          <w:highlight w:val="none"/>
          <w:lang w:val="en-US" w:eastAsia="zh-CN"/>
        </w:rPr>
      </w:pPr>
      <w:r>
        <w:rPr>
          <w:rFonts w:hint="eastAsia" w:ascii="宋体" w:hAnsi="宋体" w:cs="宋体"/>
          <w:color w:val="000000"/>
          <w:sz w:val="24"/>
          <w:szCs w:val="24"/>
          <w:highlight w:val="none"/>
          <w:lang w:val="en-US" w:eastAsia="zh-CN"/>
        </w:rPr>
        <w:t>5.3</w:t>
      </w:r>
      <w:r>
        <w:rPr>
          <w:rFonts w:hint="eastAsia" w:ascii="宋体" w:hAnsi="宋体" w:eastAsia="宋体" w:cs="宋体"/>
          <w:b/>
          <w:bCs/>
          <w:color w:val="000000"/>
          <w:sz w:val="24"/>
          <w:szCs w:val="24"/>
          <w:highlight w:val="none"/>
        </w:rPr>
        <w:t>人员设备配置标准</w:t>
      </w:r>
      <w:r>
        <w:rPr>
          <w:rFonts w:hint="eastAsia" w:ascii="宋体" w:hAnsi="宋体" w:eastAsia="宋体" w:cs="宋体"/>
          <w:b/>
          <w:bCs/>
          <w:color w:val="000000"/>
          <w:sz w:val="24"/>
          <w:szCs w:val="24"/>
          <w:highlight w:val="none"/>
          <w:lang w:eastAsia="zh-CN"/>
        </w:rPr>
        <w:t>：</w:t>
      </w:r>
      <w:r>
        <w:rPr>
          <w:rFonts w:hint="eastAsia" w:ascii="宋体" w:hAnsi="宋体" w:eastAsia="宋体" w:cs="宋体"/>
          <w:color w:val="000000"/>
          <w:sz w:val="24"/>
          <w:szCs w:val="24"/>
          <w:highlight w:val="none"/>
          <w:lang w:val="en-US" w:eastAsia="zh-CN"/>
        </w:rPr>
        <w:t>新增河道保洁船1艘、</w:t>
      </w:r>
      <w:r>
        <w:rPr>
          <w:rFonts w:hint="eastAsia" w:ascii="宋体" w:hAnsi="宋体" w:cs="宋体"/>
          <w:color w:val="000000"/>
          <w:sz w:val="24"/>
          <w:szCs w:val="24"/>
          <w:highlight w:val="none"/>
          <w:lang w:val="en-US" w:eastAsia="zh-CN"/>
        </w:rPr>
        <w:t>人员根据项目需求合理科学配置人员</w:t>
      </w:r>
      <w:r>
        <w:rPr>
          <w:rFonts w:hint="eastAsia" w:ascii="宋体" w:hAnsi="宋体" w:eastAsia="宋体" w:cs="宋体"/>
          <w:color w:val="000000"/>
          <w:sz w:val="24"/>
          <w:szCs w:val="24"/>
          <w:highlight w:val="none"/>
          <w:lang w:val="en-US" w:eastAsia="zh-CN"/>
        </w:rPr>
        <w:t>。</w:t>
      </w:r>
    </w:p>
    <w:p>
      <w:pPr>
        <w:pStyle w:val="6"/>
        <w:keepNext w:val="0"/>
        <w:keepLines w:val="0"/>
        <w:pageBreakBefore w:val="0"/>
        <w:widowControl/>
        <w:numPr>
          <w:ilvl w:val="0"/>
          <w:numId w:val="0"/>
        </w:numPr>
        <w:suppressLineNumbers w:val="0"/>
        <w:kinsoku/>
        <w:wordWrap/>
        <w:overflowPunct/>
        <w:topLinePunct w:val="0"/>
        <w:autoSpaceDE/>
        <w:autoSpaceDN/>
        <w:bidi w:val="0"/>
        <w:adjustRightInd/>
        <w:snapToGrid/>
        <w:spacing w:before="100" w:beforeAutospacing="1" w:after="100" w:afterAutospacing="1" w:line="460" w:lineRule="exact"/>
        <w:ind w:right="0" w:rightChars="0" w:firstLine="480" w:firstLineChars="200"/>
        <w:jc w:val="both"/>
        <w:textAlignment w:val="auto"/>
        <w:rPr>
          <w:rStyle w:val="10"/>
          <w:rFonts w:hint="eastAsia" w:ascii="宋体" w:hAnsi="宋体" w:eastAsia="宋体" w:cs="宋体"/>
          <w:b/>
          <w:color w:val="000000"/>
          <w:sz w:val="24"/>
          <w:szCs w:val="24"/>
          <w:highlight w:val="none"/>
        </w:rPr>
      </w:pPr>
      <w:r>
        <w:rPr>
          <w:rFonts w:hint="eastAsia" w:ascii="宋体" w:hAnsi="宋体" w:cs="宋体"/>
          <w:color w:val="000000"/>
          <w:sz w:val="24"/>
          <w:szCs w:val="24"/>
          <w:highlight w:val="none"/>
          <w:lang w:val="en-US" w:eastAsia="zh-CN"/>
        </w:rPr>
        <w:t>5.4</w:t>
      </w:r>
      <w:r>
        <w:rPr>
          <w:rStyle w:val="10"/>
          <w:rFonts w:hint="eastAsia" w:ascii="宋体" w:hAnsi="宋体" w:eastAsia="宋体" w:cs="宋体"/>
          <w:b/>
          <w:color w:val="000000"/>
          <w:sz w:val="24"/>
          <w:szCs w:val="24"/>
          <w:highlight w:val="none"/>
          <w:lang w:val="en-US" w:eastAsia="zh-CN"/>
        </w:rPr>
        <w:t>河道</w:t>
      </w:r>
      <w:r>
        <w:rPr>
          <w:rStyle w:val="10"/>
          <w:rFonts w:hint="eastAsia" w:ascii="宋体" w:hAnsi="宋体" w:eastAsia="宋体" w:cs="宋体"/>
          <w:b/>
          <w:color w:val="000000"/>
          <w:sz w:val="24"/>
          <w:szCs w:val="24"/>
          <w:highlight w:val="none"/>
        </w:rPr>
        <w:t>保洁作业内容</w:t>
      </w:r>
    </w:p>
    <w:p>
      <w:pPr>
        <w:pStyle w:val="6"/>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60" w:lineRule="exact"/>
        <w:ind w:firstLine="482" w:firstLineChars="200"/>
        <w:jc w:val="both"/>
        <w:textAlignment w:val="auto"/>
        <w:rPr>
          <w:rFonts w:hint="eastAsia" w:ascii="宋体" w:hAnsi="宋体" w:eastAsia="宋体" w:cs="宋体"/>
          <w:b/>
          <w:bCs/>
          <w:color w:val="000000"/>
          <w:sz w:val="24"/>
          <w:szCs w:val="24"/>
          <w:highlight w:val="none"/>
        </w:rPr>
      </w:pPr>
      <w:r>
        <w:rPr>
          <w:rFonts w:hint="eastAsia" w:ascii="宋体" w:hAnsi="宋体" w:cs="宋体"/>
          <w:b/>
          <w:bCs/>
          <w:color w:val="000000"/>
          <w:sz w:val="24"/>
          <w:szCs w:val="24"/>
          <w:highlight w:val="none"/>
          <w:lang w:val="en-US" w:eastAsia="zh-CN"/>
        </w:rPr>
        <w:t>（1）</w:t>
      </w:r>
      <w:r>
        <w:rPr>
          <w:rFonts w:hint="eastAsia" w:ascii="宋体" w:hAnsi="宋体" w:eastAsia="宋体" w:cs="宋体"/>
          <w:b/>
          <w:bCs/>
          <w:color w:val="000000"/>
          <w:sz w:val="24"/>
          <w:szCs w:val="24"/>
          <w:highlight w:val="none"/>
        </w:rPr>
        <w:t>保洁作业时间</w:t>
      </w:r>
    </w:p>
    <w:p>
      <w:pPr>
        <w:pStyle w:val="6"/>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60" w:lineRule="exact"/>
        <w:ind w:firstLine="480" w:firstLineChars="200"/>
        <w:jc w:val="both"/>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上午7：30至11：30，下午14：00至18：00（可根据不同河段的实际情况进行调整）。</w:t>
      </w:r>
    </w:p>
    <w:p>
      <w:pPr>
        <w:pStyle w:val="6"/>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60" w:lineRule="exact"/>
        <w:ind w:firstLine="482" w:firstLineChars="200"/>
        <w:jc w:val="both"/>
        <w:textAlignment w:val="auto"/>
        <w:rPr>
          <w:rFonts w:hint="eastAsia" w:ascii="宋体" w:hAnsi="宋体" w:eastAsia="宋体" w:cs="宋体"/>
          <w:b/>
          <w:bCs/>
          <w:color w:val="000000"/>
          <w:sz w:val="24"/>
          <w:szCs w:val="24"/>
          <w:highlight w:val="none"/>
        </w:rPr>
      </w:pPr>
      <w:r>
        <w:rPr>
          <w:rFonts w:hint="eastAsia" w:ascii="宋体" w:hAnsi="宋体" w:cs="宋体"/>
          <w:b/>
          <w:bCs/>
          <w:color w:val="000000"/>
          <w:sz w:val="24"/>
          <w:szCs w:val="24"/>
          <w:highlight w:val="none"/>
          <w:lang w:val="en-US" w:eastAsia="zh-CN"/>
        </w:rPr>
        <w:t>（2）</w:t>
      </w:r>
      <w:r>
        <w:rPr>
          <w:rFonts w:hint="eastAsia" w:ascii="宋体" w:hAnsi="宋体" w:eastAsia="宋体" w:cs="宋体"/>
          <w:b/>
          <w:bCs/>
          <w:color w:val="000000"/>
          <w:sz w:val="24"/>
          <w:szCs w:val="24"/>
          <w:highlight w:val="none"/>
        </w:rPr>
        <w:t>保洁作业规范</w:t>
      </w:r>
    </w:p>
    <w:p>
      <w:pPr>
        <w:pStyle w:val="6"/>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60" w:lineRule="exact"/>
        <w:ind w:firstLine="480" w:firstLineChars="200"/>
        <w:jc w:val="both"/>
        <w:textAlignment w:val="auto"/>
        <w:rPr>
          <w:rFonts w:hint="eastAsia" w:ascii="宋体" w:hAnsi="宋体" w:eastAsia="宋体" w:cs="宋体"/>
          <w:color w:val="000000"/>
          <w:sz w:val="24"/>
          <w:szCs w:val="24"/>
          <w:highlight w:val="none"/>
          <w:lang w:eastAsia="zh-CN"/>
        </w:rPr>
      </w:pPr>
      <w:r>
        <w:rPr>
          <w:rFonts w:hint="eastAsia" w:ascii="宋体" w:hAnsi="宋体" w:eastAsia="宋体" w:cs="宋体"/>
          <w:color w:val="000000"/>
          <w:sz w:val="24"/>
          <w:szCs w:val="24"/>
          <w:highlight w:val="none"/>
        </w:rPr>
        <w:t>保洁人员统一服装，备齐工具，文明作业，保持船况良好，船容整洁。船只要求做到“三无”，即无积存垃圾、无污迹污水、无杂物堆放。严禁保洁人员迟到、早退、溜岗。管理人员要做到跟班巡查，检查保洁人员着装上岗情况、巡回保洁情况、河面卫生情况等，对发现问题及时整改。</w:t>
      </w:r>
      <w:r>
        <w:rPr>
          <w:rFonts w:hint="eastAsia" w:ascii="宋体" w:hAnsi="宋体" w:cs="宋体"/>
          <w:color w:val="000000"/>
          <w:sz w:val="24"/>
          <w:szCs w:val="24"/>
          <w:highlight w:val="none"/>
          <w:lang w:eastAsia="zh-CN"/>
        </w:rPr>
        <w:t>河道保洁工作必须严格按照有关水上交通作业安全要求。</w:t>
      </w:r>
    </w:p>
    <w:p>
      <w:pPr>
        <w:pStyle w:val="6"/>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60" w:lineRule="exact"/>
        <w:ind w:firstLine="482" w:firstLineChars="200"/>
        <w:jc w:val="both"/>
        <w:textAlignment w:val="auto"/>
        <w:rPr>
          <w:rFonts w:hint="eastAsia" w:ascii="宋体" w:hAnsi="宋体" w:eastAsia="宋体" w:cs="宋体"/>
          <w:b/>
          <w:bCs/>
          <w:color w:val="000000"/>
          <w:sz w:val="24"/>
          <w:szCs w:val="24"/>
          <w:highlight w:val="none"/>
        </w:rPr>
      </w:pPr>
      <w:r>
        <w:rPr>
          <w:rFonts w:hint="eastAsia" w:ascii="宋体" w:hAnsi="宋体" w:cs="宋体"/>
          <w:b/>
          <w:bCs/>
          <w:color w:val="000000"/>
          <w:sz w:val="24"/>
          <w:szCs w:val="24"/>
          <w:highlight w:val="none"/>
          <w:lang w:val="en-US" w:eastAsia="zh-CN"/>
        </w:rPr>
        <w:t>（3）</w:t>
      </w:r>
      <w:r>
        <w:rPr>
          <w:rFonts w:hint="eastAsia" w:ascii="宋体" w:hAnsi="宋体" w:eastAsia="宋体" w:cs="宋体"/>
          <w:b/>
          <w:bCs/>
          <w:color w:val="000000"/>
          <w:sz w:val="24"/>
          <w:szCs w:val="24"/>
          <w:highlight w:val="none"/>
        </w:rPr>
        <w:t>保洁作业要求</w:t>
      </w:r>
    </w:p>
    <w:p>
      <w:pPr>
        <w:pStyle w:val="6"/>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60" w:lineRule="exact"/>
        <w:ind w:firstLine="480" w:firstLineChars="200"/>
        <w:jc w:val="both"/>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①漂浮物定义：包括垃圾、水草（0.2平方以上10平方以下）、绿萍（0.2平方以上）、败叶（0.2平方以上），以及动物尸体、废弃家具、树干（枝）等较大物品。②水面上容许漂浮物存在一定的时间，但不能超过30分钟。③水面无明显沉积物，护坡、滩地、驳岸竖向立面上无杂草、垃圾；④已清捞的漂浮物要及时处理。</w:t>
      </w:r>
    </w:p>
    <w:p>
      <w:pPr>
        <w:pStyle w:val="6"/>
        <w:keepNext w:val="0"/>
        <w:keepLines w:val="0"/>
        <w:pageBreakBefore w:val="0"/>
        <w:widowControl/>
        <w:numPr>
          <w:ilvl w:val="0"/>
          <w:numId w:val="5"/>
        </w:numPr>
        <w:suppressLineNumbers w:val="0"/>
        <w:kinsoku/>
        <w:wordWrap/>
        <w:overflowPunct/>
        <w:topLinePunct w:val="0"/>
        <w:autoSpaceDE/>
        <w:autoSpaceDN/>
        <w:bidi w:val="0"/>
        <w:adjustRightInd/>
        <w:snapToGrid/>
        <w:spacing w:before="100" w:beforeAutospacing="1" w:after="100" w:afterAutospacing="1" w:line="460" w:lineRule="exact"/>
        <w:ind w:firstLine="482" w:firstLineChars="200"/>
        <w:jc w:val="both"/>
        <w:textAlignment w:val="auto"/>
        <w:rPr>
          <w:rStyle w:val="10"/>
          <w:rFonts w:hint="eastAsia" w:ascii="宋体" w:hAnsi="宋体" w:eastAsia="宋体" w:cs="宋体"/>
          <w:color w:val="000000"/>
          <w:sz w:val="24"/>
          <w:szCs w:val="24"/>
          <w:highlight w:val="none"/>
          <w:lang w:val="en-US" w:eastAsia="zh-CN"/>
        </w:rPr>
      </w:pPr>
      <w:r>
        <w:rPr>
          <w:rStyle w:val="10"/>
          <w:rFonts w:hint="eastAsia" w:ascii="宋体" w:hAnsi="宋体" w:eastAsia="宋体" w:cs="宋体"/>
          <w:color w:val="000000"/>
          <w:sz w:val="24"/>
          <w:szCs w:val="24"/>
          <w:highlight w:val="none"/>
          <w:lang w:val="en-US" w:eastAsia="zh-CN"/>
        </w:rPr>
        <w:t>城市立面“牛皮癣”清理、果皮箱清理</w:t>
      </w:r>
    </w:p>
    <w:p>
      <w:pPr>
        <w:pStyle w:val="6"/>
        <w:keepNext w:val="0"/>
        <w:keepLines w:val="0"/>
        <w:pageBreakBefore w:val="0"/>
        <w:widowControl/>
        <w:numPr>
          <w:ilvl w:val="0"/>
          <w:numId w:val="0"/>
        </w:numPr>
        <w:suppressLineNumbers w:val="0"/>
        <w:kinsoku/>
        <w:wordWrap/>
        <w:overflowPunct/>
        <w:topLinePunct w:val="0"/>
        <w:autoSpaceDE/>
        <w:autoSpaceDN/>
        <w:bidi w:val="0"/>
        <w:adjustRightInd/>
        <w:snapToGrid/>
        <w:spacing w:before="100" w:beforeAutospacing="1" w:after="100" w:afterAutospacing="1" w:line="460" w:lineRule="exact"/>
        <w:ind w:leftChars="200" w:firstLine="0" w:firstLineChars="0"/>
        <w:jc w:val="both"/>
        <w:textAlignment w:val="auto"/>
        <w:rPr>
          <w:rStyle w:val="10"/>
          <w:rFonts w:hint="eastAsia" w:ascii="宋体" w:hAnsi="宋体" w:cs="宋体"/>
          <w:b w:val="0"/>
          <w:bCs/>
          <w:color w:val="000000"/>
          <w:sz w:val="24"/>
          <w:szCs w:val="24"/>
          <w:highlight w:val="none"/>
          <w:lang w:val="en-US" w:eastAsia="zh-CN"/>
        </w:rPr>
      </w:pPr>
      <w:r>
        <w:rPr>
          <w:rStyle w:val="10"/>
          <w:rFonts w:hint="eastAsia" w:ascii="宋体" w:hAnsi="宋体" w:cs="宋体"/>
          <w:b w:val="0"/>
          <w:bCs/>
          <w:color w:val="000000"/>
          <w:sz w:val="24"/>
          <w:szCs w:val="24"/>
          <w:highlight w:val="none"/>
          <w:lang w:val="en-US" w:eastAsia="zh-CN"/>
        </w:rPr>
        <w:t>6.1作业范围：本次纳入环卫一体化作业范围内的所有市政道路及公共设施。</w:t>
      </w:r>
    </w:p>
    <w:p>
      <w:pPr>
        <w:pStyle w:val="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460" w:lineRule="exact"/>
        <w:ind w:firstLine="480" w:firstLineChars="200"/>
        <w:jc w:val="both"/>
        <w:textAlignment w:val="auto"/>
        <w:rPr>
          <w:rFonts w:hint="eastAsia" w:ascii="宋体" w:hAnsi="宋体" w:eastAsia="宋体" w:cs="宋体"/>
          <w:color w:val="000000"/>
          <w:sz w:val="24"/>
          <w:szCs w:val="24"/>
          <w:highlight w:val="none"/>
          <w:lang w:val="en-US" w:eastAsia="zh-CN"/>
        </w:rPr>
      </w:pPr>
      <w:r>
        <w:rPr>
          <w:rFonts w:hint="eastAsia" w:ascii="宋体" w:hAnsi="宋体" w:cs="宋体"/>
          <w:color w:val="000000"/>
          <w:sz w:val="24"/>
          <w:szCs w:val="24"/>
          <w:highlight w:val="none"/>
          <w:lang w:val="en-US" w:eastAsia="zh-CN"/>
        </w:rPr>
        <w:t>6.2“</w:t>
      </w:r>
      <w:r>
        <w:rPr>
          <w:rFonts w:hint="eastAsia" w:ascii="宋体" w:hAnsi="宋体" w:eastAsia="宋体" w:cs="宋体"/>
          <w:color w:val="000000"/>
          <w:sz w:val="24"/>
          <w:szCs w:val="24"/>
          <w:highlight w:val="none"/>
          <w:lang w:val="en-US" w:eastAsia="zh-CN"/>
        </w:rPr>
        <w:t>牛皮癣”清理作业质量标准</w:t>
      </w:r>
    </w:p>
    <w:p>
      <w:pPr>
        <w:pStyle w:val="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460" w:lineRule="exact"/>
        <w:ind w:firstLine="360" w:firstLineChars="150"/>
        <w:jc w:val="both"/>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（1）做好责任区内的“牛皮癣”清理工作，实行“三定管理”即定人员、定区域、定责任。</w:t>
      </w:r>
    </w:p>
    <w:p>
      <w:pPr>
        <w:pStyle w:val="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460" w:lineRule="exact"/>
        <w:ind w:firstLine="360" w:firstLineChars="150"/>
        <w:jc w:val="both"/>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（2）每天上午10时前完成“牛皮癣”第一遍清理，10时后全天候进行循环清理。</w:t>
      </w:r>
    </w:p>
    <w:p>
      <w:pPr>
        <w:pStyle w:val="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460" w:lineRule="exact"/>
        <w:ind w:firstLine="360" w:firstLineChars="150"/>
        <w:jc w:val="both"/>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（3）配备相应的管理人员和“牛皮癣”清理专业人员。</w:t>
      </w:r>
    </w:p>
    <w:p>
      <w:pPr>
        <w:pStyle w:val="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460" w:lineRule="exact"/>
        <w:ind w:firstLine="360" w:firstLineChars="150"/>
        <w:jc w:val="both"/>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（4）及时清理“牛皮癣”，滞留时间不得超过12小时。</w:t>
      </w:r>
    </w:p>
    <w:p>
      <w:pPr>
        <w:pStyle w:val="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460" w:lineRule="exact"/>
        <w:ind w:firstLine="360" w:firstLineChars="150"/>
        <w:jc w:val="both"/>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（5）处理非法粘贴广告，按照“一刮、二铲，三粉刷”程序操作，使作业墙达到干净，整洁，清洁后不出现“残贴”。不留粘贴痕迹，尽量不损坏建（构）筑物颜色。</w:t>
      </w:r>
    </w:p>
    <w:p>
      <w:pPr>
        <w:pStyle w:val="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460" w:lineRule="exact"/>
        <w:ind w:firstLine="360" w:firstLineChars="150"/>
        <w:jc w:val="both"/>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（6）及时做好“牛皮癣”清理后地面的清扫工作。</w:t>
      </w:r>
    </w:p>
    <w:p>
      <w:pPr>
        <w:pStyle w:val="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460" w:lineRule="exact"/>
        <w:ind w:firstLine="360" w:firstLineChars="150"/>
        <w:jc w:val="both"/>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（7）处理“牛皮癣”后，不留痕迹，要求做到“色，形，洁、美”的有机结合，达到自然，和谐。</w:t>
      </w:r>
    </w:p>
    <w:p>
      <w:pPr>
        <w:pStyle w:val="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460" w:lineRule="exact"/>
        <w:ind w:firstLine="480" w:firstLineChars="200"/>
        <w:jc w:val="both"/>
        <w:textAlignment w:val="auto"/>
        <w:rPr>
          <w:rFonts w:hint="eastAsia" w:ascii="宋体" w:hAnsi="宋体" w:eastAsia="宋体" w:cs="宋体"/>
          <w:color w:val="000000"/>
          <w:sz w:val="24"/>
          <w:szCs w:val="24"/>
          <w:highlight w:val="none"/>
          <w:lang w:val="en-US" w:eastAsia="zh-CN"/>
        </w:rPr>
      </w:pPr>
      <w:r>
        <w:rPr>
          <w:rStyle w:val="10"/>
          <w:rFonts w:hint="eastAsia" w:ascii="宋体" w:hAnsi="宋体" w:eastAsia="宋体" w:cs="宋体"/>
          <w:b w:val="0"/>
          <w:bCs/>
          <w:color w:val="000000"/>
          <w:sz w:val="24"/>
          <w:szCs w:val="24"/>
          <w:highlight w:val="none"/>
          <w:lang w:val="en-US" w:eastAsia="zh-CN"/>
        </w:rPr>
        <w:t>（8）及时做好作业范围内的所有果皮箱清洗工作。</w:t>
      </w:r>
    </w:p>
    <w:p>
      <w:pPr>
        <w:pStyle w:val="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460" w:lineRule="exact"/>
        <w:ind w:firstLine="361" w:firstLineChars="150"/>
        <w:jc w:val="both"/>
        <w:textAlignment w:val="auto"/>
        <w:rPr>
          <w:rStyle w:val="10"/>
          <w:rFonts w:hint="eastAsia" w:ascii="宋体" w:hAnsi="宋体" w:eastAsia="宋体" w:cs="宋体"/>
          <w:b/>
          <w:bCs w:val="0"/>
          <w:color w:val="000000"/>
          <w:sz w:val="24"/>
          <w:szCs w:val="24"/>
          <w:highlight w:val="none"/>
          <w:lang w:val="en-US" w:eastAsia="zh-CN"/>
        </w:rPr>
      </w:pPr>
      <w:r>
        <w:rPr>
          <w:rStyle w:val="10"/>
          <w:rFonts w:hint="eastAsia" w:ascii="宋体" w:hAnsi="宋体" w:cs="宋体"/>
          <w:b/>
          <w:bCs w:val="0"/>
          <w:color w:val="000000"/>
          <w:sz w:val="24"/>
          <w:szCs w:val="24"/>
          <w:highlight w:val="none"/>
          <w:lang w:val="en-US" w:eastAsia="zh-CN"/>
        </w:rPr>
        <w:t>7、</w:t>
      </w:r>
      <w:r>
        <w:rPr>
          <w:rStyle w:val="10"/>
          <w:rFonts w:hint="eastAsia" w:ascii="宋体" w:hAnsi="宋体" w:eastAsia="宋体" w:cs="宋体"/>
          <w:b/>
          <w:bCs w:val="0"/>
          <w:color w:val="000000"/>
          <w:sz w:val="24"/>
          <w:szCs w:val="24"/>
          <w:highlight w:val="none"/>
          <w:lang w:val="en-US" w:eastAsia="zh-CN"/>
        </w:rPr>
        <w:t>智慧环卫信息化管理平台</w:t>
      </w:r>
    </w:p>
    <w:p>
      <w:pPr>
        <w:pStyle w:val="6"/>
        <w:keepNext w:val="0"/>
        <w:keepLines w:val="0"/>
        <w:pageBreakBefore w:val="0"/>
        <w:widowControl/>
        <w:numPr>
          <w:ilvl w:val="0"/>
          <w:numId w:val="0"/>
        </w:numPr>
        <w:suppressLineNumbers w:val="0"/>
        <w:kinsoku/>
        <w:wordWrap/>
        <w:overflowPunct/>
        <w:topLinePunct w:val="0"/>
        <w:autoSpaceDE/>
        <w:autoSpaceDN/>
        <w:bidi w:val="0"/>
        <w:adjustRightInd/>
        <w:snapToGrid/>
        <w:spacing w:before="100" w:beforeAutospacing="1" w:after="100" w:afterAutospacing="1" w:line="460" w:lineRule="exact"/>
        <w:ind w:right="0" w:rightChars="0" w:firstLine="480" w:firstLineChars="200"/>
        <w:jc w:val="both"/>
        <w:textAlignment w:val="auto"/>
        <w:rPr>
          <w:rStyle w:val="10"/>
          <w:rFonts w:hint="default" w:ascii="宋体" w:hAnsi="宋体" w:eastAsia="宋体" w:cs="宋体"/>
          <w:b w:val="0"/>
          <w:bCs/>
          <w:color w:val="000000"/>
          <w:sz w:val="24"/>
          <w:szCs w:val="24"/>
          <w:highlight w:val="none"/>
          <w:lang w:val="en-US" w:eastAsia="zh-CN"/>
        </w:rPr>
      </w:pPr>
      <w:r>
        <w:rPr>
          <w:rStyle w:val="10"/>
          <w:rFonts w:hint="default" w:ascii="宋体" w:hAnsi="宋体" w:eastAsia="宋体" w:cs="宋体"/>
          <w:b w:val="0"/>
          <w:bCs/>
          <w:color w:val="000000"/>
          <w:sz w:val="24"/>
          <w:szCs w:val="24"/>
          <w:highlight w:val="none"/>
          <w:lang w:val="en-US" w:eastAsia="zh-CN"/>
        </w:rPr>
        <w:t>建立智慧环卫信息化管理平台，实现环卫服务精细化</w:t>
      </w:r>
      <w:r>
        <w:rPr>
          <w:rStyle w:val="10"/>
          <w:rFonts w:hint="eastAsia" w:ascii="宋体" w:hAnsi="宋体" w:cs="宋体"/>
          <w:b w:val="0"/>
          <w:bCs/>
          <w:color w:val="000000"/>
          <w:sz w:val="24"/>
          <w:szCs w:val="24"/>
          <w:highlight w:val="none"/>
          <w:lang w:val="en-US" w:eastAsia="zh-CN"/>
        </w:rPr>
        <w:t>，投标人须按照项目实际情况配备</w:t>
      </w:r>
      <w:r>
        <w:rPr>
          <w:rStyle w:val="10"/>
          <w:rFonts w:hint="default" w:ascii="宋体" w:hAnsi="宋体" w:eastAsia="宋体" w:cs="宋体"/>
          <w:b w:val="0"/>
          <w:bCs/>
          <w:color w:val="000000"/>
          <w:sz w:val="24"/>
          <w:szCs w:val="24"/>
          <w:highlight w:val="none"/>
          <w:lang w:val="en-US" w:eastAsia="zh-CN"/>
        </w:rPr>
        <w:t>智慧环卫设备及系统</w:t>
      </w:r>
      <w:r>
        <w:rPr>
          <w:rStyle w:val="10"/>
          <w:rFonts w:hint="eastAsia" w:ascii="宋体" w:hAnsi="宋体" w:eastAsia="宋体" w:cs="宋体"/>
          <w:b w:val="0"/>
          <w:bCs/>
          <w:color w:val="000000"/>
          <w:sz w:val="24"/>
          <w:szCs w:val="24"/>
          <w:highlight w:val="none"/>
          <w:lang w:val="en-US" w:eastAsia="zh-CN"/>
        </w:rPr>
        <w:t>，具体</w:t>
      </w:r>
      <w:r>
        <w:rPr>
          <w:rStyle w:val="10"/>
          <w:rFonts w:hint="eastAsia" w:ascii="宋体" w:hAnsi="宋体" w:cs="宋体"/>
          <w:b w:val="0"/>
          <w:bCs/>
          <w:color w:val="000000"/>
          <w:sz w:val="24"/>
          <w:szCs w:val="24"/>
          <w:highlight w:val="none"/>
          <w:lang w:val="en-US" w:eastAsia="zh-CN"/>
        </w:rPr>
        <w:t>包</w:t>
      </w:r>
      <w:r>
        <w:rPr>
          <w:rStyle w:val="10"/>
          <w:rFonts w:hint="eastAsia" w:ascii="宋体" w:hAnsi="宋体" w:eastAsia="宋体" w:cs="宋体"/>
          <w:b w:val="0"/>
          <w:bCs/>
          <w:color w:val="000000"/>
          <w:sz w:val="24"/>
          <w:szCs w:val="24"/>
          <w:highlight w:val="none"/>
          <w:lang w:val="en-US" w:eastAsia="zh-CN"/>
        </w:rPr>
        <w:t>含</w:t>
      </w:r>
      <w:r>
        <w:rPr>
          <w:rStyle w:val="10"/>
          <w:rFonts w:hint="eastAsia" w:ascii="宋体" w:hAnsi="宋体" w:cs="宋体"/>
          <w:b w:val="0"/>
          <w:bCs/>
          <w:color w:val="000000"/>
          <w:sz w:val="24"/>
          <w:szCs w:val="24"/>
          <w:highlight w:val="none"/>
          <w:lang w:val="en-US" w:eastAsia="zh-CN"/>
        </w:rPr>
        <w:t>但不限于</w:t>
      </w:r>
      <w:r>
        <w:rPr>
          <w:rStyle w:val="10"/>
          <w:rFonts w:hint="eastAsia" w:ascii="宋体" w:hAnsi="宋体" w:eastAsia="宋体" w:cs="宋体"/>
          <w:b w:val="0"/>
          <w:bCs/>
          <w:color w:val="000000"/>
          <w:sz w:val="24"/>
          <w:szCs w:val="24"/>
          <w:highlight w:val="none"/>
          <w:lang w:val="en-US" w:eastAsia="zh-CN"/>
        </w:rPr>
        <w:t>：</w:t>
      </w:r>
      <w:r>
        <w:rPr>
          <w:rStyle w:val="10"/>
          <w:rFonts w:hint="default" w:ascii="宋体" w:hAnsi="宋体" w:eastAsia="宋体" w:cs="宋体"/>
          <w:b w:val="0"/>
          <w:bCs/>
          <w:color w:val="000000"/>
          <w:sz w:val="24"/>
          <w:szCs w:val="24"/>
          <w:highlight w:val="none"/>
          <w:lang w:val="en-US" w:eastAsia="zh-CN"/>
        </w:rPr>
        <w:t>智慧化设备</w:t>
      </w:r>
      <w:r>
        <w:rPr>
          <w:rStyle w:val="10"/>
          <w:rFonts w:hint="eastAsia" w:ascii="宋体" w:hAnsi="宋体" w:eastAsia="宋体" w:cs="宋体"/>
          <w:b w:val="0"/>
          <w:bCs/>
          <w:color w:val="000000"/>
          <w:sz w:val="24"/>
          <w:szCs w:val="24"/>
          <w:highlight w:val="none"/>
          <w:lang w:val="en-US" w:eastAsia="zh-CN"/>
        </w:rPr>
        <w:t>、智慧化软件、GPS显示屏</w:t>
      </w:r>
      <w:r>
        <w:rPr>
          <w:rStyle w:val="10"/>
          <w:rFonts w:hint="eastAsia" w:ascii="宋体" w:hAnsi="宋体" w:cs="宋体"/>
          <w:b w:val="0"/>
          <w:bCs/>
          <w:color w:val="000000"/>
          <w:sz w:val="24"/>
          <w:szCs w:val="24"/>
          <w:highlight w:val="none"/>
          <w:lang w:val="en-US" w:eastAsia="zh-CN"/>
        </w:rPr>
        <w:t>。</w:t>
      </w:r>
    </w:p>
    <w:p>
      <w:pPr>
        <w:pStyle w:val="6"/>
        <w:keepNext w:val="0"/>
        <w:keepLines w:val="0"/>
        <w:widowControl/>
        <w:suppressLineNumbers w:val="0"/>
        <w:spacing w:before="100" w:beforeAutospacing="1" w:after="100" w:afterAutospacing="1" w:line="345" w:lineRule="atLeast"/>
        <w:jc w:val="left"/>
        <w:rPr>
          <w:rStyle w:val="10"/>
          <w:rFonts w:hint="eastAsia" w:ascii="宋体" w:hAnsi="宋体" w:eastAsia="宋体" w:cs="宋体"/>
          <w:b/>
          <w:bCs w:val="0"/>
          <w:sz w:val="24"/>
          <w:szCs w:val="24"/>
          <w:shd w:val="clear" w:color="auto" w:fill="auto"/>
        </w:rPr>
      </w:pPr>
      <w:r>
        <w:rPr>
          <w:rStyle w:val="10"/>
          <w:rFonts w:hint="eastAsia" w:ascii="宋体" w:hAnsi="宋体" w:eastAsia="宋体" w:cs="宋体"/>
          <w:b/>
          <w:bCs w:val="0"/>
          <w:sz w:val="24"/>
          <w:szCs w:val="24"/>
          <w:shd w:val="clear" w:color="auto" w:fill="auto"/>
        </w:rPr>
        <w:t>★（</w:t>
      </w:r>
      <w:r>
        <w:rPr>
          <w:rStyle w:val="10"/>
          <w:rFonts w:hint="eastAsia" w:ascii="宋体" w:hAnsi="宋体" w:cs="宋体"/>
          <w:b/>
          <w:bCs w:val="0"/>
          <w:sz w:val="24"/>
          <w:szCs w:val="24"/>
          <w:shd w:val="clear" w:color="auto" w:fill="auto"/>
          <w:lang w:val="en-US" w:eastAsia="zh-CN"/>
        </w:rPr>
        <w:t>五</w:t>
      </w:r>
      <w:r>
        <w:rPr>
          <w:rStyle w:val="10"/>
          <w:rFonts w:hint="eastAsia" w:ascii="宋体" w:hAnsi="宋体" w:eastAsia="宋体" w:cs="宋体"/>
          <w:b/>
          <w:bCs w:val="0"/>
          <w:sz w:val="24"/>
          <w:szCs w:val="24"/>
          <w:shd w:val="clear" w:color="auto" w:fill="auto"/>
        </w:rPr>
        <w:t>）、项目过渡期安排及其他要求：</w:t>
      </w:r>
    </w:p>
    <w:p>
      <w:pPr>
        <w:pStyle w:val="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20" w:lineRule="exact"/>
        <w:ind w:firstLine="482" w:firstLineChars="200"/>
        <w:jc w:val="both"/>
        <w:textAlignment w:val="auto"/>
        <w:rPr>
          <w:rStyle w:val="10"/>
          <w:rFonts w:hint="eastAsia" w:ascii="宋体" w:hAnsi="宋体" w:eastAsia="宋体" w:cs="宋体"/>
          <w:b/>
          <w:bCs w:val="0"/>
          <w:sz w:val="24"/>
          <w:szCs w:val="24"/>
          <w:lang w:val="en-US" w:eastAsia="zh-CN"/>
        </w:rPr>
      </w:pPr>
      <w:r>
        <w:rPr>
          <w:rStyle w:val="10"/>
          <w:rFonts w:hint="eastAsia" w:ascii="宋体" w:hAnsi="宋体" w:eastAsia="宋体" w:cs="宋体"/>
          <w:b/>
          <w:bCs w:val="0"/>
          <w:sz w:val="24"/>
          <w:szCs w:val="24"/>
          <w:lang w:val="en-US" w:eastAsia="zh-CN"/>
        </w:rPr>
        <w:t>1、</w:t>
      </w:r>
      <w:r>
        <w:rPr>
          <w:rStyle w:val="10"/>
          <w:rFonts w:hint="eastAsia" w:ascii="宋体" w:hAnsi="宋体" w:eastAsia="宋体" w:cs="宋体"/>
          <w:b/>
          <w:bCs w:val="0"/>
          <w:sz w:val="24"/>
          <w:szCs w:val="24"/>
        </w:rPr>
        <w:t>项目交接</w:t>
      </w:r>
      <w:r>
        <w:rPr>
          <w:rStyle w:val="10"/>
          <w:rFonts w:hint="eastAsia" w:ascii="宋体" w:hAnsi="宋体" w:cs="宋体"/>
          <w:b/>
          <w:bCs w:val="0"/>
          <w:sz w:val="24"/>
          <w:szCs w:val="24"/>
          <w:lang w:eastAsia="zh-CN"/>
        </w:rPr>
        <w:t>事宜</w:t>
      </w:r>
    </w:p>
    <w:p>
      <w:pPr>
        <w:pStyle w:val="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20" w:lineRule="exact"/>
        <w:ind w:firstLine="480" w:firstLineChars="200"/>
        <w:jc w:val="both"/>
        <w:textAlignment w:val="auto"/>
        <w:rPr>
          <w:rStyle w:val="10"/>
          <w:rFonts w:hint="eastAsia" w:ascii="宋体" w:hAnsi="宋体" w:eastAsia="宋体" w:cs="宋体"/>
          <w:b w:val="0"/>
          <w:bCs/>
          <w:sz w:val="24"/>
          <w:szCs w:val="24"/>
        </w:rPr>
      </w:pPr>
      <w:r>
        <w:rPr>
          <w:rStyle w:val="10"/>
          <w:rFonts w:hint="eastAsia" w:ascii="宋体" w:hAnsi="宋体" w:eastAsia="宋体" w:cs="宋体"/>
          <w:b w:val="0"/>
          <w:bCs/>
          <w:sz w:val="24"/>
          <w:szCs w:val="24"/>
        </w:rPr>
        <w:t>由宁化县城区环卫市场化工作领导小组办公室组建项目交接工作组。根据</w:t>
      </w:r>
      <w:r>
        <w:rPr>
          <w:rStyle w:val="10"/>
          <w:rFonts w:hint="eastAsia" w:ascii="宋体" w:hAnsi="宋体" w:cs="宋体"/>
          <w:b w:val="0"/>
          <w:bCs/>
          <w:sz w:val="24"/>
          <w:szCs w:val="24"/>
          <w:lang w:val="en-US" w:eastAsia="zh-CN"/>
        </w:rPr>
        <w:t>中标人提供的《项目过渡交接计划安排与组织实施方案》</w:t>
      </w:r>
      <w:r>
        <w:rPr>
          <w:rStyle w:val="10"/>
          <w:rFonts w:hint="eastAsia" w:ascii="宋体" w:hAnsi="宋体" w:eastAsia="宋体" w:cs="宋体"/>
          <w:b w:val="0"/>
          <w:bCs/>
          <w:sz w:val="24"/>
          <w:szCs w:val="24"/>
        </w:rPr>
        <w:t>的内容与程序</w:t>
      </w:r>
      <w:r>
        <w:rPr>
          <w:rStyle w:val="10"/>
          <w:rFonts w:hint="eastAsia" w:ascii="宋体" w:hAnsi="宋体" w:cs="宋体"/>
          <w:b w:val="0"/>
          <w:bCs/>
          <w:sz w:val="24"/>
          <w:szCs w:val="24"/>
          <w:lang w:eastAsia="zh-CN"/>
        </w:rPr>
        <w:t>，</w:t>
      </w:r>
      <w:r>
        <w:rPr>
          <w:rStyle w:val="10"/>
          <w:rFonts w:hint="eastAsia" w:ascii="宋体" w:hAnsi="宋体" w:cs="宋体"/>
          <w:b w:val="0"/>
          <w:bCs/>
          <w:sz w:val="24"/>
          <w:szCs w:val="24"/>
          <w:lang w:val="en-US" w:eastAsia="zh-CN"/>
        </w:rPr>
        <w:t>完成项目交接</w:t>
      </w:r>
      <w:r>
        <w:rPr>
          <w:rStyle w:val="10"/>
          <w:rFonts w:hint="eastAsia" w:ascii="宋体" w:hAnsi="宋体" w:cs="宋体"/>
          <w:b w:val="0"/>
          <w:bCs/>
          <w:sz w:val="24"/>
          <w:szCs w:val="24"/>
          <w:lang w:eastAsia="zh-CN"/>
        </w:rPr>
        <w:t>。</w:t>
      </w:r>
      <w:r>
        <w:rPr>
          <w:rStyle w:val="10"/>
          <w:rFonts w:hint="eastAsia" w:ascii="宋体" w:hAnsi="宋体" w:cs="宋体"/>
          <w:b w:val="0"/>
          <w:bCs/>
          <w:sz w:val="24"/>
          <w:szCs w:val="24"/>
          <w:lang w:eastAsia="zh-CN"/>
        </w:rPr>
        <w:br w:type="textWrapping"/>
      </w:r>
      <w:r>
        <w:rPr>
          <w:rStyle w:val="10"/>
          <w:rFonts w:hint="eastAsia" w:ascii="宋体" w:hAnsi="宋体" w:cs="宋体"/>
          <w:b w:val="0"/>
          <w:bCs/>
          <w:sz w:val="24"/>
          <w:szCs w:val="24"/>
          <w:lang w:val="en-US" w:eastAsia="zh-CN"/>
        </w:rPr>
        <w:t xml:space="preserve">    </w:t>
      </w:r>
      <w:r>
        <w:rPr>
          <w:rStyle w:val="10"/>
          <w:rFonts w:hint="eastAsia" w:ascii="宋体" w:hAnsi="宋体" w:eastAsia="宋体" w:cs="宋体"/>
          <w:b w:val="0"/>
          <w:bCs/>
          <w:sz w:val="24"/>
          <w:szCs w:val="24"/>
        </w:rPr>
        <w:t>交接内容</w:t>
      </w:r>
      <w:r>
        <w:rPr>
          <w:rStyle w:val="10"/>
          <w:rFonts w:hint="eastAsia" w:ascii="宋体" w:hAnsi="宋体" w:cs="宋体"/>
          <w:b w:val="0"/>
          <w:bCs/>
          <w:sz w:val="24"/>
          <w:szCs w:val="24"/>
          <w:lang w:eastAsia="zh-CN"/>
        </w:rPr>
        <w:t>：</w:t>
      </w:r>
      <w:r>
        <w:rPr>
          <w:rStyle w:val="10"/>
          <w:rFonts w:hint="eastAsia" w:ascii="宋体" w:hAnsi="宋体" w:eastAsia="宋体" w:cs="宋体"/>
          <w:b w:val="0"/>
          <w:bCs/>
          <w:sz w:val="24"/>
          <w:szCs w:val="24"/>
        </w:rPr>
        <w:t>人员交接、资产交接（包括租赁资产及提供中标人无偿使用资产）、资料交接（包括车辆相关证件、设备保修卡、环卫考核相关文件等）、环卫作业区域及服务内容确认等。</w:t>
      </w:r>
    </w:p>
    <w:p>
      <w:pPr>
        <w:pStyle w:val="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20" w:lineRule="exact"/>
        <w:ind w:firstLine="480" w:firstLineChars="200"/>
        <w:jc w:val="both"/>
        <w:textAlignment w:val="auto"/>
        <w:rPr>
          <w:rStyle w:val="10"/>
          <w:rFonts w:hint="eastAsia" w:ascii="宋体" w:hAnsi="宋体" w:eastAsia="宋体" w:cs="宋体"/>
          <w:b w:val="0"/>
          <w:bCs/>
          <w:sz w:val="24"/>
          <w:szCs w:val="24"/>
        </w:rPr>
      </w:pPr>
      <w:r>
        <w:rPr>
          <w:rStyle w:val="10"/>
          <w:rFonts w:hint="eastAsia" w:ascii="宋体" w:hAnsi="宋体" w:eastAsia="宋体" w:cs="宋体"/>
          <w:b w:val="0"/>
          <w:bCs/>
          <w:sz w:val="24"/>
          <w:szCs w:val="24"/>
        </w:rPr>
        <w:t>交接程序。中标人与采购人签订服务合同后，对需要移交的人员、资产、资料、环卫作业区域及服务内容等逐项进行登记造册；现场核对移交的资产、人员、作业区域及服务内容，双方签字确认。</w:t>
      </w:r>
    </w:p>
    <w:p>
      <w:pPr>
        <w:pStyle w:val="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20" w:lineRule="exact"/>
        <w:ind w:firstLine="480" w:firstLineChars="200"/>
        <w:jc w:val="both"/>
        <w:textAlignment w:val="auto"/>
        <w:rPr>
          <w:rFonts w:hint="eastAsia" w:ascii="宋体" w:hAnsi="宋体" w:eastAsia="宋体" w:cs="宋体"/>
          <w:sz w:val="24"/>
          <w:szCs w:val="24"/>
        </w:rPr>
      </w:pPr>
      <w:r>
        <w:rPr>
          <w:rStyle w:val="10"/>
          <w:rFonts w:hint="eastAsia" w:ascii="宋体" w:hAnsi="宋体" w:eastAsia="宋体" w:cs="宋体"/>
          <w:b w:val="0"/>
          <w:bCs/>
          <w:sz w:val="24"/>
          <w:szCs w:val="24"/>
        </w:rPr>
        <w:t>一体化项目作业移交后，所有新增道路必须进行全面的卫生清理并进入正常清扫保洁作业。第一个月必须完成一条城区主街道作为环境卫生样板街；第二个月必须再完成两条城区主街道作为环境卫生样板街</w:t>
      </w:r>
      <w:r>
        <w:rPr>
          <w:rStyle w:val="10"/>
          <w:rFonts w:hint="eastAsia" w:ascii="宋体" w:hAnsi="宋体" w:cs="宋体"/>
          <w:b w:val="0"/>
          <w:bCs/>
          <w:sz w:val="24"/>
          <w:szCs w:val="24"/>
          <w:lang w:eastAsia="zh-CN"/>
        </w:rPr>
        <w:t>；第三个月半年内按照样板街的作业要求推广覆盖城区其他区域主次干道。</w:t>
      </w:r>
    </w:p>
    <w:p>
      <w:pPr>
        <w:pStyle w:val="6"/>
        <w:keepNext w:val="0"/>
        <w:keepLines w:val="0"/>
        <w:pageBreakBefore w:val="0"/>
        <w:widowControl/>
        <w:numPr>
          <w:ilvl w:val="0"/>
          <w:numId w:val="6"/>
        </w:numPr>
        <w:suppressLineNumbers w:val="0"/>
        <w:kinsoku/>
        <w:wordWrap/>
        <w:overflowPunct/>
        <w:topLinePunct w:val="0"/>
        <w:autoSpaceDE/>
        <w:autoSpaceDN/>
        <w:bidi w:val="0"/>
        <w:adjustRightInd/>
        <w:snapToGrid/>
        <w:spacing w:before="100" w:beforeAutospacing="1" w:after="100" w:afterAutospacing="1" w:line="520" w:lineRule="exact"/>
        <w:ind w:right="0" w:rightChars="0" w:firstLine="482" w:firstLineChars="200"/>
        <w:jc w:val="both"/>
        <w:textAlignment w:val="auto"/>
        <w:rPr>
          <w:rStyle w:val="10"/>
          <w:rFonts w:hint="eastAsia" w:ascii="宋体" w:hAnsi="宋体" w:eastAsia="宋体" w:cs="宋体"/>
          <w:sz w:val="24"/>
          <w:szCs w:val="24"/>
        </w:rPr>
      </w:pPr>
      <w:r>
        <w:rPr>
          <w:rStyle w:val="10"/>
          <w:rFonts w:hint="eastAsia" w:ascii="宋体" w:hAnsi="宋体" w:eastAsia="宋体" w:cs="宋体"/>
          <w:b/>
          <w:bCs w:val="0"/>
          <w:sz w:val="24"/>
          <w:szCs w:val="24"/>
          <w:lang w:val="en-US" w:eastAsia="zh-CN"/>
        </w:rPr>
        <w:t>具体</w:t>
      </w:r>
      <w:r>
        <w:rPr>
          <w:rStyle w:val="10"/>
          <w:rFonts w:hint="eastAsia" w:ascii="宋体" w:hAnsi="宋体" w:eastAsia="宋体" w:cs="宋体"/>
          <w:b/>
          <w:bCs w:val="0"/>
          <w:sz w:val="24"/>
          <w:szCs w:val="24"/>
        </w:rPr>
        <w:t>设备过渡方案</w:t>
      </w:r>
      <w:r>
        <w:rPr>
          <w:rStyle w:val="10"/>
          <w:rFonts w:hint="eastAsia" w:ascii="宋体" w:hAnsi="宋体" w:eastAsia="宋体" w:cs="宋体"/>
          <w:sz w:val="24"/>
          <w:szCs w:val="24"/>
        </w:rPr>
        <w:t>：</w:t>
      </w:r>
    </w:p>
    <w:p>
      <w:pPr>
        <w:pStyle w:val="6"/>
        <w:keepNext w:val="0"/>
        <w:keepLines w:val="0"/>
        <w:pageBreakBefore w:val="0"/>
        <w:widowControl/>
        <w:numPr>
          <w:ilvl w:val="0"/>
          <w:numId w:val="7"/>
        </w:numPr>
        <w:suppressLineNumbers w:val="0"/>
        <w:kinsoku/>
        <w:wordWrap/>
        <w:overflowPunct/>
        <w:topLinePunct w:val="0"/>
        <w:autoSpaceDE/>
        <w:autoSpaceDN/>
        <w:bidi w:val="0"/>
        <w:adjustRightInd/>
        <w:snapToGrid/>
        <w:spacing w:before="100" w:beforeAutospacing="1" w:after="100" w:afterAutospacing="1" w:line="520" w:lineRule="exact"/>
        <w:ind w:right="0" w:rightChars="0" w:firstLine="480" w:firstLineChars="200"/>
        <w:jc w:val="both"/>
        <w:textAlignment w:val="auto"/>
        <w:rPr>
          <w:rStyle w:val="10"/>
          <w:rFonts w:hint="eastAsia" w:ascii="宋体" w:hAnsi="宋体" w:eastAsia="宋体" w:cs="宋体"/>
          <w:b w:val="0"/>
          <w:bCs/>
          <w:sz w:val="24"/>
          <w:szCs w:val="24"/>
          <w:lang w:val="en-US" w:eastAsia="zh-CN"/>
        </w:rPr>
      </w:pPr>
      <w:r>
        <w:rPr>
          <w:rStyle w:val="10"/>
          <w:rFonts w:hint="eastAsia" w:ascii="宋体" w:hAnsi="宋体" w:eastAsia="宋体" w:cs="宋体"/>
          <w:b w:val="0"/>
          <w:bCs/>
          <w:sz w:val="24"/>
          <w:szCs w:val="24"/>
        </w:rPr>
        <w:t>环卫站原有的机动车辆、环卫设施等，委托第三方进行评估，采用租赁的方式租赁使用，租赁费用按评估总费用平均从9年服务期中逐年扣除，后续设备使用及维护保养涉及的费用由</w:t>
      </w:r>
      <w:r>
        <w:rPr>
          <w:rStyle w:val="10"/>
          <w:rFonts w:hint="eastAsia" w:ascii="宋体" w:hAnsi="宋体" w:cs="宋体"/>
          <w:b w:val="0"/>
          <w:bCs/>
          <w:sz w:val="24"/>
          <w:szCs w:val="24"/>
          <w:lang w:eastAsia="zh-CN"/>
        </w:rPr>
        <w:t>中标人</w:t>
      </w:r>
      <w:r>
        <w:rPr>
          <w:rStyle w:val="10"/>
          <w:rFonts w:hint="eastAsia" w:ascii="宋体" w:hAnsi="宋体" w:eastAsia="宋体" w:cs="宋体"/>
          <w:b w:val="0"/>
          <w:bCs/>
          <w:sz w:val="24"/>
          <w:szCs w:val="24"/>
        </w:rPr>
        <w:t>自行承担</w:t>
      </w:r>
      <w:r>
        <w:rPr>
          <w:rStyle w:val="10"/>
          <w:rFonts w:hint="eastAsia" w:ascii="宋体" w:hAnsi="宋体" w:cs="宋体"/>
          <w:b w:val="0"/>
          <w:bCs/>
          <w:sz w:val="24"/>
          <w:szCs w:val="24"/>
          <w:lang w:eastAsia="zh-CN"/>
        </w:rPr>
        <w:t>。设备已使用超过9年的，由中标人负责进行维护保养，作为环卫应急作业车辆使用或确实无法使用的按照国有资产管理办法实行报废处置。经统计，现有作业车辆16部，其中因使用年限问题，可租赁中标人使用车辆8部，其他8部车辆建议作为环卫应急车辆使用或报废处置。</w:t>
      </w:r>
    </w:p>
    <w:p>
      <w:pPr>
        <w:pStyle w:val="6"/>
        <w:keepNext w:val="0"/>
        <w:keepLines w:val="0"/>
        <w:widowControl/>
        <w:numPr>
          <w:ilvl w:val="0"/>
          <w:numId w:val="0"/>
        </w:numPr>
        <w:suppressLineNumbers w:val="0"/>
        <w:spacing w:before="100" w:beforeAutospacing="1" w:after="100" w:afterAutospacing="1" w:line="520" w:lineRule="exact"/>
        <w:ind w:leftChars="200" w:right="0" w:rightChars="0" w:firstLine="0" w:firstLineChars="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附表：现有环卫装备汇总表</w:t>
      </w:r>
    </w:p>
    <w:tbl>
      <w:tblPr>
        <w:tblStyle w:val="8"/>
        <w:tblW w:w="895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5"/>
        <w:gridCol w:w="1701"/>
        <w:gridCol w:w="1187"/>
        <w:gridCol w:w="2645"/>
        <w:gridCol w:w="25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5" w:type="dxa"/>
            <w:noWrap w:val="0"/>
            <w:vAlign w:val="center"/>
          </w:tcPr>
          <w:p>
            <w:pPr>
              <w:pStyle w:val="2"/>
              <w:ind w:firstLine="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序号</w:t>
            </w:r>
          </w:p>
        </w:tc>
        <w:tc>
          <w:tcPr>
            <w:tcW w:w="1701" w:type="dxa"/>
            <w:noWrap w:val="0"/>
            <w:vAlign w:val="center"/>
          </w:tcPr>
          <w:p>
            <w:pPr>
              <w:pStyle w:val="2"/>
              <w:ind w:firstLine="0"/>
              <w:jc w:val="center"/>
              <w:rPr>
                <w:rFonts w:hint="eastAsia" w:ascii="宋体" w:hAnsi="宋体" w:eastAsia="宋体" w:cs="宋体"/>
                <w:color w:val="auto"/>
                <w:sz w:val="24"/>
                <w:szCs w:val="24"/>
                <w:highlight w:val="none"/>
              </w:rPr>
            </w:pPr>
            <w:r>
              <w:rPr>
                <w:rFonts w:hint="eastAsia" w:ascii="宋体" w:hAnsi="宋体" w:eastAsia="宋体" w:cs="宋体"/>
                <w:sz w:val="24"/>
                <w:szCs w:val="24"/>
                <w:highlight w:val="none"/>
              </w:rPr>
              <w:t>设备名称</w:t>
            </w:r>
          </w:p>
        </w:tc>
        <w:tc>
          <w:tcPr>
            <w:tcW w:w="1187" w:type="dxa"/>
            <w:noWrap w:val="0"/>
            <w:vAlign w:val="center"/>
          </w:tcPr>
          <w:p>
            <w:pPr>
              <w:pStyle w:val="2"/>
              <w:ind w:firstLine="0"/>
              <w:jc w:val="center"/>
              <w:rPr>
                <w:rFonts w:hint="eastAsia" w:ascii="宋体" w:hAnsi="宋体" w:eastAsia="宋体" w:cs="宋体"/>
                <w:color w:val="auto"/>
                <w:sz w:val="24"/>
                <w:szCs w:val="24"/>
                <w:highlight w:val="none"/>
              </w:rPr>
            </w:pPr>
            <w:r>
              <w:rPr>
                <w:rFonts w:hint="eastAsia" w:ascii="宋体" w:hAnsi="宋体" w:eastAsia="宋体" w:cs="宋体"/>
                <w:sz w:val="24"/>
                <w:szCs w:val="24"/>
                <w:highlight w:val="none"/>
              </w:rPr>
              <w:t>数量（部）</w:t>
            </w:r>
          </w:p>
        </w:tc>
        <w:tc>
          <w:tcPr>
            <w:tcW w:w="2645" w:type="dxa"/>
            <w:noWrap w:val="0"/>
            <w:vAlign w:val="center"/>
          </w:tcPr>
          <w:p>
            <w:pPr>
              <w:pStyle w:val="2"/>
              <w:ind w:firstLine="0"/>
              <w:jc w:val="center"/>
              <w:rPr>
                <w:rFonts w:hint="eastAsia" w:ascii="宋体" w:hAnsi="宋体" w:eastAsia="宋体" w:cs="宋体"/>
                <w:color w:val="auto"/>
                <w:sz w:val="24"/>
                <w:szCs w:val="24"/>
                <w:highlight w:val="none"/>
              </w:rPr>
            </w:pPr>
            <w:r>
              <w:rPr>
                <w:rFonts w:hint="eastAsia" w:ascii="宋体" w:hAnsi="宋体" w:eastAsia="宋体" w:cs="宋体"/>
                <w:sz w:val="24"/>
                <w:szCs w:val="24"/>
                <w:highlight w:val="none"/>
              </w:rPr>
              <w:t>采购年限</w:t>
            </w:r>
          </w:p>
        </w:tc>
        <w:tc>
          <w:tcPr>
            <w:tcW w:w="2524" w:type="dxa"/>
            <w:noWrap w:val="0"/>
            <w:vAlign w:val="center"/>
          </w:tcPr>
          <w:p>
            <w:pPr>
              <w:pStyle w:val="2"/>
              <w:ind w:firstLine="0"/>
              <w:jc w:val="center"/>
              <w:rPr>
                <w:rFonts w:hint="eastAsia" w:ascii="宋体" w:hAnsi="宋体" w:eastAsia="宋体" w:cs="宋体"/>
                <w:color w:val="auto"/>
                <w:sz w:val="24"/>
                <w:szCs w:val="24"/>
                <w:highlight w:val="none"/>
              </w:rPr>
            </w:pPr>
            <w:r>
              <w:rPr>
                <w:rFonts w:hint="eastAsia" w:ascii="宋体" w:hAnsi="宋体" w:eastAsia="宋体" w:cs="宋体"/>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5" w:type="dxa"/>
            <w:noWrap w:val="0"/>
            <w:vAlign w:val="center"/>
          </w:tcPr>
          <w:p>
            <w:pPr>
              <w:pStyle w:val="2"/>
              <w:ind w:firstLine="0"/>
              <w:jc w:val="center"/>
              <w:rPr>
                <w:rFonts w:hint="eastAsia" w:ascii="宋体" w:hAnsi="宋体" w:eastAsia="宋体" w:cs="宋体"/>
                <w:color w:val="auto"/>
                <w:sz w:val="24"/>
                <w:szCs w:val="24"/>
                <w:highlight w:val="none"/>
              </w:rPr>
            </w:pPr>
            <w:r>
              <w:rPr>
                <w:rFonts w:hint="eastAsia" w:ascii="宋体" w:hAnsi="宋体" w:eastAsia="宋体" w:cs="宋体"/>
                <w:sz w:val="24"/>
                <w:szCs w:val="24"/>
                <w:highlight w:val="none"/>
              </w:rPr>
              <w:t>1</w:t>
            </w:r>
          </w:p>
        </w:tc>
        <w:tc>
          <w:tcPr>
            <w:tcW w:w="1701" w:type="dxa"/>
            <w:noWrap w:val="0"/>
            <w:vAlign w:val="center"/>
          </w:tcPr>
          <w:p>
            <w:pPr>
              <w:pStyle w:val="2"/>
              <w:ind w:firstLine="0"/>
              <w:jc w:val="center"/>
              <w:rPr>
                <w:rFonts w:hint="eastAsia" w:ascii="宋体" w:hAnsi="宋体" w:eastAsia="宋体" w:cs="宋体"/>
                <w:color w:val="auto"/>
                <w:sz w:val="24"/>
                <w:szCs w:val="24"/>
                <w:highlight w:val="none"/>
              </w:rPr>
            </w:pPr>
            <w:r>
              <w:rPr>
                <w:rFonts w:hint="eastAsia" w:ascii="宋体" w:hAnsi="宋体" w:eastAsia="宋体" w:cs="宋体"/>
                <w:sz w:val="24"/>
                <w:szCs w:val="24"/>
                <w:highlight w:val="none"/>
              </w:rPr>
              <w:t>高压清洗车</w:t>
            </w:r>
          </w:p>
        </w:tc>
        <w:tc>
          <w:tcPr>
            <w:tcW w:w="1187" w:type="dxa"/>
            <w:noWrap w:val="0"/>
            <w:vAlign w:val="center"/>
          </w:tcPr>
          <w:p>
            <w:pPr>
              <w:pStyle w:val="2"/>
              <w:ind w:firstLine="0"/>
              <w:jc w:val="center"/>
              <w:rPr>
                <w:rFonts w:hint="eastAsia" w:ascii="宋体" w:hAnsi="宋体" w:eastAsia="宋体" w:cs="宋体"/>
                <w:color w:val="auto"/>
                <w:sz w:val="24"/>
                <w:szCs w:val="24"/>
                <w:highlight w:val="none"/>
              </w:rPr>
            </w:pPr>
            <w:r>
              <w:rPr>
                <w:rFonts w:hint="eastAsia" w:ascii="宋体" w:hAnsi="宋体" w:eastAsia="宋体" w:cs="宋体"/>
                <w:sz w:val="24"/>
                <w:szCs w:val="24"/>
                <w:highlight w:val="none"/>
              </w:rPr>
              <w:t>1</w:t>
            </w:r>
          </w:p>
        </w:tc>
        <w:tc>
          <w:tcPr>
            <w:tcW w:w="2645" w:type="dxa"/>
            <w:noWrap w:val="0"/>
            <w:vAlign w:val="center"/>
          </w:tcPr>
          <w:p>
            <w:pPr>
              <w:pStyle w:val="2"/>
              <w:ind w:firstLine="0"/>
              <w:jc w:val="center"/>
              <w:rPr>
                <w:rFonts w:hint="eastAsia" w:ascii="宋体" w:hAnsi="宋体" w:eastAsia="宋体" w:cs="宋体"/>
                <w:color w:val="auto"/>
                <w:sz w:val="24"/>
                <w:szCs w:val="24"/>
                <w:highlight w:val="none"/>
              </w:rPr>
            </w:pPr>
            <w:r>
              <w:rPr>
                <w:rFonts w:hint="eastAsia" w:ascii="宋体" w:hAnsi="宋体" w:eastAsia="宋体" w:cs="宋体"/>
                <w:sz w:val="24"/>
                <w:szCs w:val="24"/>
                <w:highlight w:val="none"/>
              </w:rPr>
              <w:t>2012年</w:t>
            </w:r>
          </w:p>
        </w:tc>
        <w:tc>
          <w:tcPr>
            <w:tcW w:w="2524" w:type="dxa"/>
            <w:noWrap w:val="0"/>
            <w:vAlign w:val="center"/>
          </w:tcPr>
          <w:p>
            <w:pPr>
              <w:pStyle w:val="2"/>
              <w:ind w:firstLine="0"/>
              <w:jc w:val="center"/>
              <w:rPr>
                <w:rFonts w:hint="eastAsia" w:ascii="宋体" w:hAnsi="宋体" w:eastAsia="宋体" w:cs="宋体"/>
                <w:color w:val="auto"/>
                <w:sz w:val="24"/>
                <w:szCs w:val="24"/>
                <w:highlight w:val="none"/>
              </w:rPr>
            </w:pPr>
            <w:r>
              <w:rPr>
                <w:rFonts w:hint="eastAsia" w:ascii="宋体" w:hAnsi="宋体" w:eastAsia="宋体" w:cs="宋体"/>
                <w:sz w:val="24"/>
                <w:szCs w:val="24"/>
                <w:highlight w:val="none"/>
              </w:rPr>
              <w:t>租赁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5" w:type="dxa"/>
            <w:noWrap w:val="0"/>
            <w:vAlign w:val="center"/>
          </w:tcPr>
          <w:p>
            <w:pPr>
              <w:pStyle w:val="2"/>
              <w:ind w:firstLine="0"/>
              <w:jc w:val="center"/>
              <w:rPr>
                <w:rFonts w:hint="eastAsia" w:ascii="宋体" w:hAnsi="宋体" w:eastAsia="宋体" w:cs="宋体"/>
                <w:color w:val="auto"/>
                <w:sz w:val="24"/>
                <w:szCs w:val="24"/>
                <w:highlight w:val="none"/>
              </w:rPr>
            </w:pPr>
            <w:r>
              <w:rPr>
                <w:rFonts w:hint="eastAsia" w:ascii="宋体" w:hAnsi="宋体" w:eastAsia="宋体" w:cs="宋体"/>
                <w:sz w:val="24"/>
                <w:szCs w:val="24"/>
                <w:highlight w:val="none"/>
              </w:rPr>
              <w:t>2</w:t>
            </w:r>
          </w:p>
        </w:tc>
        <w:tc>
          <w:tcPr>
            <w:tcW w:w="1701" w:type="dxa"/>
            <w:noWrap w:val="0"/>
            <w:vAlign w:val="center"/>
          </w:tcPr>
          <w:p>
            <w:pPr>
              <w:pStyle w:val="2"/>
              <w:ind w:firstLine="0"/>
              <w:jc w:val="center"/>
              <w:rPr>
                <w:rFonts w:hint="eastAsia" w:ascii="宋体" w:hAnsi="宋体" w:eastAsia="宋体" w:cs="宋体"/>
                <w:color w:val="auto"/>
                <w:sz w:val="24"/>
                <w:szCs w:val="24"/>
                <w:highlight w:val="none"/>
              </w:rPr>
            </w:pPr>
            <w:r>
              <w:rPr>
                <w:rFonts w:hint="eastAsia" w:ascii="宋体" w:hAnsi="宋体" w:eastAsia="宋体" w:cs="宋体"/>
                <w:sz w:val="24"/>
                <w:szCs w:val="24"/>
                <w:highlight w:val="none"/>
              </w:rPr>
              <w:t>洒水车</w:t>
            </w:r>
          </w:p>
        </w:tc>
        <w:tc>
          <w:tcPr>
            <w:tcW w:w="1187" w:type="dxa"/>
            <w:noWrap w:val="0"/>
            <w:vAlign w:val="center"/>
          </w:tcPr>
          <w:p>
            <w:pPr>
              <w:pStyle w:val="2"/>
              <w:ind w:firstLine="0"/>
              <w:jc w:val="center"/>
              <w:rPr>
                <w:rFonts w:hint="eastAsia" w:ascii="宋体" w:hAnsi="宋体" w:eastAsia="宋体" w:cs="宋体"/>
                <w:color w:val="auto"/>
                <w:sz w:val="24"/>
                <w:szCs w:val="24"/>
                <w:highlight w:val="none"/>
              </w:rPr>
            </w:pPr>
            <w:r>
              <w:rPr>
                <w:rFonts w:hint="eastAsia" w:ascii="宋体" w:hAnsi="宋体" w:eastAsia="宋体" w:cs="宋体"/>
                <w:sz w:val="24"/>
                <w:szCs w:val="24"/>
                <w:highlight w:val="none"/>
              </w:rPr>
              <w:t>1</w:t>
            </w:r>
          </w:p>
        </w:tc>
        <w:tc>
          <w:tcPr>
            <w:tcW w:w="2645" w:type="dxa"/>
            <w:noWrap w:val="0"/>
            <w:vAlign w:val="center"/>
          </w:tcPr>
          <w:p>
            <w:pPr>
              <w:pStyle w:val="2"/>
              <w:ind w:firstLine="0"/>
              <w:jc w:val="center"/>
              <w:rPr>
                <w:rFonts w:hint="eastAsia" w:ascii="宋体" w:hAnsi="宋体" w:eastAsia="宋体" w:cs="宋体"/>
                <w:color w:val="auto"/>
                <w:sz w:val="24"/>
                <w:szCs w:val="24"/>
                <w:highlight w:val="none"/>
              </w:rPr>
            </w:pPr>
            <w:r>
              <w:rPr>
                <w:rFonts w:hint="eastAsia" w:ascii="宋体" w:hAnsi="宋体" w:eastAsia="宋体" w:cs="宋体"/>
                <w:sz w:val="24"/>
                <w:szCs w:val="24"/>
                <w:highlight w:val="none"/>
              </w:rPr>
              <w:t>2008年</w:t>
            </w:r>
          </w:p>
        </w:tc>
        <w:tc>
          <w:tcPr>
            <w:tcW w:w="2524" w:type="dxa"/>
            <w:noWrap w:val="0"/>
            <w:vAlign w:val="center"/>
          </w:tcPr>
          <w:p>
            <w:pPr>
              <w:pStyle w:val="2"/>
              <w:ind w:firstLine="0"/>
              <w:jc w:val="center"/>
              <w:rPr>
                <w:rFonts w:hint="eastAsia" w:ascii="宋体" w:hAnsi="宋体" w:eastAsia="宋体" w:cs="宋体"/>
                <w:color w:val="auto"/>
                <w:sz w:val="24"/>
                <w:szCs w:val="24"/>
                <w:highlight w:val="none"/>
              </w:rPr>
            </w:pPr>
            <w:r>
              <w:rPr>
                <w:rFonts w:hint="eastAsia" w:ascii="宋体" w:hAnsi="宋体" w:eastAsia="宋体" w:cs="宋体"/>
                <w:sz w:val="24"/>
                <w:szCs w:val="24"/>
                <w:highlight w:val="none"/>
              </w:rPr>
              <w:t>应急使用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5" w:type="dxa"/>
            <w:noWrap w:val="0"/>
            <w:vAlign w:val="center"/>
          </w:tcPr>
          <w:p>
            <w:pPr>
              <w:pStyle w:val="2"/>
              <w:ind w:firstLine="0"/>
              <w:jc w:val="center"/>
              <w:rPr>
                <w:rFonts w:hint="eastAsia" w:ascii="宋体" w:hAnsi="宋体" w:eastAsia="宋体" w:cs="宋体"/>
                <w:color w:val="auto"/>
                <w:sz w:val="24"/>
                <w:szCs w:val="24"/>
                <w:highlight w:val="none"/>
              </w:rPr>
            </w:pPr>
            <w:r>
              <w:rPr>
                <w:rFonts w:hint="eastAsia" w:ascii="宋体" w:hAnsi="宋体" w:eastAsia="宋体" w:cs="宋体"/>
                <w:sz w:val="24"/>
                <w:szCs w:val="24"/>
                <w:highlight w:val="none"/>
              </w:rPr>
              <w:t>3</w:t>
            </w:r>
          </w:p>
        </w:tc>
        <w:tc>
          <w:tcPr>
            <w:tcW w:w="1701" w:type="dxa"/>
            <w:noWrap w:val="0"/>
            <w:vAlign w:val="center"/>
          </w:tcPr>
          <w:p>
            <w:pPr>
              <w:pStyle w:val="2"/>
              <w:ind w:firstLine="0"/>
              <w:jc w:val="center"/>
              <w:rPr>
                <w:rFonts w:hint="eastAsia" w:ascii="宋体" w:hAnsi="宋体" w:eastAsia="宋体" w:cs="宋体"/>
                <w:color w:val="auto"/>
                <w:sz w:val="24"/>
                <w:szCs w:val="24"/>
                <w:highlight w:val="none"/>
              </w:rPr>
            </w:pPr>
            <w:r>
              <w:rPr>
                <w:rFonts w:hint="eastAsia" w:ascii="宋体" w:hAnsi="宋体" w:eastAsia="宋体" w:cs="宋体"/>
                <w:sz w:val="24"/>
                <w:szCs w:val="24"/>
                <w:highlight w:val="none"/>
              </w:rPr>
              <w:t>5吨摆臂垃圾车</w:t>
            </w:r>
          </w:p>
        </w:tc>
        <w:tc>
          <w:tcPr>
            <w:tcW w:w="1187" w:type="dxa"/>
            <w:noWrap w:val="0"/>
            <w:vAlign w:val="center"/>
          </w:tcPr>
          <w:p>
            <w:pPr>
              <w:pStyle w:val="2"/>
              <w:ind w:firstLine="0"/>
              <w:jc w:val="center"/>
              <w:rPr>
                <w:rFonts w:hint="eastAsia" w:ascii="宋体" w:hAnsi="宋体" w:eastAsia="宋体" w:cs="宋体"/>
                <w:color w:val="auto"/>
                <w:sz w:val="24"/>
                <w:szCs w:val="24"/>
                <w:highlight w:val="none"/>
              </w:rPr>
            </w:pPr>
            <w:r>
              <w:rPr>
                <w:rFonts w:hint="eastAsia" w:ascii="宋体" w:hAnsi="宋体" w:eastAsia="宋体" w:cs="宋体"/>
                <w:sz w:val="24"/>
                <w:szCs w:val="24"/>
                <w:highlight w:val="none"/>
              </w:rPr>
              <w:t>3</w:t>
            </w:r>
          </w:p>
        </w:tc>
        <w:tc>
          <w:tcPr>
            <w:tcW w:w="2645" w:type="dxa"/>
            <w:noWrap w:val="0"/>
            <w:vAlign w:val="center"/>
          </w:tcPr>
          <w:p>
            <w:pPr>
              <w:pStyle w:val="2"/>
              <w:ind w:firstLine="0"/>
              <w:jc w:val="center"/>
              <w:rPr>
                <w:rFonts w:hint="eastAsia" w:ascii="宋体" w:hAnsi="宋体" w:eastAsia="宋体" w:cs="宋体"/>
                <w:color w:val="auto"/>
                <w:sz w:val="24"/>
                <w:szCs w:val="24"/>
                <w:highlight w:val="none"/>
              </w:rPr>
            </w:pPr>
            <w:r>
              <w:rPr>
                <w:rFonts w:hint="eastAsia" w:ascii="宋体" w:hAnsi="宋体" w:eastAsia="宋体" w:cs="宋体"/>
                <w:sz w:val="24"/>
                <w:szCs w:val="24"/>
                <w:highlight w:val="none"/>
              </w:rPr>
              <w:t>2009年、2010年各1部，2011年1部</w:t>
            </w:r>
          </w:p>
        </w:tc>
        <w:tc>
          <w:tcPr>
            <w:tcW w:w="2524" w:type="dxa"/>
            <w:noWrap w:val="0"/>
            <w:vAlign w:val="center"/>
          </w:tcPr>
          <w:p>
            <w:pPr>
              <w:pStyle w:val="2"/>
              <w:ind w:firstLine="0"/>
              <w:jc w:val="center"/>
              <w:rPr>
                <w:rFonts w:hint="eastAsia" w:ascii="宋体" w:hAnsi="宋体" w:eastAsia="宋体" w:cs="宋体"/>
                <w:color w:val="auto"/>
                <w:sz w:val="24"/>
                <w:szCs w:val="24"/>
                <w:highlight w:val="none"/>
              </w:rPr>
            </w:pPr>
            <w:r>
              <w:rPr>
                <w:rFonts w:hint="eastAsia" w:ascii="宋体" w:hAnsi="宋体" w:eastAsia="宋体" w:cs="宋体"/>
                <w:sz w:val="24"/>
                <w:szCs w:val="24"/>
                <w:highlight w:val="none"/>
              </w:rPr>
              <w:t>1部租赁、2部应急使用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5" w:type="dxa"/>
            <w:noWrap w:val="0"/>
            <w:vAlign w:val="center"/>
          </w:tcPr>
          <w:p>
            <w:pPr>
              <w:pStyle w:val="2"/>
              <w:ind w:firstLine="0"/>
              <w:jc w:val="center"/>
              <w:rPr>
                <w:rFonts w:hint="eastAsia" w:ascii="宋体" w:hAnsi="宋体" w:eastAsia="宋体" w:cs="宋体"/>
                <w:color w:val="auto"/>
                <w:sz w:val="24"/>
                <w:szCs w:val="24"/>
                <w:highlight w:val="none"/>
              </w:rPr>
            </w:pPr>
            <w:r>
              <w:rPr>
                <w:rFonts w:hint="eastAsia" w:ascii="宋体" w:hAnsi="宋体" w:eastAsia="宋体" w:cs="宋体"/>
                <w:sz w:val="24"/>
                <w:szCs w:val="24"/>
                <w:highlight w:val="none"/>
              </w:rPr>
              <w:t>4</w:t>
            </w:r>
          </w:p>
        </w:tc>
        <w:tc>
          <w:tcPr>
            <w:tcW w:w="1701" w:type="dxa"/>
            <w:noWrap w:val="0"/>
            <w:vAlign w:val="center"/>
          </w:tcPr>
          <w:p>
            <w:pPr>
              <w:pStyle w:val="2"/>
              <w:ind w:firstLine="0"/>
              <w:jc w:val="center"/>
              <w:rPr>
                <w:rFonts w:hint="eastAsia" w:ascii="宋体" w:hAnsi="宋体" w:eastAsia="宋体" w:cs="宋体"/>
                <w:color w:val="auto"/>
                <w:sz w:val="24"/>
                <w:szCs w:val="24"/>
                <w:highlight w:val="none"/>
              </w:rPr>
            </w:pPr>
            <w:r>
              <w:rPr>
                <w:rFonts w:hint="eastAsia" w:ascii="宋体" w:hAnsi="宋体" w:eastAsia="宋体" w:cs="宋体"/>
                <w:sz w:val="24"/>
                <w:szCs w:val="24"/>
                <w:highlight w:val="none"/>
              </w:rPr>
              <w:t>8吨清扫车</w:t>
            </w:r>
          </w:p>
        </w:tc>
        <w:tc>
          <w:tcPr>
            <w:tcW w:w="1187" w:type="dxa"/>
            <w:noWrap w:val="0"/>
            <w:vAlign w:val="center"/>
          </w:tcPr>
          <w:p>
            <w:pPr>
              <w:pStyle w:val="2"/>
              <w:ind w:firstLine="0"/>
              <w:jc w:val="center"/>
              <w:rPr>
                <w:rFonts w:hint="eastAsia" w:ascii="宋体" w:hAnsi="宋体" w:eastAsia="宋体" w:cs="宋体"/>
                <w:color w:val="auto"/>
                <w:sz w:val="24"/>
                <w:szCs w:val="24"/>
                <w:highlight w:val="none"/>
              </w:rPr>
            </w:pPr>
            <w:r>
              <w:rPr>
                <w:rFonts w:hint="eastAsia" w:ascii="宋体" w:hAnsi="宋体" w:eastAsia="宋体" w:cs="宋体"/>
                <w:sz w:val="24"/>
                <w:szCs w:val="24"/>
                <w:highlight w:val="none"/>
              </w:rPr>
              <w:t>1</w:t>
            </w:r>
          </w:p>
        </w:tc>
        <w:tc>
          <w:tcPr>
            <w:tcW w:w="2645" w:type="dxa"/>
            <w:noWrap w:val="0"/>
            <w:vAlign w:val="center"/>
          </w:tcPr>
          <w:p>
            <w:pPr>
              <w:pStyle w:val="2"/>
              <w:ind w:firstLine="0"/>
              <w:jc w:val="center"/>
              <w:rPr>
                <w:rFonts w:hint="eastAsia" w:ascii="宋体" w:hAnsi="宋体" w:eastAsia="宋体" w:cs="宋体"/>
                <w:color w:val="auto"/>
                <w:sz w:val="24"/>
                <w:szCs w:val="24"/>
                <w:highlight w:val="none"/>
              </w:rPr>
            </w:pPr>
            <w:r>
              <w:rPr>
                <w:rFonts w:hint="eastAsia" w:ascii="宋体" w:hAnsi="宋体" w:eastAsia="宋体" w:cs="宋体"/>
                <w:sz w:val="24"/>
                <w:szCs w:val="24"/>
                <w:highlight w:val="none"/>
              </w:rPr>
              <w:t>2009年</w:t>
            </w:r>
          </w:p>
        </w:tc>
        <w:tc>
          <w:tcPr>
            <w:tcW w:w="2524" w:type="dxa"/>
            <w:noWrap w:val="0"/>
            <w:vAlign w:val="center"/>
          </w:tcPr>
          <w:p>
            <w:pPr>
              <w:pStyle w:val="2"/>
              <w:ind w:firstLine="0"/>
              <w:jc w:val="center"/>
              <w:rPr>
                <w:rFonts w:hint="eastAsia" w:ascii="宋体" w:hAnsi="宋体" w:eastAsia="宋体" w:cs="宋体"/>
                <w:color w:val="auto"/>
                <w:sz w:val="24"/>
                <w:szCs w:val="24"/>
                <w:highlight w:val="none"/>
              </w:rPr>
            </w:pPr>
            <w:r>
              <w:rPr>
                <w:rFonts w:hint="eastAsia" w:ascii="宋体" w:hAnsi="宋体" w:eastAsia="宋体" w:cs="宋体"/>
                <w:sz w:val="24"/>
                <w:szCs w:val="24"/>
                <w:highlight w:val="none"/>
              </w:rPr>
              <w:t>应急使用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5" w:type="dxa"/>
            <w:noWrap w:val="0"/>
            <w:vAlign w:val="center"/>
          </w:tcPr>
          <w:p>
            <w:pPr>
              <w:pStyle w:val="2"/>
              <w:ind w:firstLine="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5</w:t>
            </w:r>
          </w:p>
        </w:tc>
        <w:tc>
          <w:tcPr>
            <w:tcW w:w="1701" w:type="dxa"/>
            <w:noWrap w:val="0"/>
            <w:vAlign w:val="center"/>
          </w:tcPr>
          <w:p>
            <w:pPr>
              <w:pStyle w:val="2"/>
              <w:ind w:firstLine="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道路养护车</w:t>
            </w:r>
          </w:p>
        </w:tc>
        <w:tc>
          <w:tcPr>
            <w:tcW w:w="1187" w:type="dxa"/>
            <w:noWrap w:val="0"/>
            <w:vAlign w:val="center"/>
          </w:tcPr>
          <w:p>
            <w:pPr>
              <w:pStyle w:val="2"/>
              <w:ind w:firstLine="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w:t>
            </w:r>
          </w:p>
        </w:tc>
        <w:tc>
          <w:tcPr>
            <w:tcW w:w="2645" w:type="dxa"/>
            <w:noWrap w:val="0"/>
            <w:vAlign w:val="center"/>
          </w:tcPr>
          <w:p>
            <w:pPr>
              <w:pStyle w:val="2"/>
              <w:ind w:firstLine="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2014年</w:t>
            </w:r>
          </w:p>
        </w:tc>
        <w:tc>
          <w:tcPr>
            <w:tcW w:w="2524" w:type="dxa"/>
            <w:noWrap w:val="0"/>
            <w:vAlign w:val="center"/>
          </w:tcPr>
          <w:p>
            <w:pPr>
              <w:pStyle w:val="2"/>
              <w:ind w:firstLine="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租赁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5" w:type="dxa"/>
            <w:noWrap w:val="0"/>
            <w:vAlign w:val="center"/>
          </w:tcPr>
          <w:p>
            <w:pPr>
              <w:pStyle w:val="2"/>
              <w:ind w:firstLine="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6</w:t>
            </w:r>
          </w:p>
        </w:tc>
        <w:tc>
          <w:tcPr>
            <w:tcW w:w="1701" w:type="dxa"/>
            <w:noWrap w:val="0"/>
            <w:vAlign w:val="center"/>
          </w:tcPr>
          <w:p>
            <w:pPr>
              <w:pStyle w:val="2"/>
              <w:ind w:firstLine="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桶装垃圾车</w:t>
            </w:r>
          </w:p>
        </w:tc>
        <w:tc>
          <w:tcPr>
            <w:tcW w:w="1187" w:type="dxa"/>
            <w:noWrap w:val="0"/>
            <w:vAlign w:val="center"/>
          </w:tcPr>
          <w:p>
            <w:pPr>
              <w:pStyle w:val="2"/>
              <w:ind w:firstLine="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4</w:t>
            </w:r>
          </w:p>
        </w:tc>
        <w:tc>
          <w:tcPr>
            <w:tcW w:w="2645" w:type="dxa"/>
            <w:noWrap w:val="0"/>
            <w:vAlign w:val="center"/>
          </w:tcPr>
          <w:p>
            <w:pPr>
              <w:pStyle w:val="2"/>
              <w:ind w:firstLine="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2014年、2016年</w:t>
            </w:r>
          </w:p>
        </w:tc>
        <w:tc>
          <w:tcPr>
            <w:tcW w:w="2524" w:type="dxa"/>
            <w:noWrap w:val="0"/>
            <w:vAlign w:val="center"/>
          </w:tcPr>
          <w:p>
            <w:pPr>
              <w:pStyle w:val="2"/>
              <w:ind w:firstLine="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租赁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5" w:type="dxa"/>
            <w:noWrap w:val="0"/>
            <w:vAlign w:val="center"/>
          </w:tcPr>
          <w:p>
            <w:pPr>
              <w:pStyle w:val="2"/>
              <w:ind w:firstLine="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7</w:t>
            </w:r>
          </w:p>
        </w:tc>
        <w:tc>
          <w:tcPr>
            <w:tcW w:w="1701" w:type="dxa"/>
            <w:noWrap w:val="0"/>
            <w:vAlign w:val="center"/>
          </w:tcPr>
          <w:p>
            <w:pPr>
              <w:pStyle w:val="2"/>
              <w:ind w:firstLine="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2吨摆臂垃圾车</w:t>
            </w:r>
          </w:p>
        </w:tc>
        <w:tc>
          <w:tcPr>
            <w:tcW w:w="1187" w:type="dxa"/>
            <w:noWrap w:val="0"/>
            <w:vAlign w:val="center"/>
          </w:tcPr>
          <w:p>
            <w:pPr>
              <w:pStyle w:val="2"/>
              <w:ind w:firstLine="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3</w:t>
            </w:r>
          </w:p>
        </w:tc>
        <w:tc>
          <w:tcPr>
            <w:tcW w:w="2645" w:type="dxa"/>
            <w:noWrap w:val="0"/>
            <w:vAlign w:val="center"/>
          </w:tcPr>
          <w:p>
            <w:pPr>
              <w:pStyle w:val="2"/>
              <w:ind w:firstLine="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2009年1部、2010年1部、2012年12月1部</w:t>
            </w:r>
          </w:p>
        </w:tc>
        <w:tc>
          <w:tcPr>
            <w:tcW w:w="2524" w:type="dxa"/>
            <w:noWrap w:val="0"/>
            <w:vAlign w:val="center"/>
          </w:tcPr>
          <w:p>
            <w:pPr>
              <w:pStyle w:val="2"/>
              <w:ind w:firstLine="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1部租赁、2部应急使用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5" w:type="dxa"/>
            <w:noWrap w:val="0"/>
            <w:vAlign w:val="center"/>
          </w:tcPr>
          <w:p>
            <w:pPr>
              <w:pStyle w:val="2"/>
              <w:ind w:firstLine="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8</w:t>
            </w:r>
          </w:p>
        </w:tc>
        <w:tc>
          <w:tcPr>
            <w:tcW w:w="1701" w:type="dxa"/>
            <w:noWrap w:val="0"/>
            <w:vAlign w:val="center"/>
          </w:tcPr>
          <w:p>
            <w:pPr>
              <w:pStyle w:val="2"/>
              <w:ind w:firstLine="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工具车</w:t>
            </w:r>
          </w:p>
        </w:tc>
        <w:tc>
          <w:tcPr>
            <w:tcW w:w="1187" w:type="dxa"/>
            <w:noWrap w:val="0"/>
            <w:vAlign w:val="center"/>
          </w:tcPr>
          <w:p>
            <w:pPr>
              <w:pStyle w:val="2"/>
              <w:ind w:firstLine="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w:t>
            </w:r>
          </w:p>
        </w:tc>
        <w:tc>
          <w:tcPr>
            <w:tcW w:w="2645" w:type="dxa"/>
            <w:noWrap w:val="0"/>
            <w:vAlign w:val="center"/>
          </w:tcPr>
          <w:p>
            <w:pPr>
              <w:pStyle w:val="2"/>
              <w:ind w:firstLine="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2009年</w:t>
            </w:r>
          </w:p>
        </w:tc>
        <w:tc>
          <w:tcPr>
            <w:tcW w:w="2524" w:type="dxa"/>
            <w:noWrap w:val="0"/>
            <w:vAlign w:val="center"/>
          </w:tcPr>
          <w:p>
            <w:pPr>
              <w:pStyle w:val="2"/>
              <w:ind w:firstLine="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应急使用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5" w:type="dxa"/>
            <w:noWrap w:val="0"/>
            <w:vAlign w:val="center"/>
          </w:tcPr>
          <w:p>
            <w:pPr>
              <w:pStyle w:val="2"/>
              <w:ind w:firstLine="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9</w:t>
            </w:r>
          </w:p>
        </w:tc>
        <w:tc>
          <w:tcPr>
            <w:tcW w:w="1701" w:type="dxa"/>
            <w:noWrap w:val="0"/>
            <w:vAlign w:val="center"/>
          </w:tcPr>
          <w:p>
            <w:pPr>
              <w:pStyle w:val="2"/>
              <w:ind w:firstLine="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吸粪车</w:t>
            </w:r>
          </w:p>
        </w:tc>
        <w:tc>
          <w:tcPr>
            <w:tcW w:w="1187" w:type="dxa"/>
            <w:noWrap w:val="0"/>
            <w:vAlign w:val="center"/>
          </w:tcPr>
          <w:p>
            <w:pPr>
              <w:pStyle w:val="2"/>
              <w:ind w:firstLine="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w:t>
            </w:r>
          </w:p>
        </w:tc>
        <w:tc>
          <w:tcPr>
            <w:tcW w:w="2645" w:type="dxa"/>
            <w:noWrap w:val="0"/>
            <w:vAlign w:val="center"/>
          </w:tcPr>
          <w:p>
            <w:pPr>
              <w:pStyle w:val="2"/>
              <w:ind w:firstLine="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2007年</w:t>
            </w:r>
          </w:p>
        </w:tc>
        <w:tc>
          <w:tcPr>
            <w:tcW w:w="2524" w:type="dxa"/>
            <w:noWrap w:val="0"/>
            <w:vAlign w:val="center"/>
          </w:tcPr>
          <w:p>
            <w:pPr>
              <w:pStyle w:val="2"/>
              <w:ind w:firstLine="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应急使用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5" w:type="dxa"/>
            <w:noWrap w:val="0"/>
            <w:vAlign w:val="center"/>
          </w:tcPr>
          <w:p>
            <w:pPr>
              <w:pStyle w:val="2"/>
              <w:ind w:firstLine="0"/>
              <w:rPr>
                <w:rFonts w:hint="eastAsia" w:ascii="宋体" w:hAnsi="宋体" w:eastAsia="宋体" w:cs="宋体"/>
                <w:sz w:val="24"/>
                <w:szCs w:val="24"/>
                <w:highlight w:val="none"/>
              </w:rPr>
            </w:pPr>
          </w:p>
        </w:tc>
        <w:tc>
          <w:tcPr>
            <w:tcW w:w="1701" w:type="dxa"/>
            <w:noWrap w:val="0"/>
            <w:vAlign w:val="center"/>
          </w:tcPr>
          <w:p>
            <w:pPr>
              <w:pStyle w:val="2"/>
              <w:ind w:firstLine="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合计：</w:t>
            </w:r>
          </w:p>
        </w:tc>
        <w:tc>
          <w:tcPr>
            <w:tcW w:w="1187" w:type="dxa"/>
            <w:noWrap w:val="0"/>
            <w:vAlign w:val="center"/>
          </w:tcPr>
          <w:p>
            <w:pPr>
              <w:pStyle w:val="2"/>
              <w:ind w:firstLine="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16</w:t>
            </w:r>
          </w:p>
        </w:tc>
        <w:tc>
          <w:tcPr>
            <w:tcW w:w="5169" w:type="dxa"/>
            <w:gridSpan w:val="2"/>
            <w:noWrap w:val="0"/>
            <w:vAlign w:val="center"/>
          </w:tcPr>
          <w:p>
            <w:pPr>
              <w:pStyle w:val="2"/>
              <w:ind w:firstLine="0"/>
              <w:rPr>
                <w:rFonts w:hint="eastAsia" w:ascii="宋体" w:hAnsi="宋体" w:eastAsia="宋体" w:cs="宋体"/>
                <w:sz w:val="24"/>
                <w:szCs w:val="24"/>
                <w:highlight w:val="none"/>
              </w:rPr>
            </w:pPr>
            <w:r>
              <w:rPr>
                <w:rFonts w:hint="eastAsia" w:ascii="宋体" w:hAnsi="宋体" w:eastAsia="宋体" w:cs="宋体"/>
                <w:sz w:val="24"/>
                <w:szCs w:val="24"/>
                <w:highlight w:val="none"/>
              </w:rPr>
              <w:t>因使用年限问题，可租赁</w:t>
            </w:r>
            <w:r>
              <w:rPr>
                <w:rFonts w:hint="eastAsia" w:ascii="宋体" w:hAnsi="宋体" w:cs="宋体"/>
                <w:sz w:val="24"/>
                <w:szCs w:val="24"/>
                <w:highlight w:val="none"/>
                <w:lang w:eastAsia="zh-CN"/>
              </w:rPr>
              <w:t>中标人</w:t>
            </w:r>
            <w:r>
              <w:rPr>
                <w:rFonts w:hint="eastAsia" w:ascii="宋体" w:hAnsi="宋体" w:eastAsia="宋体" w:cs="宋体"/>
                <w:sz w:val="24"/>
                <w:szCs w:val="24"/>
                <w:highlight w:val="none"/>
              </w:rPr>
              <w:t>使用车辆8部，其他8部车辆建议作为环卫应急车辆使用。</w:t>
            </w:r>
          </w:p>
        </w:tc>
      </w:tr>
    </w:tbl>
    <w:p>
      <w:pPr>
        <w:pStyle w:val="2"/>
        <w:keepNext w:val="0"/>
        <w:keepLines w:val="0"/>
        <w:pageBreakBefore w:val="0"/>
        <w:widowControl/>
        <w:kinsoku/>
        <w:wordWrap/>
        <w:overflowPunct/>
        <w:topLinePunct w:val="0"/>
        <w:autoSpaceDE/>
        <w:autoSpaceDN/>
        <w:bidi w:val="0"/>
        <w:adjustRightInd w:val="0"/>
        <w:snapToGrid w:val="0"/>
        <w:spacing w:line="560" w:lineRule="exact"/>
        <w:ind w:left="0" w:leftChars="0" w:firstLine="360" w:firstLineChars="150"/>
        <w:jc w:val="both"/>
        <w:textAlignment w:val="baseline"/>
        <w:rPr>
          <w:rFonts w:hint="eastAsia" w:ascii="宋体" w:hAnsi="宋体" w:eastAsia="宋体" w:cs="宋体"/>
          <w:b/>
          <w:bCs/>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sz w:val="24"/>
          <w:szCs w:val="24"/>
          <w:highlight w:val="none"/>
        </w:rPr>
        <w:t>根据保洁作业标准要求，宁化县环卫一体化需配置环卫作业车辆、船只</w:t>
      </w:r>
      <w:r>
        <w:rPr>
          <w:rFonts w:hint="eastAsia" w:ascii="宋体" w:hAnsi="宋体" w:cs="宋体"/>
          <w:sz w:val="24"/>
          <w:szCs w:val="24"/>
          <w:highlight w:val="none"/>
          <w:lang w:val="en-US" w:eastAsia="zh-CN"/>
        </w:rPr>
        <w:t>29</w:t>
      </w:r>
      <w:r>
        <w:rPr>
          <w:rFonts w:hint="eastAsia" w:ascii="宋体" w:hAnsi="宋体" w:eastAsia="宋体" w:cs="宋体"/>
          <w:sz w:val="24"/>
          <w:szCs w:val="24"/>
          <w:highlight w:val="none"/>
        </w:rPr>
        <w:t>部（艘），其中，采用租赁方式租赁给</w:t>
      </w:r>
      <w:r>
        <w:rPr>
          <w:rFonts w:hint="eastAsia" w:ascii="宋体" w:hAnsi="宋体" w:cs="宋体"/>
          <w:sz w:val="24"/>
          <w:szCs w:val="24"/>
          <w:highlight w:val="none"/>
          <w:lang w:eastAsia="zh-CN"/>
        </w:rPr>
        <w:t>中标人</w:t>
      </w:r>
      <w:r>
        <w:rPr>
          <w:rFonts w:hint="eastAsia" w:ascii="宋体" w:hAnsi="宋体" w:eastAsia="宋体" w:cs="宋体"/>
          <w:sz w:val="24"/>
          <w:szCs w:val="24"/>
          <w:highlight w:val="none"/>
        </w:rPr>
        <w:t>的车辆有8辆，需新增环卫机动车辆2</w:t>
      </w:r>
      <w:r>
        <w:rPr>
          <w:rFonts w:hint="eastAsia" w:ascii="宋体" w:hAnsi="宋体" w:cs="宋体"/>
          <w:sz w:val="24"/>
          <w:szCs w:val="24"/>
          <w:highlight w:val="none"/>
          <w:lang w:val="en-US" w:eastAsia="zh-CN"/>
        </w:rPr>
        <w:t>0</w:t>
      </w:r>
      <w:r>
        <w:rPr>
          <w:rFonts w:hint="eastAsia" w:ascii="宋体" w:hAnsi="宋体" w:eastAsia="宋体" w:cs="宋体"/>
          <w:sz w:val="24"/>
          <w:szCs w:val="24"/>
          <w:highlight w:val="none"/>
        </w:rPr>
        <w:t>部、河道保洁船1艘、电动三轮保洁车60部等，需新增的机动车辆及其他环卫设施设备由</w:t>
      </w:r>
      <w:r>
        <w:rPr>
          <w:rFonts w:hint="eastAsia" w:ascii="宋体" w:hAnsi="宋体" w:cs="宋体"/>
          <w:sz w:val="24"/>
          <w:szCs w:val="24"/>
          <w:highlight w:val="none"/>
          <w:lang w:eastAsia="zh-CN"/>
        </w:rPr>
        <w:t>中标人</w:t>
      </w:r>
      <w:r>
        <w:rPr>
          <w:rFonts w:hint="eastAsia" w:ascii="宋体" w:hAnsi="宋体" w:eastAsia="宋体" w:cs="宋体"/>
          <w:sz w:val="24"/>
          <w:szCs w:val="24"/>
          <w:highlight w:val="none"/>
        </w:rPr>
        <w:t>自行负责采购，</w:t>
      </w:r>
      <w:r>
        <w:rPr>
          <w:rFonts w:hint="eastAsia" w:ascii="宋体" w:hAnsi="宋体" w:cs="宋体"/>
          <w:sz w:val="24"/>
          <w:szCs w:val="24"/>
          <w:highlight w:val="none"/>
          <w:lang w:eastAsia="zh-CN"/>
        </w:rPr>
        <w:t>二</w:t>
      </w:r>
      <w:r>
        <w:rPr>
          <w:rFonts w:hint="eastAsia" w:ascii="宋体" w:hAnsi="宋体" w:eastAsia="宋体" w:cs="宋体"/>
          <w:sz w:val="24"/>
          <w:szCs w:val="24"/>
          <w:highlight w:val="none"/>
        </w:rPr>
        <w:t>个月内配置到位，</w:t>
      </w:r>
      <w:r>
        <w:rPr>
          <w:rFonts w:hint="eastAsia" w:ascii="宋体" w:hAnsi="宋体" w:cs="宋体"/>
          <w:sz w:val="24"/>
          <w:szCs w:val="24"/>
          <w:highlight w:val="none"/>
          <w:lang w:eastAsia="zh-CN"/>
        </w:rPr>
        <w:t>第三个月必须投入使用，</w:t>
      </w:r>
      <w:r>
        <w:rPr>
          <w:rFonts w:hint="eastAsia" w:ascii="宋体" w:hAnsi="宋体" w:eastAsia="宋体" w:cs="宋体"/>
          <w:sz w:val="24"/>
          <w:szCs w:val="24"/>
          <w:highlight w:val="none"/>
        </w:rPr>
        <w:t>年度运营费用、车辆与设施折旧费用等纳入招标采购范围，新购车辆不允许企业进行融资等其他商业行为</w:t>
      </w:r>
      <w:r>
        <w:rPr>
          <w:rFonts w:hint="eastAsia" w:ascii="宋体" w:hAnsi="宋体" w:eastAsia="宋体" w:cs="宋体"/>
          <w:color w:val="auto"/>
          <w:sz w:val="24"/>
          <w:szCs w:val="24"/>
          <w:highlight w:val="none"/>
        </w:rPr>
        <w:t>，项目合同期满后，所有装备</w:t>
      </w:r>
      <w:r>
        <w:rPr>
          <w:rFonts w:hint="eastAsia" w:ascii="宋体" w:hAnsi="宋体" w:eastAsia="宋体" w:cs="宋体"/>
          <w:sz w:val="24"/>
          <w:szCs w:val="24"/>
          <w:highlight w:val="none"/>
        </w:rPr>
        <w:t>及其配套的材料及资料应完整</w:t>
      </w:r>
      <w:r>
        <w:rPr>
          <w:rFonts w:hint="eastAsia" w:ascii="宋体" w:hAnsi="宋体" w:eastAsia="宋体" w:cs="宋体"/>
          <w:color w:val="auto"/>
          <w:sz w:val="24"/>
          <w:szCs w:val="24"/>
          <w:highlight w:val="none"/>
        </w:rPr>
        <w:t>无偿移交环卫主管单位，需保证设备正常使用</w:t>
      </w:r>
      <w:r>
        <w:rPr>
          <w:rFonts w:hint="eastAsia" w:ascii="宋体" w:hAnsi="宋体" w:eastAsia="宋体" w:cs="宋体"/>
          <w:sz w:val="24"/>
          <w:szCs w:val="24"/>
          <w:highlight w:val="none"/>
        </w:rPr>
        <w:t>。</w:t>
      </w:r>
    </w:p>
    <w:p>
      <w:pPr>
        <w:pStyle w:val="2"/>
        <w:ind w:firstLine="0"/>
        <w:jc w:val="center"/>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附表：现有环卫装备与实际需求对比分析表</w:t>
      </w:r>
    </w:p>
    <w:tbl>
      <w:tblPr>
        <w:tblStyle w:val="8"/>
        <w:tblW w:w="87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4"/>
        <w:gridCol w:w="1067"/>
        <w:gridCol w:w="1416"/>
        <w:gridCol w:w="839"/>
        <w:gridCol w:w="962"/>
        <w:gridCol w:w="888"/>
        <w:gridCol w:w="28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4" w:type="dxa"/>
            <w:noWrap w:val="0"/>
            <w:vAlign w:val="center"/>
          </w:tcPr>
          <w:p>
            <w:pPr>
              <w:pStyle w:val="2"/>
              <w:ind w:firstLine="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序号</w:t>
            </w:r>
          </w:p>
        </w:tc>
        <w:tc>
          <w:tcPr>
            <w:tcW w:w="1067" w:type="dxa"/>
            <w:noWrap w:val="0"/>
            <w:vAlign w:val="center"/>
          </w:tcPr>
          <w:p>
            <w:pPr>
              <w:pStyle w:val="2"/>
              <w:ind w:firstLine="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项目</w:t>
            </w:r>
          </w:p>
          <w:p>
            <w:pPr>
              <w:pStyle w:val="2"/>
              <w:ind w:firstLine="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类别</w:t>
            </w:r>
          </w:p>
        </w:tc>
        <w:tc>
          <w:tcPr>
            <w:tcW w:w="1416" w:type="dxa"/>
            <w:noWrap w:val="0"/>
            <w:vAlign w:val="center"/>
          </w:tcPr>
          <w:p>
            <w:pPr>
              <w:pStyle w:val="2"/>
              <w:ind w:firstLine="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设备</w:t>
            </w:r>
          </w:p>
          <w:p>
            <w:pPr>
              <w:pStyle w:val="2"/>
              <w:ind w:firstLine="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名称</w:t>
            </w:r>
          </w:p>
        </w:tc>
        <w:tc>
          <w:tcPr>
            <w:tcW w:w="839" w:type="dxa"/>
            <w:noWrap w:val="0"/>
            <w:vAlign w:val="center"/>
          </w:tcPr>
          <w:p>
            <w:pPr>
              <w:pStyle w:val="2"/>
              <w:ind w:firstLine="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需求</w:t>
            </w:r>
          </w:p>
          <w:p>
            <w:pPr>
              <w:pStyle w:val="2"/>
              <w:ind w:firstLine="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数量</w:t>
            </w:r>
          </w:p>
        </w:tc>
        <w:tc>
          <w:tcPr>
            <w:tcW w:w="962" w:type="dxa"/>
            <w:noWrap w:val="0"/>
            <w:vAlign w:val="center"/>
          </w:tcPr>
          <w:p>
            <w:pPr>
              <w:pStyle w:val="2"/>
              <w:ind w:firstLine="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现有</w:t>
            </w:r>
          </w:p>
          <w:p>
            <w:pPr>
              <w:pStyle w:val="2"/>
              <w:ind w:firstLine="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数量</w:t>
            </w:r>
          </w:p>
        </w:tc>
        <w:tc>
          <w:tcPr>
            <w:tcW w:w="888" w:type="dxa"/>
            <w:noWrap w:val="0"/>
            <w:vAlign w:val="center"/>
          </w:tcPr>
          <w:p>
            <w:pPr>
              <w:pStyle w:val="2"/>
              <w:ind w:firstLine="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新增</w:t>
            </w:r>
          </w:p>
          <w:p>
            <w:pPr>
              <w:pStyle w:val="2"/>
              <w:ind w:firstLine="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数量</w:t>
            </w:r>
          </w:p>
        </w:tc>
        <w:tc>
          <w:tcPr>
            <w:tcW w:w="2806" w:type="dxa"/>
            <w:noWrap w:val="0"/>
            <w:vAlign w:val="center"/>
          </w:tcPr>
          <w:p>
            <w:pPr>
              <w:pStyle w:val="2"/>
              <w:ind w:firstLine="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4" w:type="dxa"/>
            <w:vMerge w:val="restart"/>
            <w:noWrap w:val="0"/>
            <w:vAlign w:val="center"/>
          </w:tcPr>
          <w:p>
            <w:pPr>
              <w:pStyle w:val="2"/>
              <w:ind w:firstLine="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w:t>
            </w:r>
          </w:p>
        </w:tc>
        <w:tc>
          <w:tcPr>
            <w:tcW w:w="1067" w:type="dxa"/>
            <w:vMerge w:val="restart"/>
            <w:noWrap w:val="0"/>
            <w:vAlign w:val="center"/>
          </w:tcPr>
          <w:p>
            <w:pPr>
              <w:pStyle w:val="2"/>
              <w:ind w:firstLine="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城区道路清扫保洁</w:t>
            </w:r>
          </w:p>
        </w:tc>
        <w:tc>
          <w:tcPr>
            <w:tcW w:w="1416" w:type="dxa"/>
            <w:noWrap w:val="0"/>
            <w:vAlign w:val="center"/>
          </w:tcPr>
          <w:p>
            <w:pPr>
              <w:pStyle w:val="2"/>
              <w:ind w:firstLine="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高压清洗车</w:t>
            </w:r>
          </w:p>
        </w:tc>
        <w:tc>
          <w:tcPr>
            <w:tcW w:w="839" w:type="dxa"/>
            <w:noWrap w:val="0"/>
            <w:vAlign w:val="center"/>
          </w:tcPr>
          <w:p>
            <w:pPr>
              <w:pStyle w:val="2"/>
              <w:ind w:firstLine="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2</w:t>
            </w:r>
          </w:p>
        </w:tc>
        <w:tc>
          <w:tcPr>
            <w:tcW w:w="962" w:type="dxa"/>
            <w:noWrap w:val="0"/>
            <w:vAlign w:val="center"/>
          </w:tcPr>
          <w:p>
            <w:pPr>
              <w:pStyle w:val="2"/>
              <w:ind w:firstLine="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w:t>
            </w:r>
          </w:p>
        </w:tc>
        <w:tc>
          <w:tcPr>
            <w:tcW w:w="888" w:type="dxa"/>
            <w:noWrap w:val="0"/>
            <w:vAlign w:val="center"/>
          </w:tcPr>
          <w:p>
            <w:pPr>
              <w:pStyle w:val="2"/>
              <w:ind w:firstLine="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w:t>
            </w:r>
          </w:p>
        </w:tc>
        <w:tc>
          <w:tcPr>
            <w:tcW w:w="2806" w:type="dxa"/>
            <w:noWrap w:val="0"/>
            <w:vAlign w:val="center"/>
          </w:tcPr>
          <w:p>
            <w:pPr>
              <w:pStyle w:val="2"/>
              <w:ind w:firstLine="0"/>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现有车辆为2012年购买，可租赁使用。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4" w:type="dxa"/>
            <w:vMerge w:val="continue"/>
            <w:noWrap w:val="0"/>
            <w:vAlign w:val="center"/>
          </w:tcPr>
          <w:p>
            <w:pPr>
              <w:pStyle w:val="2"/>
              <w:ind w:firstLine="0"/>
              <w:jc w:val="center"/>
              <w:rPr>
                <w:rFonts w:hint="eastAsia" w:ascii="宋体" w:hAnsi="宋体" w:eastAsia="宋体" w:cs="宋体"/>
                <w:sz w:val="24"/>
                <w:szCs w:val="24"/>
                <w:highlight w:val="none"/>
              </w:rPr>
            </w:pPr>
          </w:p>
        </w:tc>
        <w:tc>
          <w:tcPr>
            <w:tcW w:w="1067" w:type="dxa"/>
            <w:vMerge w:val="continue"/>
            <w:noWrap w:val="0"/>
            <w:vAlign w:val="center"/>
          </w:tcPr>
          <w:p>
            <w:pPr>
              <w:pStyle w:val="2"/>
              <w:ind w:firstLine="0"/>
              <w:jc w:val="center"/>
              <w:rPr>
                <w:rFonts w:hint="eastAsia" w:ascii="宋体" w:hAnsi="宋体" w:eastAsia="宋体" w:cs="宋体"/>
                <w:sz w:val="24"/>
                <w:szCs w:val="24"/>
                <w:highlight w:val="none"/>
              </w:rPr>
            </w:pPr>
          </w:p>
        </w:tc>
        <w:tc>
          <w:tcPr>
            <w:tcW w:w="1416" w:type="dxa"/>
            <w:noWrap w:val="0"/>
            <w:vAlign w:val="center"/>
          </w:tcPr>
          <w:p>
            <w:pPr>
              <w:pStyle w:val="2"/>
              <w:ind w:firstLine="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洒水车</w:t>
            </w:r>
          </w:p>
        </w:tc>
        <w:tc>
          <w:tcPr>
            <w:tcW w:w="839" w:type="dxa"/>
            <w:noWrap w:val="0"/>
            <w:vAlign w:val="center"/>
          </w:tcPr>
          <w:p>
            <w:pPr>
              <w:pStyle w:val="2"/>
              <w:ind w:firstLine="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2</w:t>
            </w:r>
          </w:p>
        </w:tc>
        <w:tc>
          <w:tcPr>
            <w:tcW w:w="962" w:type="dxa"/>
            <w:noWrap w:val="0"/>
            <w:vAlign w:val="center"/>
          </w:tcPr>
          <w:p>
            <w:pPr>
              <w:pStyle w:val="2"/>
              <w:ind w:firstLine="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0</w:t>
            </w:r>
          </w:p>
        </w:tc>
        <w:tc>
          <w:tcPr>
            <w:tcW w:w="888" w:type="dxa"/>
            <w:noWrap w:val="0"/>
            <w:vAlign w:val="center"/>
          </w:tcPr>
          <w:p>
            <w:pPr>
              <w:pStyle w:val="2"/>
              <w:ind w:firstLine="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2</w:t>
            </w:r>
          </w:p>
        </w:tc>
        <w:tc>
          <w:tcPr>
            <w:tcW w:w="2806" w:type="dxa"/>
            <w:noWrap w:val="0"/>
            <w:vAlign w:val="center"/>
          </w:tcPr>
          <w:p>
            <w:pPr>
              <w:pStyle w:val="2"/>
              <w:ind w:firstLine="0"/>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现有1部水车为2008年采购，已到报废年限无法使用。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4" w:type="dxa"/>
            <w:vMerge w:val="continue"/>
            <w:noWrap w:val="0"/>
            <w:vAlign w:val="center"/>
          </w:tcPr>
          <w:p>
            <w:pPr>
              <w:pStyle w:val="2"/>
              <w:ind w:firstLine="0"/>
              <w:jc w:val="center"/>
              <w:rPr>
                <w:rFonts w:hint="eastAsia" w:ascii="宋体" w:hAnsi="宋体" w:eastAsia="宋体" w:cs="宋体"/>
                <w:sz w:val="24"/>
                <w:szCs w:val="24"/>
                <w:highlight w:val="none"/>
              </w:rPr>
            </w:pPr>
          </w:p>
        </w:tc>
        <w:tc>
          <w:tcPr>
            <w:tcW w:w="1067" w:type="dxa"/>
            <w:vMerge w:val="continue"/>
            <w:noWrap w:val="0"/>
            <w:vAlign w:val="center"/>
          </w:tcPr>
          <w:p>
            <w:pPr>
              <w:pStyle w:val="2"/>
              <w:ind w:firstLine="0"/>
              <w:jc w:val="center"/>
              <w:rPr>
                <w:rFonts w:hint="eastAsia" w:ascii="宋体" w:hAnsi="宋体" w:eastAsia="宋体" w:cs="宋体"/>
                <w:sz w:val="24"/>
                <w:szCs w:val="24"/>
                <w:highlight w:val="none"/>
              </w:rPr>
            </w:pPr>
          </w:p>
        </w:tc>
        <w:tc>
          <w:tcPr>
            <w:tcW w:w="1416" w:type="dxa"/>
            <w:noWrap w:val="0"/>
            <w:vAlign w:val="center"/>
          </w:tcPr>
          <w:p>
            <w:pPr>
              <w:pStyle w:val="2"/>
              <w:ind w:firstLine="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3吨洗扫车</w:t>
            </w:r>
          </w:p>
        </w:tc>
        <w:tc>
          <w:tcPr>
            <w:tcW w:w="839" w:type="dxa"/>
            <w:noWrap w:val="0"/>
            <w:vAlign w:val="center"/>
          </w:tcPr>
          <w:p>
            <w:pPr>
              <w:pStyle w:val="2"/>
              <w:ind w:firstLine="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w:t>
            </w:r>
          </w:p>
        </w:tc>
        <w:tc>
          <w:tcPr>
            <w:tcW w:w="962" w:type="dxa"/>
            <w:noWrap w:val="0"/>
            <w:vAlign w:val="center"/>
          </w:tcPr>
          <w:p>
            <w:pPr>
              <w:pStyle w:val="2"/>
              <w:ind w:firstLine="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0</w:t>
            </w:r>
          </w:p>
        </w:tc>
        <w:tc>
          <w:tcPr>
            <w:tcW w:w="888" w:type="dxa"/>
            <w:noWrap w:val="0"/>
            <w:vAlign w:val="center"/>
          </w:tcPr>
          <w:p>
            <w:pPr>
              <w:pStyle w:val="2"/>
              <w:ind w:firstLine="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w:t>
            </w:r>
          </w:p>
        </w:tc>
        <w:tc>
          <w:tcPr>
            <w:tcW w:w="2806" w:type="dxa"/>
            <w:noWrap w:val="0"/>
            <w:vAlign w:val="center"/>
          </w:tcPr>
          <w:p>
            <w:pPr>
              <w:pStyle w:val="2"/>
              <w:ind w:firstLine="0"/>
              <w:jc w:val="left"/>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4" w:type="dxa"/>
            <w:vMerge w:val="continue"/>
            <w:noWrap w:val="0"/>
            <w:vAlign w:val="center"/>
          </w:tcPr>
          <w:p>
            <w:pPr>
              <w:pStyle w:val="2"/>
              <w:ind w:firstLine="0"/>
              <w:jc w:val="center"/>
              <w:rPr>
                <w:rFonts w:hint="eastAsia" w:ascii="宋体" w:hAnsi="宋体" w:eastAsia="宋体" w:cs="宋体"/>
                <w:sz w:val="24"/>
                <w:szCs w:val="24"/>
                <w:highlight w:val="none"/>
              </w:rPr>
            </w:pPr>
          </w:p>
        </w:tc>
        <w:tc>
          <w:tcPr>
            <w:tcW w:w="1067" w:type="dxa"/>
            <w:vMerge w:val="continue"/>
            <w:noWrap w:val="0"/>
            <w:vAlign w:val="center"/>
          </w:tcPr>
          <w:p>
            <w:pPr>
              <w:pStyle w:val="2"/>
              <w:ind w:firstLine="0"/>
              <w:jc w:val="center"/>
              <w:rPr>
                <w:rFonts w:hint="eastAsia" w:ascii="宋体" w:hAnsi="宋体" w:eastAsia="宋体" w:cs="宋体"/>
                <w:sz w:val="24"/>
                <w:szCs w:val="24"/>
                <w:highlight w:val="none"/>
              </w:rPr>
            </w:pPr>
          </w:p>
        </w:tc>
        <w:tc>
          <w:tcPr>
            <w:tcW w:w="1416" w:type="dxa"/>
            <w:noWrap w:val="0"/>
            <w:vAlign w:val="center"/>
          </w:tcPr>
          <w:p>
            <w:pPr>
              <w:pStyle w:val="2"/>
              <w:ind w:firstLine="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8吨洗扫车</w:t>
            </w:r>
          </w:p>
        </w:tc>
        <w:tc>
          <w:tcPr>
            <w:tcW w:w="839" w:type="dxa"/>
            <w:noWrap w:val="0"/>
            <w:vAlign w:val="center"/>
          </w:tcPr>
          <w:p>
            <w:pPr>
              <w:pStyle w:val="2"/>
              <w:ind w:firstLine="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2</w:t>
            </w:r>
          </w:p>
        </w:tc>
        <w:tc>
          <w:tcPr>
            <w:tcW w:w="962" w:type="dxa"/>
            <w:noWrap w:val="0"/>
            <w:vAlign w:val="center"/>
          </w:tcPr>
          <w:p>
            <w:pPr>
              <w:pStyle w:val="2"/>
              <w:ind w:firstLine="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0</w:t>
            </w:r>
          </w:p>
        </w:tc>
        <w:tc>
          <w:tcPr>
            <w:tcW w:w="888" w:type="dxa"/>
            <w:noWrap w:val="0"/>
            <w:vAlign w:val="center"/>
          </w:tcPr>
          <w:p>
            <w:pPr>
              <w:pStyle w:val="2"/>
              <w:ind w:firstLine="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2</w:t>
            </w:r>
          </w:p>
        </w:tc>
        <w:tc>
          <w:tcPr>
            <w:tcW w:w="2806" w:type="dxa"/>
            <w:noWrap w:val="0"/>
            <w:vAlign w:val="center"/>
          </w:tcPr>
          <w:p>
            <w:pPr>
              <w:pStyle w:val="2"/>
              <w:ind w:firstLine="0"/>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该车型现有1部为2009年采购，已到报废使用年限。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4" w:type="dxa"/>
            <w:vMerge w:val="continue"/>
            <w:noWrap w:val="0"/>
            <w:vAlign w:val="center"/>
          </w:tcPr>
          <w:p>
            <w:pPr>
              <w:pStyle w:val="2"/>
              <w:ind w:firstLine="0"/>
              <w:jc w:val="center"/>
              <w:rPr>
                <w:rFonts w:hint="eastAsia" w:ascii="宋体" w:hAnsi="宋体" w:eastAsia="宋体" w:cs="宋体"/>
                <w:sz w:val="24"/>
                <w:szCs w:val="24"/>
                <w:highlight w:val="none"/>
              </w:rPr>
            </w:pPr>
          </w:p>
        </w:tc>
        <w:tc>
          <w:tcPr>
            <w:tcW w:w="1067" w:type="dxa"/>
            <w:vMerge w:val="continue"/>
            <w:noWrap w:val="0"/>
            <w:vAlign w:val="center"/>
          </w:tcPr>
          <w:p>
            <w:pPr>
              <w:pStyle w:val="2"/>
              <w:ind w:firstLine="0"/>
              <w:jc w:val="center"/>
              <w:rPr>
                <w:rFonts w:hint="eastAsia" w:ascii="宋体" w:hAnsi="宋体" w:eastAsia="宋体" w:cs="宋体"/>
                <w:sz w:val="24"/>
                <w:szCs w:val="24"/>
                <w:highlight w:val="none"/>
              </w:rPr>
            </w:pPr>
          </w:p>
        </w:tc>
        <w:tc>
          <w:tcPr>
            <w:tcW w:w="1416" w:type="dxa"/>
            <w:noWrap w:val="0"/>
            <w:vAlign w:val="center"/>
          </w:tcPr>
          <w:p>
            <w:pPr>
              <w:pStyle w:val="2"/>
              <w:ind w:firstLine="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道路养护车</w:t>
            </w:r>
          </w:p>
        </w:tc>
        <w:tc>
          <w:tcPr>
            <w:tcW w:w="839" w:type="dxa"/>
            <w:noWrap w:val="0"/>
            <w:vAlign w:val="center"/>
          </w:tcPr>
          <w:p>
            <w:pPr>
              <w:pStyle w:val="2"/>
              <w:ind w:firstLine="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2</w:t>
            </w:r>
          </w:p>
        </w:tc>
        <w:tc>
          <w:tcPr>
            <w:tcW w:w="962" w:type="dxa"/>
            <w:noWrap w:val="0"/>
            <w:vAlign w:val="center"/>
          </w:tcPr>
          <w:p>
            <w:pPr>
              <w:pStyle w:val="2"/>
              <w:ind w:firstLine="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w:t>
            </w:r>
          </w:p>
        </w:tc>
        <w:tc>
          <w:tcPr>
            <w:tcW w:w="888" w:type="dxa"/>
            <w:noWrap w:val="0"/>
            <w:vAlign w:val="center"/>
          </w:tcPr>
          <w:p>
            <w:pPr>
              <w:pStyle w:val="2"/>
              <w:ind w:firstLine="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w:t>
            </w:r>
          </w:p>
        </w:tc>
        <w:tc>
          <w:tcPr>
            <w:tcW w:w="2806" w:type="dxa"/>
            <w:noWrap w:val="0"/>
            <w:vAlign w:val="center"/>
          </w:tcPr>
          <w:p>
            <w:pPr>
              <w:pStyle w:val="2"/>
              <w:ind w:firstLine="0"/>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现有1部道路养护车为2014年采购，可租赁使用。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4" w:type="dxa"/>
            <w:vMerge w:val="continue"/>
            <w:noWrap w:val="0"/>
            <w:vAlign w:val="center"/>
          </w:tcPr>
          <w:p>
            <w:pPr>
              <w:pStyle w:val="2"/>
              <w:ind w:firstLine="0"/>
              <w:jc w:val="center"/>
              <w:rPr>
                <w:rFonts w:hint="eastAsia" w:ascii="宋体" w:hAnsi="宋体" w:eastAsia="宋体" w:cs="宋体"/>
                <w:sz w:val="24"/>
                <w:szCs w:val="24"/>
                <w:highlight w:val="none"/>
              </w:rPr>
            </w:pPr>
          </w:p>
        </w:tc>
        <w:tc>
          <w:tcPr>
            <w:tcW w:w="1067" w:type="dxa"/>
            <w:vMerge w:val="continue"/>
            <w:noWrap w:val="0"/>
            <w:vAlign w:val="center"/>
          </w:tcPr>
          <w:p>
            <w:pPr>
              <w:pStyle w:val="2"/>
              <w:ind w:firstLine="0"/>
              <w:jc w:val="center"/>
              <w:rPr>
                <w:rFonts w:hint="eastAsia" w:ascii="宋体" w:hAnsi="宋体" w:eastAsia="宋体" w:cs="宋体"/>
                <w:sz w:val="24"/>
                <w:szCs w:val="24"/>
                <w:highlight w:val="none"/>
              </w:rPr>
            </w:pPr>
          </w:p>
        </w:tc>
        <w:tc>
          <w:tcPr>
            <w:tcW w:w="1416" w:type="dxa"/>
            <w:noWrap w:val="0"/>
            <w:vAlign w:val="center"/>
          </w:tcPr>
          <w:p>
            <w:pPr>
              <w:pStyle w:val="2"/>
              <w:ind w:firstLine="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护栏清洗车</w:t>
            </w:r>
          </w:p>
        </w:tc>
        <w:tc>
          <w:tcPr>
            <w:tcW w:w="839" w:type="dxa"/>
            <w:noWrap w:val="0"/>
            <w:vAlign w:val="center"/>
          </w:tcPr>
          <w:p>
            <w:pPr>
              <w:pStyle w:val="2"/>
              <w:ind w:firstLine="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w:t>
            </w:r>
          </w:p>
        </w:tc>
        <w:tc>
          <w:tcPr>
            <w:tcW w:w="962" w:type="dxa"/>
            <w:noWrap w:val="0"/>
            <w:vAlign w:val="center"/>
          </w:tcPr>
          <w:p>
            <w:pPr>
              <w:pStyle w:val="2"/>
              <w:ind w:firstLine="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0</w:t>
            </w:r>
          </w:p>
        </w:tc>
        <w:tc>
          <w:tcPr>
            <w:tcW w:w="888" w:type="dxa"/>
            <w:noWrap w:val="0"/>
            <w:vAlign w:val="center"/>
          </w:tcPr>
          <w:p>
            <w:pPr>
              <w:pStyle w:val="2"/>
              <w:ind w:firstLine="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w:t>
            </w:r>
          </w:p>
        </w:tc>
        <w:tc>
          <w:tcPr>
            <w:tcW w:w="2806" w:type="dxa"/>
            <w:noWrap w:val="0"/>
            <w:vAlign w:val="center"/>
          </w:tcPr>
          <w:p>
            <w:pPr>
              <w:pStyle w:val="2"/>
              <w:ind w:firstLine="0"/>
              <w:jc w:val="left"/>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4" w:type="dxa"/>
            <w:vMerge w:val="continue"/>
            <w:noWrap w:val="0"/>
            <w:vAlign w:val="center"/>
          </w:tcPr>
          <w:p>
            <w:pPr>
              <w:pStyle w:val="2"/>
              <w:ind w:firstLine="0"/>
              <w:jc w:val="center"/>
              <w:rPr>
                <w:rFonts w:hint="eastAsia" w:ascii="宋体" w:hAnsi="宋体" w:eastAsia="宋体" w:cs="宋体"/>
                <w:sz w:val="24"/>
                <w:szCs w:val="24"/>
                <w:highlight w:val="none"/>
              </w:rPr>
            </w:pPr>
          </w:p>
        </w:tc>
        <w:tc>
          <w:tcPr>
            <w:tcW w:w="1067" w:type="dxa"/>
            <w:vMerge w:val="continue"/>
            <w:noWrap w:val="0"/>
            <w:vAlign w:val="center"/>
          </w:tcPr>
          <w:p>
            <w:pPr>
              <w:pStyle w:val="2"/>
              <w:ind w:firstLine="0"/>
              <w:jc w:val="center"/>
              <w:rPr>
                <w:rFonts w:hint="eastAsia" w:ascii="宋体" w:hAnsi="宋体" w:eastAsia="宋体" w:cs="宋体"/>
                <w:sz w:val="24"/>
                <w:szCs w:val="24"/>
                <w:highlight w:val="none"/>
              </w:rPr>
            </w:pPr>
          </w:p>
        </w:tc>
        <w:tc>
          <w:tcPr>
            <w:tcW w:w="1416" w:type="dxa"/>
            <w:noWrap w:val="0"/>
            <w:vAlign w:val="center"/>
          </w:tcPr>
          <w:p>
            <w:pPr>
              <w:pStyle w:val="2"/>
              <w:ind w:firstLine="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河道保洁船</w:t>
            </w:r>
          </w:p>
        </w:tc>
        <w:tc>
          <w:tcPr>
            <w:tcW w:w="839" w:type="dxa"/>
            <w:noWrap w:val="0"/>
            <w:vAlign w:val="center"/>
          </w:tcPr>
          <w:p>
            <w:pPr>
              <w:pStyle w:val="2"/>
              <w:ind w:firstLine="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w:t>
            </w:r>
          </w:p>
        </w:tc>
        <w:tc>
          <w:tcPr>
            <w:tcW w:w="962" w:type="dxa"/>
            <w:noWrap w:val="0"/>
            <w:vAlign w:val="center"/>
          </w:tcPr>
          <w:p>
            <w:pPr>
              <w:pStyle w:val="2"/>
              <w:ind w:firstLine="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0</w:t>
            </w:r>
          </w:p>
        </w:tc>
        <w:tc>
          <w:tcPr>
            <w:tcW w:w="888" w:type="dxa"/>
            <w:noWrap w:val="0"/>
            <w:vAlign w:val="center"/>
          </w:tcPr>
          <w:p>
            <w:pPr>
              <w:pStyle w:val="2"/>
              <w:ind w:firstLine="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w:t>
            </w:r>
          </w:p>
        </w:tc>
        <w:tc>
          <w:tcPr>
            <w:tcW w:w="2806" w:type="dxa"/>
            <w:noWrap w:val="0"/>
            <w:vAlign w:val="center"/>
          </w:tcPr>
          <w:p>
            <w:pPr>
              <w:pStyle w:val="2"/>
              <w:ind w:firstLine="0"/>
              <w:jc w:val="left"/>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trPr>
        <w:tc>
          <w:tcPr>
            <w:tcW w:w="724" w:type="dxa"/>
            <w:noWrap w:val="0"/>
            <w:vAlign w:val="center"/>
          </w:tcPr>
          <w:p>
            <w:pPr>
              <w:pStyle w:val="2"/>
              <w:ind w:firstLine="0"/>
              <w:jc w:val="center"/>
              <w:rPr>
                <w:rFonts w:hint="eastAsia" w:ascii="宋体" w:hAnsi="宋体" w:eastAsia="宋体" w:cs="宋体"/>
                <w:sz w:val="24"/>
                <w:szCs w:val="24"/>
                <w:highlight w:val="none"/>
              </w:rPr>
            </w:pPr>
          </w:p>
        </w:tc>
        <w:tc>
          <w:tcPr>
            <w:tcW w:w="1067" w:type="dxa"/>
            <w:noWrap w:val="0"/>
            <w:vAlign w:val="center"/>
          </w:tcPr>
          <w:p>
            <w:pPr>
              <w:pStyle w:val="2"/>
              <w:ind w:firstLine="0"/>
              <w:jc w:val="center"/>
              <w:rPr>
                <w:rFonts w:hint="eastAsia" w:ascii="宋体" w:hAnsi="宋体" w:eastAsia="宋体" w:cs="宋体"/>
                <w:sz w:val="24"/>
                <w:szCs w:val="24"/>
                <w:highlight w:val="none"/>
              </w:rPr>
            </w:pPr>
          </w:p>
        </w:tc>
        <w:tc>
          <w:tcPr>
            <w:tcW w:w="1416" w:type="dxa"/>
            <w:noWrap w:val="0"/>
            <w:vAlign w:val="center"/>
          </w:tcPr>
          <w:p>
            <w:pPr>
              <w:pStyle w:val="2"/>
              <w:ind w:firstLine="0"/>
              <w:jc w:val="center"/>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合计：</w:t>
            </w:r>
          </w:p>
        </w:tc>
        <w:tc>
          <w:tcPr>
            <w:tcW w:w="839" w:type="dxa"/>
            <w:noWrap w:val="0"/>
            <w:vAlign w:val="center"/>
          </w:tcPr>
          <w:p>
            <w:pPr>
              <w:pStyle w:val="2"/>
              <w:ind w:firstLine="0"/>
              <w:jc w:val="center"/>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11</w:t>
            </w:r>
          </w:p>
        </w:tc>
        <w:tc>
          <w:tcPr>
            <w:tcW w:w="962" w:type="dxa"/>
            <w:noWrap w:val="0"/>
            <w:vAlign w:val="center"/>
          </w:tcPr>
          <w:p>
            <w:pPr>
              <w:pStyle w:val="2"/>
              <w:ind w:firstLine="0"/>
              <w:jc w:val="center"/>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2</w:t>
            </w:r>
          </w:p>
        </w:tc>
        <w:tc>
          <w:tcPr>
            <w:tcW w:w="888" w:type="dxa"/>
            <w:noWrap w:val="0"/>
            <w:vAlign w:val="center"/>
          </w:tcPr>
          <w:p>
            <w:pPr>
              <w:pStyle w:val="2"/>
              <w:ind w:firstLine="0"/>
              <w:jc w:val="center"/>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9</w:t>
            </w:r>
          </w:p>
        </w:tc>
        <w:tc>
          <w:tcPr>
            <w:tcW w:w="2806" w:type="dxa"/>
            <w:noWrap w:val="0"/>
            <w:vAlign w:val="center"/>
          </w:tcPr>
          <w:p>
            <w:pPr>
              <w:pStyle w:val="2"/>
              <w:ind w:firstLine="0"/>
              <w:jc w:val="left"/>
              <w:rPr>
                <w:rFonts w:hint="eastAsia" w:ascii="宋体" w:hAnsi="宋体" w:eastAsia="宋体" w:cs="宋体"/>
                <w:b/>
                <w:bCs/>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4" w:type="dxa"/>
            <w:vMerge w:val="restart"/>
            <w:noWrap w:val="0"/>
            <w:vAlign w:val="center"/>
          </w:tcPr>
          <w:p>
            <w:pPr>
              <w:pStyle w:val="2"/>
              <w:ind w:firstLine="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2</w:t>
            </w:r>
          </w:p>
        </w:tc>
        <w:tc>
          <w:tcPr>
            <w:tcW w:w="1067" w:type="dxa"/>
            <w:vMerge w:val="restart"/>
            <w:noWrap w:val="0"/>
            <w:vAlign w:val="center"/>
          </w:tcPr>
          <w:p>
            <w:pPr>
              <w:pStyle w:val="2"/>
              <w:ind w:firstLine="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垃圾收集清运</w:t>
            </w:r>
          </w:p>
        </w:tc>
        <w:tc>
          <w:tcPr>
            <w:tcW w:w="1416" w:type="dxa"/>
            <w:noWrap w:val="0"/>
            <w:vAlign w:val="center"/>
          </w:tcPr>
          <w:p>
            <w:pPr>
              <w:pStyle w:val="2"/>
              <w:ind w:firstLine="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3吨后压缩车</w:t>
            </w:r>
          </w:p>
        </w:tc>
        <w:tc>
          <w:tcPr>
            <w:tcW w:w="839" w:type="dxa"/>
            <w:noWrap w:val="0"/>
            <w:vAlign w:val="center"/>
          </w:tcPr>
          <w:p>
            <w:pPr>
              <w:pStyle w:val="2"/>
              <w:ind w:firstLine="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2</w:t>
            </w:r>
          </w:p>
        </w:tc>
        <w:tc>
          <w:tcPr>
            <w:tcW w:w="962" w:type="dxa"/>
            <w:noWrap w:val="0"/>
            <w:vAlign w:val="center"/>
          </w:tcPr>
          <w:p>
            <w:pPr>
              <w:pStyle w:val="2"/>
              <w:ind w:firstLine="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0</w:t>
            </w:r>
          </w:p>
        </w:tc>
        <w:tc>
          <w:tcPr>
            <w:tcW w:w="888" w:type="dxa"/>
            <w:noWrap w:val="0"/>
            <w:vAlign w:val="center"/>
          </w:tcPr>
          <w:p>
            <w:pPr>
              <w:pStyle w:val="2"/>
              <w:ind w:firstLine="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2</w:t>
            </w:r>
          </w:p>
        </w:tc>
        <w:tc>
          <w:tcPr>
            <w:tcW w:w="2806" w:type="dxa"/>
            <w:noWrap w:val="0"/>
            <w:vAlign w:val="center"/>
          </w:tcPr>
          <w:p>
            <w:pPr>
              <w:pStyle w:val="2"/>
              <w:ind w:firstLine="0"/>
              <w:jc w:val="center"/>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4" w:type="dxa"/>
            <w:vMerge w:val="continue"/>
            <w:noWrap w:val="0"/>
            <w:vAlign w:val="center"/>
          </w:tcPr>
          <w:p>
            <w:pPr>
              <w:pStyle w:val="2"/>
              <w:ind w:firstLine="0"/>
              <w:jc w:val="center"/>
              <w:rPr>
                <w:rFonts w:hint="eastAsia" w:ascii="宋体" w:hAnsi="宋体" w:eastAsia="宋体" w:cs="宋体"/>
                <w:sz w:val="24"/>
                <w:szCs w:val="24"/>
                <w:highlight w:val="none"/>
              </w:rPr>
            </w:pPr>
          </w:p>
        </w:tc>
        <w:tc>
          <w:tcPr>
            <w:tcW w:w="1067" w:type="dxa"/>
            <w:vMerge w:val="continue"/>
            <w:noWrap w:val="0"/>
            <w:vAlign w:val="center"/>
          </w:tcPr>
          <w:p>
            <w:pPr>
              <w:pStyle w:val="2"/>
              <w:ind w:firstLine="0"/>
              <w:jc w:val="center"/>
              <w:rPr>
                <w:rFonts w:hint="eastAsia" w:ascii="宋体" w:hAnsi="宋体" w:eastAsia="宋体" w:cs="宋体"/>
                <w:sz w:val="24"/>
                <w:szCs w:val="24"/>
                <w:highlight w:val="none"/>
              </w:rPr>
            </w:pPr>
          </w:p>
        </w:tc>
        <w:tc>
          <w:tcPr>
            <w:tcW w:w="1416" w:type="dxa"/>
            <w:noWrap w:val="0"/>
            <w:vAlign w:val="center"/>
          </w:tcPr>
          <w:p>
            <w:pPr>
              <w:pStyle w:val="2"/>
              <w:ind w:firstLine="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5吨后压缩车</w:t>
            </w:r>
          </w:p>
        </w:tc>
        <w:tc>
          <w:tcPr>
            <w:tcW w:w="839" w:type="dxa"/>
            <w:noWrap w:val="0"/>
            <w:vAlign w:val="center"/>
          </w:tcPr>
          <w:p>
            <w:pPr>
              <w:pStyle w:val="2"/>
              <w:ind w:firstLine="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2</w:t>
            </w:r>
          </w:p>
        </w:tc>
        <w:tc>
          <w:tcPr>
            <w:tcW w:w="962" w:type="dxa"/>
            <w:noWrap w:val="0"/>
            <w:vAlign w:val="center"/>
          </w:tcPr>
          <w:p>
            <w:pPr>
              <w:pStyle w:val="2"/>
              <w:ind w:firstLine="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0</w:t>
            </w:r>
          </w:p>
        </w:tc>
        <w:tc>
          <w:tcPr>
            <w:tcW w:w="888" w:type="dxa"/>
            <w:noWrap w:val="0"/>
            <w:vAlign w:val="center"/>
          </w:tcPr>
          <w:p>
            <w:pPr>
              <w:pStyle w:val="2"/>
              <w:ind w:firstLine="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2</w:t>
            </w:r>
          </w:p>
        </w:tc>
        <w:tc>
          <w:tcPr>
            <w:tcW w:w="2806" w:type="dxa"/>
            <w:noWrap w:val="0"/>
            <w:vAlign w:val="center"/>
          </w:tcPr>
          <w:p>
            <w:pPr>
              <w:pStyle w:val="2"/>
              <w:ind w:firstLine="0"/>
              <w:jc w:val="center"/>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4" w:type="dxa"/>
            <w:vMerge w:val="continue"/>
            <w:noWrap w:val="0"/>
            <w:vAlign w:val="center"/>
          </w:tcPr>
          <w:p>
            <w:pPr>
              <w:pStyle w:val="2"/>
              <w:ind w:firstLine="0"/>
              <w:jc w:val="center"/>
              <w:rPr>
                <w:rFonts w:hint="eastAsia" w:ascii="宋体" w:hAnsi="宋体" w:eastAsia="宋体" w:cs="宋体"/>
                <w:sz w:val="24"/>
                <w:szCs w:val="24"/>
                <w:highlight w:val="none"/>
              </w:rPr>
            </w:pPr>
          </w:p>
        </w:tc>
        <w:tc>
          <w:tcPr>
            <w:tcW w:w="1067" w:type="dxa"/>
            <w:vMerge w:val="continue"/>
            <w:noWrap w:val="0"/>
            <w:vAlign w:val="center"/>
          </w:tcPr>
          <w:p>
            <w:pPr>
              <w:pStyle w:val="2"/>
              <w:ind w:firstLine="0"/>
              <w:jc w:val="center"/>
              <w:rPr>
                <w:rFonts w:hint="eastAsia" w:ascii="宋体" w:hAnsi="宋体" w:eastAsia="宋体" w:cs="宋体"/>
                <w:sz w:val="24"/>
                <w:szCs w:val="24"/>
                <w:highlight w:val="none"/>
              </w:rPr>
            </w:pPr>
          </w:p>
        </w:tc>
        <w:tc>
          <w:tcPr>
            <w:tcW w:w="1416" w:type="dxa"/>
            <w:noWrap w:val="0"/>
            <w:vAlign w:val="center"/>
          </w:tcPr>
          <w:p>
            <w:pPr>
              <w:pStyle w:val="2"/>
              <w:ind w:firstLine="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5吨摆臂垃圾车</w:t>
            </w:r>
          </w:p>
        </w:tc>
        <w:tc>
          <w:tcPr>
            <w:tcW w:w="839" w:type="dxa"/>
            <w:noWrap w:val="0"/>
            <w:vAlign w:val="center"/>
          </w:tcPr>
          <w:p>
            <w:pPr>
              <w:pStyle w:val="2"/>
              <w:ind w:firstLine="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4</w:t>
            </w:r>
          </w:p>
        </w:tc>
        <w:tc>
          <w:tcPr>
            <w:tcW w:w="962" w:type="dxa"/>
            <w:noWrap w:val="0"/>
            <w:vAlign w:val="center"/>
          </w:tcPr>
          <w:p>
            <w:pPr>
              <w:pStyle w:val="2"/>
              <w:ind w:firstLine="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w:t>
            </w:r>
          </w:p>
        </w:tc>
        <w:tc>
          <w:tcPr>
            <w:tcW w:w="888" w:type="dxa"/>
            <w:noWrap w:val="0"/>
            <w:vAlign w:val="center"/>
          </w:tcPr>
          <w:p>
            <w:pPr>
              <w:pStyle w:val="2"/>
              <w:ind w:firstLine="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3</w:t>
            </w:r>
          </w:p>
        </w:tc>
        <w:tc>
          <w:tcPr>
            <w:tcW w:w="2806" w:type="dxa"/>
            <w:noWrap w:val="0"/>
            <w:vAlign w:val="center"/>
          </w:tcPr>
          <w:p>
            <w:pPr>
              <w:pStyle w:val="2"/>
              <w:ind w:firstLine="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现有该车型车辆4部，其中有3部分别是2009年、2010年采购，已到报废使用年限。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4" w:type="dxa"/>
            <w:vMerge w:val="continue"/>
            <w:noWrap w:val="0"/>
            <w:vAlign w:val="center"/>
          </w:tcPr>
          <w:p>
            <w:pPr>
              <w:pStyle w:val="2"/>
              <w:ind w:firstLine="0"/>
              <w:jc w:val="center"/>
              <w:rPr>
                <w:rFonts w:hint="eastAsia" w:ascii="宋体" w:hAnsi="宋体" w:eastAsia="宋体" w:cs="宋体"/>
                <w:sz w:val="24"/>
                <w:szCs w:val="24"/>
                <w:highlight w:val="none"/>
              </w:rPr>
            </w:pPr>
          </w:p>
        </w:tc>
        <w:tc>
          <w:tcPr>
            <w:tcW w:w="1067" w:type="dxa"/>
            <w:vMerge w:val="continue"/>
            <w:noWrap w:val="0"/>
            <w:vAlign w:val="center"/>
          </w:tcPr>
          <w:p>
            <w:pPr>
              <w:pStyle w:val="2"/>
              <w:ind w:firstLine="0"/>
              <w:jc w:val="center"/>
              <w:rPr>
                <w:rFonts w:hint="eastAsia" w:ascii="宋体" w:hAnsi="宋体" w:eastAsia="宋体" w:cs="宋体"/>
                <w:sz w:val="24"/>
                <w:szCs w:val="24"/>
                <w:highlight w:val="none"/>
              </w:rPr>
            </w:pPr>
          </w:p>
        </w:tc>
        <w:tc>
          <w:tcPr>
            <w:tcW w:w="1416" w:type="dxa"/>
            <w:noWrap w:val="0"/>
            <w:vAlign w:val="center"/>
          </w:tcPr>
          <w:p>
            <w:pPr>
              <w:pStyle w:val="2"/>
              <w:ind w:firstLine="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桶装垃圾运输车</w:t>
            </w:r>
          </w:p>
        </w:tc>
        <w:tc>
          <w:tcPr>
            <w:tcW w:w="839" w:type="dxa"/>
            <w:noWrap w:val="0"/>
            <w:vAlign w:val="center"/>
          </w:tcPr>
          <w:p>
            <w:pPr>
              <w:pStyle w:val="2"/>
              <w:ind w:firstLine="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6</w:t>
            </w:r>
          </w:p>
        </w:tc>
        <w:tc>
          <w:tcPr>
            <w:tcW w:w="962" w:type="dxa"/>
            <w:noWrap w:val="0"/>
            <w:vAlign w:val="center"/>
          </w:tcPr>
          <w:p>
            <w:pPr>
              <w:pStyle w:val="2"/>
              <w:ind w:firstLine="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4</w:t>
            </w:r>
          </w:p>
        </w:tc>
        <w:tc>
          <w:tcPr>
            <w:tcW w:w="888" w:type="dxa"/>
            <w:noWrap w:val="0"/>
            <w:vAlign w:val="center"/>
          </w:tcPr>
          <w:p>
            <w:pPr>
              <w:pStyle w:val="2"/>
              <w:ind w:firstLine="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2</w:t>
            </w:r>
          </w:p>
        </w:tc>
        <w:tc>
          <w:tcPr>
            <w:tcW w:w="2806" w:type="dxa"/>
            <w:noWrap w:val="0"/>
            <w:vAlign w:val="center"/>
          </w:tcPr>
          <w:p>
            <w:pPr>
              <w:pStyle w:val="2"/>
              <w:ind w:firstLine="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该车型现有4部车辆分别为2014年、2016年采购，可租赁使用。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4" w:type="dxa"/>
            <w:vMerge w:val="continue"/>
            <w:noWrap w:val="0"/>
            <w:vAlign w:val="center"/>
          </w:tcPr>
          <w:p>
            <w:pPr>
              <w:pStyle w:val="2"/>
              <w:ind w:firstLine="0"/>
              <w:jc w:val="center"/>
              <w:rPr>
                <w:rFonts w:hint="eastAsia" w:ascii="宋体" w:hAnsi="宋体" w:eastAsia="宋体" w:cs="宋体"/>
                <w:sz w:val="24"/>
                <w:szCs w:val="24"/>
                <w:highlight w:val="none"/>
              </w:rPr>
            </w:pPr>
          </w:p>
        </w:tc>
        <w:tc>
          <w:tcPr>
            <w:tcW w:w="1067" w:type="dxa"/>
            <w:vMerge w:val="continue"/>
            <w:noWrap w:val="0"/>
            <w:vAlign w:val="center"/>
          </w:tcPr>
          <w:p>
            <w:pPr>
              <w:pStyle w:val="2"/>
              <w:ind w:firstLine="0"/>
              <w:jc w:val="center"/>
              <w:rPr>
                <w:rFonts w:hint="eastAsia" w:ascii="宋体" w:hAnsi="宋体" w:eastAsia="宋体" w:cs="宋体"/>
                <w:sz w:val="24"/>
                <w:szCs w:val="24"/>
                <w:highlight w:val="none"/>
              </w:rPr>
            </w:pPr>
          </w:p>
        </w:tc>
        <w:tc>
          <w:tcPr>
            <w:tcW w:w="1416" w:type="dxa"/>
            <w:noWrap w:val="0"/>
            <w:vAlign w:val="center"/>
          </w:tcPr>
          <w:p>
            <w:pPr>
              <w:pStyle w:val="2"/>
              <w:ind w:firstLine="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2吨摆臂垃圾车</w:t>
            </w:r>
          </w:p>
        </w:tc>
        <w:tc>
          <w:tcPr>
            <w:tcW w:w="839" w:type="dxa"/>
            <w:noWrap w:val="0"/>
            <w:vAlign w:val="center"/>
          </w:tcPr>
          <w:p>
            <w:pPr>
              <w:pStyle w:val="2"/>
              <w:ind w:firstLine="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w:t>
            </w:r>
          </w:p>
        </w:tc>
        <w:tc>
          <w:tcPr>
            <w:tcW w:w="962" w:type="dxa"/>
            <w:noWrap w:val="0"/>
            <w:vAlign w:val="center"/>
          </w:tcPr>
          <w:p>
            <w:pPr>
              <w:pStyle w:val="2"/>
              <w:ind w:firstLine="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w:t>
            </w:r>
          </w:p>
        </w:tc>
        <w:tc>
          <w:tcPr>
            <w:tcW w:w="888" w:type="dxa"/>
            <w:noWrap w:val="0"/>
            <w:vAlign w:val="center"/>
          </w:tcPr>
          <w:p>
            <w:pPr>
              <w:pStyle w:val="2"/>
              <w:ind w:firstLine="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0</w:t>
            </w:r>
          </w:p>
        </w:tc>
        <w:tc>
          <w:tcPr>
            <w:tcW w:w="2806" w:type="dxa"/>
            <w:noWrap w:val="0"/>
            <w:vAlign w:val="center"/>
          </w:tcPr>
          <w:p>
            <w:pPr>
              <w:pStyle w:val="2"/>
              <w:ind w:firstLine="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该车型现有3部，其中2部2009年、2010年采购，已到使用报废年限。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4" w:type="dxa"/>
            <w:vMerge w:val="continue"/>
            <w:noWrap w:val="0"/>
            <w:vAlign w:val="center"/>
          </w:tcPr>
          <w:p>
            <w:pPr>
              <w:pStyle w:val="2"/>
              <w:ind w:firstLine="0"/>
              <w:jc w:val="center"/>
              <w:rPr>
                <w:rFonts w:hint="eastAsia" w:ascii="宋体" w:hAnsi="宋体" w:eastAsia="宋体" w:cs="宋体"/>
                <w:sz w:val="24"/>
                <w:szCs w:val="24"/>
                <w:highlight w:val="none"/>
              </w:rPr>
            </w:pPr>
          </w:p>
        </w:tc>
        <w:tc>
          <w:tcPr>
            <w:tcW w:w="1067" w:type="dxa"/>
            <w:vMerge w:val="continue"/>
            <w:noWrap w:val="0"/>
            <w:vAlign w:val="center"/>
          </w:tcPr>
          <w:p>
            <w:pPr>
              <w:pStyle w:val="2"/>
              <w:ind w:firstLine="0"/>
              <w:jc w:val="center"/>
              <w:rPr>
                <w:rFonts w:hint="eastAsia" w:ascii="宋体" w:hAnsi="宋体" w:eastAsia="宋体" w:cs="宋体"/>
                <w:sz w:val="24"/>
                <w:szCs w:val="24"/>
                <w:highlight w:val="none"/>
              </w:rPr>
            </w:pPr>
          </w:p>
        </w:tc>
        <w:tc>
          <w:tcPr>
            <w:tcW w:w="1416" w:type="dxa"/>
            <w:noWrap w:val="0"/>
            <w:vAlign w:val="center"/>
          </w:tcPr>
          <w:p>
            <w:pPr>
              <w:pStyle w:val="2"/>
              <w:ind w:firstLine="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电动快速保洁车</w:t>
            </w:r>
          </w:p>
        </w:tc>
        <w:tc>
          <w:tcPr>
            <w:tcW w:w="839" w:type="dxa"/>
            <w:noWrap w:val="0"/>
            <w:vAlign w:val="center"/>
          </w:tcPr>
          <w:p>
            <w:pPr>
              <w:pStyle w:val="2"/>
              <w:ind w:firstLine="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60</w:t>
            </w:r>
          </w:p>
        </w:tc>
        <w:tc>
          <w:tcPr>
            <w:tcW w:w="962" w:type="dxa"/>
            <w:noWrap w:val="0"/>
            <w:vAlign w:val="center"/>
          </w:tcPr>
          <w:p>
            <w:pPr>
              <w:pStyle w:val="2"/>
              <w:ind w:firstLine="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0</w:t>
            </w:r>
          </w:p>
        </w:tc>
        <w:tc>
          <w:tcPr>
            <w:tcW w:w="888" w:type="dxa"/>
            <w:noWrap w:val="0"/>
            <w:vAlign w:val="center"/>
          </w:tcPr>
          <w:p>
            <w:pPr>
              <w:pStyle w:val="2"/>
              <w:ind w:firstLine="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60</w:t>
            </w:r>
          </w:p>
        </w:tc>
        <w:tc>
          <w:tcPr>
            <w:tcW w:w="2806" w:type="dxa"/>
            <w:noWrap w:val="0"/>
            <w:vAlign w:val="center"/>
          </w:tcPr>
          <w:p>
            <w:pPr>
              <w:pStyle w:val="2"/>
              <w:ind w:firstLine="0"/>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现有该车型6部，均已到报废年限。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4" w:type="dxa"/>
            <w:vMerge w:val="continue"/>
            <w:noWrap w:val="0"/>
            <w:vAlign w:val="center"/>
          </w:tcPr>
          <w:p>
            <w:pPr>
              <w:pStyle w:val="2"/>
              <w:ind w:firstLine="0"/>
              <w:jc w:val="center"/>
              <w:rPr>
                <w:rFonts w:hint="eastAsia" w:ascii="宋体" w:hAnsi="宋体" w:eastAsia="宋体" w:cs="宋体"/>
                <w:sz w:val="24"/>
                <w:szCs w:val="24"/>
                <w:highlight w:val="none"/>
              </w:rPr>
            </w:pPr>
          </w:p>
        </w:tc>
        <w:tc>
          <w:tcPr>
            <w:tcW w:w="1067" w:type="dxa"/>
            <w:vMerge w:val="continue"/>
            <w:noWrap w:val="0"/>
            <w:vAlign w:val="center"/>
          </w:tcPr>
          <w:p>
            <w:pPr>
              <w:pStyle w:val="2"/>
              <w:ind w:firstLine="0"/>
              <w:jc w:val="center"/>
              <w:rPr>
                <w:rFonts w:hint="eastAsia" w:ascii="宋体" w:hAnsi="宋体" w:eastAsia="宋体" w:cs="宋体"/>
                <w:sz w:val="24"/>
                <w:szCs w:val="24"/>
                <w:highlight w:val="none"/>
              </w:rPr>
            </w:pPr>
          </w:p>
        </w:tc>
        <w:tc>
          <w:tcPr>
            <w:tcW w:w="1416" w:type="dxa"/>
            <w:noWrap w:val="0"/>
            <w:vAlign w:val="center"/>
          </w:tcPr>
          <w:p>
            <w:pPr>
              <w:pStyle w:val="2"/>
              <w:ind w:firstLine="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240升垃圾桶</w:t>
            </w:r>
          </w:p>
        </w:tc>
        <w:tc>
          <w:tcPr>
            <w:tcW w:w="839" w:type="dxa"/>
            <w:noWrap w:val="0"/>
            <w:vAlign w:val="center"/>
          </w:tcPr>
          <w:p>
            <w:pPr>
              <w:pStyle w:val="2"/>
              <w:ind w:firstLine="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1500</w:t>
            </w:r>
          </w:p>
        </w:tc>
        <w:tc>
          <w:tcPr>
            <w:tcW w:w="962" w:type="dxa"/>
            <w:noWrap w:val="0"/>
            <w:vAlign w:val="center"/>
          </w:tcPr>
          <w:p>
            <w:pPr>
              <w:pStyle w:val="2"/>
              <w:ind w:firstLine="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0</w:t>
            </w:r>
          </w:p>
        </w:tc>
        <w:tc>
          <w:tcPr>
            <w:tcW w:w="888" w:type="dxa"/>
            <w:noWrap w:val="0"/>
            <w:vAlign w:val="center"/>
          </w:tcPr>
          <w:p>
            <w:pPr>
              <w:pStyle w:val="2"/>
              <w:ind w:firstLine="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1500</w:t>
            </w:r>
          </w:p>
        </w:tc>
        <w:tc>
          <w:tcPr>
            <w:tcW w:w="2806" w:type="dxa"/>
            <w:noWrap w:val="0"/>
            <w:vAlign w:val="center"/>
          </w:tcPr>
          <w:p>
            <w:pPr>
              <w:pStyle w:val="2"/>
              <w:ind w:firstLine="0"/>
              <w:jc w:val="center"/>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4" w:type="dxa"/>
            <w:noWrap w:val="0"/>
            <w:vAlign w:val="center"/>
          </w:tcPr>
          <w:p>
            <w:pPr>
              <w:pStyle w:val="2"/>
              <w:ind w:firstLine="0"/>
              <w:jc w:val="center"/>
              <w:rPr>
                <w:rFonts w:hint="eastAsia" w:ascii="宋体" w:hAnsi="宋体" w:eastAsia="宋体" w:cs="宋体"/>
                <w:sz w:val="24"/>
                <w:szCs w:val="24"/>
                <w:highlight w:val="none"/>
              </w:rPr>
            </w:pPr>
          </w:p>
        </w:tc>
        <w:tc>
          <w:tcPr>
            <w:tcW w:w="1067" w:type="dxa"/>
            <w:noWrap w:val="0"/>
            <w:vAlign w:val="center"/>
          </w:tcPr>
          <w:p>
            <w:pPr>
              <w:pStyle w:val="2"/>
              <w:ind w:firstLine="0"/>
              <w:jc w:val="center"/>
              <w:rPr>
                <w:rFonts w:hint="eastAsia" w:ascii="宋体" w:hAnsi="宋体" w:eastAsia="宋体" w:cs="宋体"/>
                <w:sz w:val="24"/>
                <w:szCs w:val="24"/>
                <w:highlight w:val="none"/>
              </w:rPr>
            </w:pPr>
          </w:p>
        </w:tc>
        <w:tc>
          <w:tcPr>
            <w:tcW w:w="1416" w:type="dxa"/>
            <w:noWrap w:val="0"/>
            <w:vAlign w:val="center"/>
          </w:tcPr>
          <w:p>
            <w:pPr>
              <w:pStyle w:val="2"/>
              <w:ind w:firstLine="0"/>
              <w:jc w:val="center"/>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合计：</w:t>
            </w:r>
          </w:p>
        </w:tc>
        <w:tc>
          <w:tcPr>
            <w:tcW w:w="839" w:type="dxa"/>
            <w:noWrap w:val="0"/>
            <w:vAlign w:val="center"/>
          </w:tcPr>
          <w:p>
            <w:pPr>
              <w:pStyle w:val="2"/>
              <w:ind w:firstLine="0"/>
              <w:jc w:val="center"/>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15</w:t>
            </w:r>
          </w:p>
        </w:tc>
        <w:tc>
          <w:tcPr>
            <w:tcW w:w="962" w:type="dxa"/>
            <w:noWrap w:val="0"/>
            <w:vAlign w:val="center"/>
          </w:tcPr>
          <w:p>
            <w:pPr>
              <w:pStyle w:val="2"/>
              <w:ind w:firstLine="0"/>
              <w:jc w:val="center"/>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6</w:t>
            </w:r>
          </w:p>
        </w:tc>
        <w:tc>
          <w:tcPr>
            <w:tcW w:w="888" w:type="dxa"/>
            <w:noWrap w:val="0"/>
            <w:vAlign w:val="center"/>
          </w:tcPr>
          <w:p>
            <w:pPr>
              <w:pStyle w:val="2"/>
              <w:ind w:firstLine="0"/>
              <w:jc w:val="center"/>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9</w:t>
            </w:r>
          </w:p>
        </w:tc>
        <w:tc>
          <w:tcPr>
            <w:tcW w:w="2806" w:type="dxa"/>
            <w:noWrap w:val="0"/>
            <w:vAlign w:val="center"/>
          </w:tcPr>
          <w:p>
            <w:pPr>
              <w:pStyle w:val="2"/>
              <w:ind w:firstLine="0"/>
              <w:jc w:val="center"/>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不含垃圾桶、电动车辆。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4" w:type="dxa"/>
            <w:vMerge w:val="restart"/>
            <w:noWrap w:val="0"/>
            <w:vAlign w:val="center"/>
          </w:tcPr>
          <w:p>
            <w:pPr>
              <w:pStyle w:val="2"/>
              <w:ind w:firstLine="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3</w:t>
            </w:r>
          </w:p>
        </w:tc>
        <w:tc>
          <w:tcPr>
            <w:tcW w:w="1067" w:type="dxa"/>
            <w:vMerge w:val="restart"/>
            <w:noWrap w:val="0"/>
            <w:vAlign w:val="center"/>
          </w:tcPr>
          <w:p>
            <w:pPr>
              <w:pStyle w:val="2"/>
              <w:ind w:firstLine="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其他车型</w:t>
            </w:r>
          </w:p>
        </w:tc>
        <w:tc>
          <w:tcPr>
            <w:tcW w:w="1416" w:type="dxa"/>
            <w:noWrap w:val="0"/>
            <w:vAlign w:val="center"/>
          </w:tcPr>
          <w:p>
            <w:pPr>
              <w:pStyle w:val="2"/>
              <w:ind w:firstLine="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吸粪车</w:t>
            </w:r>
          </w:p>
        </w:tc>
        <w:tc>
          <w:tcPr>
            <w:tcW w:w="839" w:type="dxa"/>
            <w:noWrap w:val="0"/>
            <w:vAlign w:val="center"/>
          </w:tcPr>
          <w:p>
            <w:pPr>
              <w:pStyle w:val="2"/>
              <w:ind w:firstLine="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w:t>
            </w:r>
          </w:p>
        </w:tc>
        <w:tc>
          <w:tcPr>
            <w:tcW w:w="962" w:type="dxa"/>
            <w:noWrap w:val="0"/>
            <w:vAlign w:val="center"/>
          </w:tcPr>
          <w:p>
            <w:pPr>
              <w:pStyle w:val="2"/>
              <w:ind w:firstLine="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0</w:t>
            </w:r>
          </w:p>
        </w:tc>
        <w:tc>
          <w:tcPr>
            <w:tcW w:w="888" w:type="dxa"/>
            <w:noWrap w:val="0"/>
            <w:vAlign w:val="center"/>
          </w:tcPr>
          <w:p>
            <w:pPr>
              <w:pStyle w:val="2"/>
              <w:ind w:firstLine="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w:t>
            </w:r>
          </w:p>
        </w:tc>
        <w:tc>
          <w:tcPr>
            <w:tcW w:w="2806" w:type="dxa"/>
            <w:noWrap w:val="0"/>
            <w:vAlign w:val="center"/>
          </w:tcPr>
          <w:p>
            <w:pPr>
              <w:pStyle w:val="2"/>
              <w:ind w:firstLine="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现有的吸粪车为2007年采购，已到报废使用年限。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4" w:type="dxa"/>
            <w:vMerge w:val="continue"/>
            <w:noWrap w:val="0"/>
            <w:vAlign w:val="center"/>
          </w:tcPr>
          <w:p>
            <w:pPr>
              <w:pStyle w:val="2"/>
              <w:ind w:firstLine="0"/>
              <w:jc w:val="center"/>
              <w:rPr>
                <w:rFonts w:hint="eastAsia" w:ascii="宋体" w:hAnsi="宋体" w:eastAsia="宋体" w:cs="宋体"/>
                <w:sz w:val="24"/>
                <w:szCs w:val="24"/>
                <w:highlight w:val="none"/>
              </w:rPr>
            </w:pPr>
          </w:p>
        </w:tc>
        <w:tc>
          <w:tcPr>
            <w:tcW w:w="1067" w:type="dxa"/>
            <w:vMerge w:val="continue"/>
            <w:noWrap w:val="0"/>
            <w:vAlign w:val="center"/>
          </w:tcPr>
          <w:p>
            <w:pPr>
              <w:pStyle w:val="2"/>
              <w:ind w:firstLine="0"/>
              <w:jc w:val="center"/>
              <w:rPr>
                <w:rFonts w:hint="eastAsia" w:ascii="宋体" w:hAnsi="宋体" w:eastAsia="宋体" w:cs="宋体"/>
                <w:sz w:val="24"/>
                <w:szCs w:val="24"/>
                <w:highlight w:val="none"/>
              </w:rPr>
            </w:pPr>
          </w:p>
        </w:tc>
        <w:tc>
          <w:tcPr>
            <w:tcW w:w="1416" w:type="dxa"/>
            <w:noWrap w:val="0"/>
            <w:vAlign w:val="center"/>
          </w:tcPr>
          <w:p>
            <w:pPr>
              <w:pStyle w:val="2"/>
              <w:ind w:firstLine="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小型装载机</w:t>
            </w:r>
          </w:p>
        </w:tc>
        <w:tc>
          <w:tcPr>
            <w:tcW w:w="839" w:type="dxa"/>
            <w:noWrap w:val="0"/>
            <w:vAlign w:val="center"/>
          </w:tcPr>
          <w:p>
            <w:pPr>
              <w:pStyle w:val="2"/>
              <w:ind w:firstLine="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w:t>
            </w:r>
          </w:p>
        </w:tc>
        <w:tc>
          <w:tcPr>
            <w:tcW w:w="962" w:type="dxa"/>
            <w:noWrap w:val="0"/>
            <w:vAlign w:val="center"/>
          </w:tcPr>
          <w:p>
            <w:pPr>
              <w:pStyle w:val="2"/>
              <w:ind w:firstLine="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0</w:t>
            </w:r>
          </w:p>
        </w:tc>
        <w:tc>
          <w:tcPr>
            <w:tcW w:w="888" w:type="dxa"/>
            <w:noWrap w:val="0"/>
            <w:vAlign w:val="center"/>
          </w:tcPr>
          <w:p>
            <w:pPr>
              <w:pStyle w:val="2"/>
              <w:ind w:firstLine="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w:t>
            </w:r>
          </w:p>
        </w:tc>
        <w:tc>
          <w:tcPr>
            <w:tcW w:w="2806" w:type="dxa"/>
            <w:noWrap w:val="0"/>
            <w:vAlign w:val="center"/>
          </w:tcPr>
          <w:p>
            <w:pPr>
              <w:pStyle w:val="2"/>
              <w:ind w:firstLine="0"/>
              <w:jc w:val="center"/>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4" w:type="dxa"/>
            <w:vMerge w:val="continue"/>
            <w:noWrap w:val="0"/>
            <w:vAlign w:val="center"/>
          </w:tcPr>
          <w:p>
            <w:pPr>
              <w:pStyle w:val="2"/>
              <w:ind w:firstLine="0"/>
              <w:jc w:val="center"/>
              <w:rPr>
                <w:rFonts w:hint="eastAsia" w:ascii="宋体" w:hAnsi="宋体" w:eastAsia="宋体" w:cs="宋体"/>
                <w:sz w:val="24"/>
                <w:szCs w:val="24"/>
                <w:highlight w:val="none"/>
              </w:rPr>
            </w:pPr>
          </w:p>
        </w:tc>
        <w:tc>
          <w:tcPr>
            <w:tcW w:w="1067" w:type="dxa"/>
            <w:vMerge w:val="continue"/>
            <w:noWrap w:val="0"/>
            <w:vAlign w:val="center"/>
          </w:tcPr>
          <w:p>
            <w:pPr>
              <w:pStyle w:val="2"/>
              <w:ind w:firstLine="0"/>
              <w:jc w:val="center"/>
              <w:rPr>
                <w:rFonts w:hint="eastAsia" w:ascii="宋体" w:hAnsi="宋体" w:eastAsia="宋体" w:cs="宋体"/>
                <w:sz w:val="24"/>
                <w:szCs w:val="24"/>
                <w:highlight w:val="none"/>
              </w:rPr>
            </w:pPr>
          </w:p>
        </w:tc>
        <w:tc>
          <w:tcPr>
            <w:tcW w:w="1416" w:type="dxa"/>
            <w:noWrap w:val="0"/>
            <w:vAlign w:val="center"/>
          </w:tcPr>
          <w:p>
            <w:pPr>
              <w:pStyle w:val="2"/>
              <w:ind w:firstLine="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工具车</w:t>
            </w:r>
          </w:p>
        </w:tc>
        <w:tc>
          <w:tcPr>
            <w:tcW w:w="839" w:type="dxa"/>
            <w:noWrap w:val="0"/>
            <w:vAlign w:val="center"/>
          </w:tcPr>
          <w:p>
            <w:pPr>
              <w:pStyle w:val="2"/>
              <w:ind w:firstLine="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w:t>
            </w:r>
          </w:p>
        </w:tc>
        <w:tc>
          <w:tcPr>
            <w:tcW w:w="962" w:type="dxa"/>
            <w:noWrap w:val="0"/>
            <w:vAlign w:val="center"/>
          </w:tcPr>
          <w:p>
            <w:pPr>
              <w:pStyle w:val="2"/>
              <w:ind w:firstLine="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0</w:t>
            </w:r>
          </w:p>
        </w:tc>
        <w:tc>
          <w:tcPr>
            <w:tcW w:w="888" w:type="dxa"/>
            <w:noWrap w:val="0"/>
            <w:vAlign w:val="center"/>
          </w:tcPr>
          <w:p>
            <w:pPr>
              <w:pStyle w:val="2"/>
              <w:ind w:firstLine="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w:t>
            </w:r>
          </w:p>
        </w:tc>
        <w:tc>
          <w:tcPr>
            <w:tcW w:w="2806" w:type="dxa"/>
            <w:noWrap w:val="0"/>
            <w:vAlign w:val="center"/>
          </w:tcPr>
          <w:p>
            <w:pPr>
              <w:pStyle w:val="2"/>
              <w:ind w:firstLine="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现有的工具车为2009年采购。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4" w:type="dxa"/>
            <w:noWrap w:val="0"/>
            <w:vAlign w:val="center"/>
          </w:tcPr>
          <w:p>
            <w:pPr>
              <w:pStyle w:val="2"/>
              <w:ind w:firstLine="0"/>
              <w:jc w:val="center"/>
              <w:rPr>
                <w:rFonts w:hint="eastAsia" w:ascii="宋体" w:hAnsi="宋体" w:eastAsia="宋体" w:cs="宋体"/>
                <w:sz w:val="24"/>
                <w:szCs w:val="24"/>
                <w:highlight w:val="none"/>
              </w:rPr>
            </w:pPr>
          </w:p>
        </w:tc>
        <w:tc>
          <w:tcPr>
            <w:tcW w:w="1067" w:type="dxa"/>
            <w:noWrap w:val="0"/>
            <w:vAlign w:val="center"/>
          </w:tcPr>
          <w:p>
            <w:pPr>
              <w:pStyle w:val="2"/>
              <w:ind w:firstLine="0"/>
              <w:jc w:val="center"/>
              <w:rPr>
                <w:rFonts w:hint="eastAsia" w:ascii="宋体" w:hAnsi="宋体" w:eastAsia="宋体" w:cs="宋体"/>
                <w:sz w:val="24"/>
                <w:szCs w:val="24"/>
                <w:highlight w:val="none"/>
              </w:rPr>
            </w:pPr>
          </w:p>
        </w:tc>
        <w:tc>
          <w:tcPr>
            <w:tcW w:w="1416" w:type="dxa"/>
            <w:noWrap w:val="0"/>
            <w:vAlign w:val="center"/>
          </w:tcPr>
          <w:p>
            <w:pPr>
              <w:pStyle w:val="2"/>
              <w:ind w:firstLine="0"/>
              <w:jc w:val="center"/>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合计：</w:t>
            </w:r>
          </w:p>
        </w:tc>
        <w:tc>
          <w:tcPr>
            <w:tcW w:w="839" w:type="dxa"/>
            <w:noWrap w:val="0"/>
            <w:vAlign w:val="center"/>
          </w:tcPr>
          <w:p>
            <w:pPr>
              <w:pStyle w:val="2"/>
              <w:ind w:firstLine="0"/>
              <w:jc w:val="center"/>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3</w:t>
            </w:r>
          </w:p>
        </w:tc>
        <w:tc>
          <w:tcPr>
            <w:tcW w:w="962" w:type="dxa"/>
            <w:noWrap w:val="0"/>
            <w:vAlign w:val="center"/>
          </w:tcPr>
          <w:p>
            <w:pPr>
              <w:pStyle w:val="2"/>
              <w:ind w:firstLine="0"/>
              <w:jc w:val="center"/>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0</w:t>
            </w:r>
          </w:p>
        </w:tc>
        <w:tc>
          <w:tcPr>
            <w:tcW w:w="888" w:type="dxa"/>
            <w:noWrap w:val="0"/>
            <w:vAlign w:val="center"/>
          </w:tcPr>
          <w:p>
            <w:pPr>
              <w:pStyle w:val="2"/>
              <w:ind w:firstLine="0"/>
              <w:jc w:val="center"/>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3</w:t>
            </w:r>
          </w:p>
        </w:tc>
        <w:tc>
          <w:tcPr>
            <w:tcW w:w="2806" w:type="dxa"/>
            <w:noWrap w:val="0"/>
            <w:vAlign w:val="center"/>
          </w:tcPr>
          <w:p>
            <w:pPr>
              <w:pStyle w:val="2"/>
              <w:ind w:firstLine="0"/>
              <w:jc w:val="center"/>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4" w:type="dxa"/>
            <w:noWrap w:val="0"/>
            <w:vAlign w:val="center"/>
          </w:tcPr>
          <w:p>
            <w:pPr>
              <w:pStyle w:val="2"/>
              <w:ind w:firstLine="0"/>
              <w:jc w:val="center"/>
              <w:rPr>
                <w:rFonts w:hint="eastAsia" w:ascii="宋体" w:hAnsi="宋体" w:eastAsia="宋体" w:cs="宋体"/>
                <w:sz w:val="24"/>
                <w:szCs w:val="24"/>
                <w:highlight w:val="none"/>
              </w:rPr>
            </w:pPr>
          </w:p>
        </w:tc>
        <w:tc>
          <w:tcPr>
            <w:tcW w:w="1067" w:type="dxa"/>
            <w:noWrap w:val="0"/>
            <w:vAlign w:val="center"/>
          </w:tcPr>
          <w:p>
            <w:pPr>
              <w:pStyle w:val="2"/>
              <w:ind w:firstLine="0"/>
              <w:jc w:val="center"/>
              <w:rPr>
                <w:rFonts w:hint="eastAsia" w:ascii="宋体" w:hAnsi="宋体" w:eastAsia="宋体" w:cs="宋体"/>
                <w:sz w:val="24"/>
                <w:szCs w:val="24"/>
                <w:highlight w:val="none"/>
              </w:rPr>
            </w:pPr>
          </w:p>
        </w:tc>
        <w:tc>
          <w:tcPr>
            <w:tcW w:w="1416" w:type="dxa"/>
            <w:noWrap w:val="0"/>
            <w:vAlign w:val="center"/>
          </w:tcPr>
          <w:p>
            <w:pPr>
              <w:pStyle w:val="2"/>
              <w:ind w:firstLine="0"/>
              <w:jc w:val="center"/>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总计：</w:t>
            </w:r>
          </w:p>
        </w:tc>
        <w:tc>
          <w:tcPr>
            <w:tcW w:w="839" w:type="dxa"/>
            <w:noWrap w:val="0"/>
            <w:vAlign w:val="center"/>
          </w:tcPr>
          <w:p>
            <w:pPr>
              <w:pStyle w:val="2"/>
              <w:ind w:firstLine="0"/>
              <w:jc w:val="center"/>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29</w:t>
            </w:r>
          </w:p>
        </w:tc>
        <w:tc>
          <w:tcPr>
            <w:tcW w:w="962" w:type="dxa"/>
            <w:noWrap w:val="0"/>
            <w:vAlign w:val="center"/>
          </w:tcPr>
          <w:p>
            <w:pPr>
              <w:pStyle w:val="2"/>
              <w:ind w:firstLine="0"/>
              <w:jc w:val="center"/>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8</w:t>
            </w:r>
          </w:p>
        </w:tc>
        <w:tc>
          <w:tcPr>
            <w:tcW w:w="888" w:type="dxa"/>
            <w:noWrap w:val="0"/>
            <w:vAlign w:val="center"/>
          </w:tcPr>
          <w:p>
            <w:pPr>
              <w:pStyle w:val="2"/>
              <w:ind w:firstLine="0"/>
              <w:jc w:val="center"/>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21</w:t>
            </w:r>
          </w:p>
        </w:tc>
        <w:tc>
          <w:tcPr>
            <w:tcW w:w="2806" w:type="dxa"/>
            <w:noWrap w:val="0"/>
            <w:vAlign w:val="center"/>
          </w:tcPr>
          <w:p>
            <w:pPr>
              <w:pStyle w:val="2"/>
              <w:ind w:firstLine="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含机动车辆、河道保洁船</w:t>
            </w:r>
          </w:p>
        </w:tc>
      </w:tr>
    </w:tbl>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360" w:firstLineChars="150"/>
        <w:textAlignment w:val="auto"/>
        <w:rPr>
          <w:rFonts w:hint="eastAsia" w:ascii="宋体" w:hAnsi="宋体" w:eastAsia="宋体" w:cs="宋体"/>
          <w:sz w:val="24"/>
          <w:szCs w:val="24"/>
          <w:highlight w:val="none"/>
        </w:rPr>
      </w:pPr>
      <w:r>
        <w:rPr>
          <w:rFonts w:hint="eastAsia" w:ascii="宋体" w:hAnsi="宋体" w:cs="宋体"/>
          <w:sz w:val="24"/>
          <w:szCs w:val="24"/>
          <w:highlight w:val="none"/>
          <w:lang w:eastAsia="zh-CN"/>
        </w:rPr>
        <w:t>（</w:t>
      </w:r>
      <w:r>
        <w:rPr>
          <w:rFonts w:hint="eastAsia" w:ascii="宋体" w:hAnsi="宋体" w:cs="宋体"/>
          <w:sz w:val="24"/>
          <w:szCs w:val="24"/>
          <w:highlight w:val="none"/>
          <w:lang w:val="en-US" w:eastAsia="zh-CN"/>
        </w:rPr>
        <w:t>3</w:t>
      </w:r>
      <w:r>
        <w:rPr>
          <w:rFonts w:hint="eastAsia" w:ascii="宋体" w:hAnsi="宋体" w:cs="宋体"/>
          <w:sz w:val="24"/>
          <w:szCs w:val="24"/>
          <w:highlight w:val="none"/>
          <w:lang w:eastAsia="zh-CN"/>
        </w:rPr>
        <w:t>）</w:t>
      </w:r>
      <w:r>
        <w:rPr>
          <w:rFonts w:hint="eastAsia" w:ascii="宋体" w:hAnsi="宋体" w:eastAsia="宋体" w:cs="宋体"/>
          <w:sz w:val="24"/>
          <w:szCs w:val="24"/>
          <w:highlight w:val="none"/>
        </w:rPr>
        <w:t>部分环卫设施无偿使用，该类设施主要包括垃圾转运站、公厕、垃圾房、环卫工人休息点等环卫基础设施、设备及附属的一切设施（以实际验收交接的数量为准），</w:t>
      </w:r>
      <w:r>
        <w:rPr>
          <w:rFonts w:hint="eastAsia" w:ascii="宋体" w:hAnsi="宋体" w:cs="宋体"/>
          <w:sz w:val="24"/>
          <w:szCs w:val="24"/>
          <w:highlight w:val="none"/>
          <w:lang w:eastAsia="zh-CN"/>
        </w:rPr>
        <w:t>中标人</w:t>
      </w:r>
      <w:r>
        <w:rPr>
          <w:rFonts w:hint="eastAsia" w:ascii="宋体" w:hAnsi="宋体" w:eastAsia="宋体" w:cs="宋体"/>
          <w:sz w:val="24"/>
          <w:szCs w:val="24"/>
          <w:highlight w:val="none"/>
        </w:rPr>
        <w:t>免费使用并负责日常更换、维修、管理工作。合同期满后，</w:t>
      </w:r>
      <w:r>
        <w:rPr>
          <w:rFonts w:hint="eastAsia" w:ascii="宋体" w:hAnsi="宋体" w:cs="宋体"/>
          <w:sz w:val="24"/>
          <w:szCs w:val="24"/>
          <w:highlight w:val="none"/>
          <w:lang w:eastAsia="zh-CN"/>
        </w:rPr>
        <w:t>中标人</w:t>
      </w:r>
      <w:r>
        <w:rPr>
          <w:rFonts w:hint="eastAsia" w:ascii="宋体" w:hAnsi="宋体" w:eastAsia="宋体" w:cs="宋体"/>
          <w:sz w:val="24"/>
          <w:szCs w:val="24"/>
          <w:highlight w:val="none"/>
        </w:rPr>
        <w:t>应确保免费使用的设施设备完好，由政府无偿收回。所有环卫设施、设备涉及到市政用水、用电须直接作用于环卫作业，非直接用于环卫作业的市政用水用电由使用单位自行负责。</w:t>
      </w:r>
    </w:p>
    <w:p>
      <w:pPr>
        <w:pStyle w:val="6"/>
        <w:keepNext w:val="0"/>
        <w:keepLines w:val="0"/>
        <w:pageBreakBefore w:val="0"/>
        <w:widowControl/>
        <w:suppressLineNumbers w:val="0"/>
        <w:kinsoku/>
        <w:wordWrap/>
        <w:overflowPunct/>
        <w:topLinePunct w:val="0"/>
        <w:autoSpaceDE/>
        <w:autoSpaceDN/>
        <w:bidi w:val="0"/>
        <w:adjustRightInd/>
        <w:snapToGrid/>
        <w:spacing w:before="100" w:beforeAutospacing="0" w:after="100" w:afterAutospacing="0" w:line="460" w:lineRule="exact"/>
        <w:ind w:firstLine="482" w:firstLineChars="200"/>
        <w:jc w:val="both"/>
        <w:textAlignment w:val="auto"/>
        <w:rPr>
          <w:rFonts w:hint="eastAsia" w:ascii="宋体" w:hAnsi="宋体" w:eastAsia="宋体" w:cs="宋体"/>
          <w:b/>
          <w:bCs w:val="0"/>
          <w:sz w:val="24"/>
          <w:szCs w:val="24"/>
        </w:rPr>
      </w:pPr>
      <w:r>
        <w:rPr>
          <w:rStyle w:val="10"/>
          <w:rFonts w:hint="eastAsia" w:ascii="宋体" w:hAnsi="宋体" w:eastAsia="宋体" w:cs="宋体"/>
          <w:b/>
          <w:bCs w:val="0"/>
          <w:sz w:val="24"/>
          <w:szCs w:val="24"/>
          <w:lang w:val="en-US" w:eastAsia="zh-CN"/>
        </w:rPr>
        <w:t>3、具体</w:t>
      </w:r>
      <w:r>
        <w:rPr>
          <w:rStyle w:val="10"/>
          <w:rFonts w:hint="eastAsia" w:ascii="宋体" w:hAnsi="宋体" w:eastAsia="宋体" w:cs="宋体"/>
          <w:b/>
          <w:bCs w:val="0"/>
          <w:sz w:val="24"/>
          <w:szCs w:val="24"/>
        </w:rPr>
        <w:t>人员过渡方案：</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90" w:right="0" w:firstLine="482" w:firstLineChars="200"/>
        <w:jc w:val="both"/>
        <w:textAlignment w:val="auto"/>
        <w:rPr>
          <w:rFonts w:hint="eastAsia" w:ascii="宋体" w:hAnsi="宋体" w:eastAsia="宋体" w:cs="宋体"/>
          <w:sz w:val="24"/>
          <w:szCs w:val="24"/>
        </w:rPr>
      </w:pPr>
      <w:r>
        <w:rPr>
          <w:rStyle w:val="10"/>
          <w:rFonts w:hint="eastAsia" w:ascii="宋体" w:hAnsi="宋体" w:eastAsia="宋体" w:cs="宋体"/>
          <w:sz w:val="24"/>
          <w:szCs w:val="24"/>
        </w:rPr>
        <w:t>A、现有环卫作业人员：</w:t>
      </w:r>
    </w:p>
    <w:p>
      <w:pPr>
        <w:pStyle w:val="6"/>
        <w:keepNext w:val="0"/>
        <w:keepLines w:val="0"/>
        <w:pageBreakBefore w:val="0"/>
        <w:widowControl/>
        <w:suppressLineNumbers w:val="0"/>
        <w:kinsoku/>
        <w:wordWrap/>
        <w:overflowPunct/>
        <w:topLinePunct w:val="0"/>
        <w:autoSpaceDE/>
        <w:autoSpaceDN/>
        <w:bidi w:val="0"/>
        <w:adjustRightInd/>
        <w:snapToGrid/>
        <w:spacing w:before="100" w:beforeAutospacing="0" w:after="100" w:afterAutospacing="0" w:line="460" w:lineRule="exact"/>
        <w:ind w:firstLine="480" w:firstLineChars="200"/>
        <w:jc w:val="both"/>
        <w:textAlignment w:val="auto"/>
        <w:rPr>
          <w:rStyle w:val="10"/>
          <w:rFonts w:hint="eastAsia" w:ascii="宋体" w:hAnsi="宋体" w:eastAsia="宋体" w:cs="宋体"/>
          <w:b w:val="0"/>
          <w:bCs/>
          <w:sz w:val="24"/>
          <w:szCs w:val="24"/>
          <w:lang w:eastAsia="zh-CN"/>
        </w:rPr>
      </w:pPr>
      <w:r>
        <w:rPr>
          <w:rStyle w:val="10"/>
          <w:rFonts w:hint="eastAsia" w:ascii="宋体" w:hAnsi="宋体" w:eastAsia="宋体" w:cs="宋体"/>
          <w:b w:val="0"/>
          <w:bCs/>
          <w:sz w:val="24"/>
          <w:szCs w:val="24"/>
        </w:rPr>
        <w:t>环卫站及翠江镇、城郊镇、城南镇原有临时环卫工人（含路面保洁员、驾驶员、公厕管理员等）</w:t>
      </w:r>
      <w:r>
        <w:rPr>
          <w:rStyle w:val="10"/>
          <w:rFonts w:hint="eastAsia" w:ascii="宋体" w:hAnsi="宋体" w:cs="宋体"/>
          <w:b w:val="0"/>
          <w:bCs/>
          <w:sz w:val="24"/>
          <w:szCs w:val="24"/>
          <w:lang w:eastAsia="zh-CN"/>
        </w:rPr>
        <w:t>。</w:t>
      </w:r>
    </w:p>
    <w:p>
      <w:pPr>
        <w:pStyle w:val="6"/>
        <w:keepNext w:val="0"/>
        <w:keepLines w:val="0"/>
        <w:pageBreakBefore w:val="0"/>
        <w:widowControl/>
        <w:numPr>
          <w:ilvl w:val="0"/>
          <w:numId w:val="3"/>
        </w:numPr>
        <w:suppressLineNumbers w:val="0"/>
        <w:kinsoku/>
        <w:wordWrap/>
        <w:overflowPunct/>
        <w:topLinePunct w:val="0"/>
        <w:autoSpaceDE/>
        <w:autoSpaceDN/>
        <w:bidi w:val="0"/>
        <w:adjustRightInd/>
        <w:snapToGrid/>
        <w:spacing w:before="100" w:beforeAutospacing="0" w:after="100" w:afterAutospacing="0" w:line="460" w:lineRule="exact"/>
        <w:ind w:firstLine="361" w:firstLineChars="150"/>
        <w:jc w:val="both"/>
        <w:textAlignment w:val="auto"/>
        <w:rPr>
          <w:rStyle w:val="10"/>
          <w:rFonts w:hint="eastAsia" w:ascii="宋体" w:hAnsi="宋体" w:eastAsia="宋体" w:cs="宋体"/>
          <w:b w:val="0"/>
          <w:bCs/>
          <w:sz w:val="24"/>
          <w:szCs w:val="24"/>
        </w:rPr>
      </w:pPr>
      <w:r>
        <w:rPr>
          <w:rStyle w:val="10"/>
          <w:rFonts w:hint="eastAsia" w:ascii="宋体" w:hAnsi="宋体" w:eastAsia="宋体" w:cs="宋体"/>
          <w:sz w:val="24"/>
          <w:szCs w:val="24"/>
        </w:rPr>
        <w:t>过渡方案：</w:t>
      </w:r>
      <w:r>
        <w:rPr>
          <w:rStyle w:val="10"/>
          <w:rFonts w:hint="eastAsia" w:ascii="宋体" w:hAnsi="宋体" w:eastAsia="宋体" w:cs="宋体"/>
          <w:sz w:val="24"/>
          <w:szCs w:val="24"/>
        </w:rPr>
        <w:br w:type="textWrapping"/>
      </w:r>
      <w:r>
        <w:rPr>
          <w:rStyle w:val="10"/>
          <w:rFonts w:hint="eastAsia" w:ascii="宋体" w:hAnsi="宋体" w:cs="宋体"/>
          <w:sz w:val="24"/>
          <w:szCs w:val="24"/>
          <w:lang w:val="en-US" w:eastAsia="zh-CN"/>
        </w:rPr>
        <w:t xml:space="preserve">  </w:t>
      </w:r>
      <w:r>
        <w:rPr>
          <w:rStyle w:val="10"/>
          <w:rFonts w:hint="eastAsia" w:ascii="宋体" w:hAnsi="宋体" w:eastAsia="宋体" w:cs="宋体"/>
          <w:b w:val="0"/>
          <w:bCs/>
          <w:sz w:val="24"/>
          <w:szCs w:val="24"/>
        </w:rPr>
        <w:t>（1）环卫站原有事业编制人员由县主管部门统一调整安排，保留原单位、原身份及待遇不变，从事环卫基础设施建设、垃圾分类管理及市容环卫考评考核相关技术性、事务性工作。</w:t>
      </w:r>
    </w:p>
    <w:p>
      <w:pPr>
        <w:pStyle w:val="6"/>
        <w:keepNext w:val="0"/>
        <w:keepLines w:val="0"/>
        <w:pageBreakBefore w:val="0"/>
        <w:widowControl/>
        <w:numPr>
          <w:ilvl w:val="0"/>
          <w:numId w:val="0"/>
        </w:numPr>
        <w:suppressLineNumbers w:val="0"/>
        <w:kinsoku/>
        <w:wordWrap/>
        <w:overflowPunct/>
        <w:topLinePunct w:val="0"/>
        <w:autoSpaceDE/>
        <w:autoSpaceDN/>
        <w:bidi w:val="0"/>
        <w:adjustRightInd/>
        <w:snapToGrid/>
        <w:spacing w:before="100" w:beforeAutospacing="0" w:after="100" w:afterAutospacing="0" w:line="460" w:lineRule="exact"/>
        <w:ind w:firstLine="360" w:firstLineChars="150"/>
        <w:jc w:val="both"/>
        <w:textAlignment w:val="auto"/>
        <w:rPr>
          <w:rStyle w:val="10"/>
          <w:rFonts w:hint="eastAsia" w:ascii="宋体" w:hAnsi="宋体" w:eastAsia="宋体" w:cs="宋体"/>
          <w:b w:val="0"/>
          <w:bCs/>
          <w:sz w:val="24"/>
          <w:szCs w:val="24"/>
        </w:rPr>
      </w:pPr>
      <w:r>
        <w:rPr>
          <w:rStyle w:val="10"/>
          <w:rFonts w:hint="eastAsia" w:ascii="宋体" w:hAnsi="宋体" w:eastAsia="宋体" w:cs="宋体"/>
          <w:b w:val="0"/>
          <w:bCs/>
          <w:sz w:val="24"/>
          <w:szCs w:val="24"/>
        </w:rPr>
        <w:t>（2）环卫站及翠江镇、城郊镇、城南镇原有临时环卫工人（含路面保洁员、驾驶员、公厕管理员等）由</w:t>
      </w:r>
      <w:r>
        <w:rPr>
          <w:rStyle w:val="10"/>
          <w:rFonts w:hint="eastAsia" w:ascii="宋体" w:hAnsi="宋体" w:cs="宋体"/>
          <w:b w:val="0"/>
          <w:bCs/>
          <w:sz w:val="24"/>
          <w:szCs w:val="24"/>
          <w:lang w:eastAsia="zh-CN"/>
        </w:rPr>
        <w:t>中标人</w:t>
      </w:r>
      <w:r>
        <w:rPr>
          <w:rStyle w:val="10"/>
          <w:rFonts w:hint="eastAsia" w:ascii="宋体" w:hAnsi="宋体" w:eastAsia="宋体" w:cs="宋体"/>
          <w:b w:val="0"/>
          <w:bCs/>
          <w:sz w:val="24"/>
          <w:szCs w:val="24"/>
        </w:rPr>
        <w:t>无条件负责接管，人员过渡期为三个月，过渡期期间</w:t>
      </w:r>
      <w:r>
        <w:rPr>
          <w:rStyle w:val="10"/>
          <w:rFonts w:hint="eastAsia" w:ascii="宋体" w:hAnsi="宋体" w:cs="宋体"/>
          <w:b w:val="0"/>
          <w:bCs/>
          <w:sz w:val="24"/>
          <w:szCs w:val="24"/>
          <w:lang w:eastAsia="zh-CN"/>
        </w:rPr>
        <w:t>中标人</w:t>
      </w:r>
      <w:r>
        <w:rPr>
          <w:rStyle w:val="10"/>
          <w:rFonts w:hint="eastAsia" w:ascii="宋体" w:hAnsi="宋体" w:eastAsia="宋体" w:cs="宋体"/>
          <w:b w:val="0"/>
          <w:bCs/>
          <w:sz w:val="24"/>
          <w:szCs w:val="24"/>
        </w:rPr>
        <w:t>须与作业人员签订过渡期临时用工协议，明确工作岗位、工资福利待遇（不低于原有岗位工资福利待遇水平），并为工作人员办理工伤保险及雇主责任险；过渡期后由</w:t>
      </w:r>
      <w:r>
        <w:rPr>
          <w:rStyle w:val="10"/>
          <w:rFonts w:hint="eastAsia" w:ascii="宋体" w:hAnsi="宋体" w:cs="宋体"/>
          <w:b w:val="0"/>
          <w:bCs/>
          <w:sz w:val="24"/>
          <w:szCs w:val="24"/>
          <w:lang w:eastAsia="zh-CN"/>
        </w:rPr>
        <w:t>中标人</w:t>
      </w:r>
      <w:r>
        <w:rPr>
          <w:rStyle w:val="10"/>
          <w:rFonts w:hint="eastAsia" w:ascii="宋体" w:hAnsi="宋体" w:eastAsia="宋体" w:cs="宋体"/>
          <w:b w:val="0"/>
          <w:bCs/>
          <w:sz w:val="24"/>
          <w:szCs w:val="24"/>
        </w:rPr>
        <w:t>与人员签订劳动合同或劳务协议，并参照福建省住房和建设厅等4部门联合下发闽建管（2019）1号文件《关于进一步保障环卫工人合法权益的若干意见》文件要求及劳动法规定配套相应的福利待遇执行，用工应符合劳动法规定的相关年龄要求，对部分岗位作业特殊性，无法招聘到法定年龄内工人的，工人工资标准</w:t>
      </w:r>
      <w:r>
        <w:rPr>
          <w:rStyle w:val="10"/>
          <w:rFonts w:hint="eastAsia" w:ascii="宋体" w:hAnsi="宋体" w:cs="宋体"/>
          <w:b w:val="0"/>
          <w:bCs/>
          <w:sz w:val="24"/>
          <w:szCs w:val="24"/>
          <w:lang w:eastAsia="zh-CN"/>
        </w:rPr>
        <w:t>、五险</w:t>
      </w:r>
      <w:r>
        <w:rPr>
          <w:rStyle w:val="10"/>
          <w:rFonts w:hint="eastAsia" w:ascii="宋体" w:hAnsi="宋体" w:eastAsia="宋体" w:cs="宋体"/>
          <w:b w:val="0"/>
          <w:bCs/>
          <w:sz w:val="24"/>
          <w:szCs w:val="24"/>
        </w:rPr>
        <w:t>等福利待遇应折算成工资待遇发放给工人。工人日常管理按照</w:t>
      </w:r>
      <w:r>
        <w:rPr>
          <w:rStyle w:val="10"/>
          <w:rFonts w:hint="eastAsia" w:ascii="宋体" w:hAnsi="宋体" w:cs="宋体"/>
          <w:b w:val="0"/>
          <w:bCs/>
          <w:sz w:val="24"/>
          <w:szCs w:val="24"/>
          <w:lang w:eastAsia="zh-CN"/>
        </w:rPr>
        <w:t>中标人</w:t>
      </w:r>
      <w:r>
        <w:rPr>
          <w:rStyle w:val="10"/>
          <w:rFonts w:hint="eastAsia" w:ascii="宋体" w:hAnsi="宋体" w:eastAsia="宋体" w:cs="宋体"/>
          <w:b w:val="0"/>
          <w:bCs/>
          <w:sz w:val="24"/>
          <w:szCs w:val="24"/>
        </w:rPr>
        <w:t>人事管理、劳动纪律等企业制度规定执行。</w:t>
      </w:r>
    </w:p>
    <w:p>
      <w:pPr>
        <w:pStyle w:val="6"/>
        <w:keepNext w:val="0"/>
        <w:keepLines w:val="0"/>
        <w:pageBreakBefore w:val="0"/>
        <w:widowControl/>
        <w:suppressLineNumbers w:val="0"/>
        <w:kinsoku/>
        <w:wordWrap/>
        <w:overflowPunct/>
        <w:topLinePunct w:val="0"/>
        <w:autoSpaceDE/>
        <w:autoSpaceDN/>
        <w:bidi w:val="0"/>
        <w:adjustRightInd/>
        <w:snapToGrid/>
        <w:spacing w:before="100" w:beforeAutospacing="0" w:after="100" w:afterAutospacing="0" w:line="460" w:lineRule="exact"/>
        <w:ind w:firstLine="360" w:firstLineChars="150"/>
        <w:jc w:val="both"/>
        <w:textAlignment w:val="auto"/>
        <w:rPr>
          <w:rStyle w:val="10"/>
          <w:rFonts w:hint="eastAsia" w:ascii="宋体" w:hAnsi="宋体" w:cs="宋体"/>
          <w:b w:val="0"/>
          <w:bCs/>
          <w:sz w:val="24"/>
          <w:szCs w:val="24"/>
          <w:lang w:eastAsia="zh-CN"/>
        </w:rPr>
      </w:pPr>
      <w:r>
        <w:rPr>
          <w:rStyle w:val="10"/>
          <w:rFonts w:hint="eastAsia" w:ascii="宋体" w:hAnsi="宋体" w:cs="宋体"/>
          <w:b w:val="0"/>
          <w:bCs/>
          <w:sz w:val="24"/>
          <w:szCs w:val="24"/>
          <w:lang w:eastAsia="zh-CN"/>
        </w:rPr>
        <w:t>（</w:t>
      </w:r>
      <w:r>
        <w:rPr>
          <w:rStyle w:val="10"/>
          <w:rFonts w:hint="eastAsia" w:ascii="宋体" w:hAnsi="宋体" w:cs="宋体"/>
          <w:b w:val="0"/>
          <w:bCs/>
          <w:sz w:val="24"/>
          <w:szCs w:val="24"/>
          <w:lang w:val="en-US" w:eastAsia="zh-CN"/>
        </w:rPr>
        <w:t>3</w:t>
      </w:r>
      <w:r>
        <w:rPr>
          <w:rStyle w:val="10"/>
          <w:rFonts w:hint="eastAsia" w:ascii="宋体" w:hAnsi="宋体" w:cs="宋体"/>
          <w:b w:val="0"/>
          <w:bCs/>
          <w:sz w:val="24"/>
          <w:szCs w:val="24"/>
          <w:lang w:eastAsia="zh-CN"/>
        </w:rPr>
        <w:t>）工人日常管理按照中标人人事管理、劳动纪律等企业制度规定执行。</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479" w:leftChars="228" w:right="0" w:firstLine="0" w:firstLineChars="0"/>
        <w:jc w:val="both"/>
        <w:textAlignment w:val="auto"/>
        <w:rPr>
          <w:rFonts w:hint="eastAsia" w:ascii="宋体" w:hAnsi="宋体" w:eastAsia="宋体" w:cs="宋体"/>
          <w:b w:val="0"/>
          <w:bCs w:val="0"/>
          <w:sz w:val="24"/>
          <w:szCs w:val="24"/>
          <w:highlight w:val="none"/>
          <w:lang w:val="en-US" w:eastAsia="zh-CN"/>
        </w:rPr>
      </w:pPr>
      <w:r>
        <w:rPr>
          <w:rFonts w:hint="eastAsia" w:ascii="宋体" w:hAnsi="宋体" w:cs="宋体"/>
          <w:b w:val="0"/>
          <w:bCs w:val="0"/>
          <w:sz w:val="24"/>
          <w:szCs w:val="24"/>
          <w:highlight w:val="none"/>
          <w:lang w:eastAsia="zh-CN"/>
        </w:rPr>
        <w:t>（</w:t>
      </w:r>
      <w:r>
        <w:rPr>
          <w:rFonts w:hint="eastAsia" w:ascii="宋体" w:hAnsi="宋体" w:cs="宋体"/>
          <w:b w:val="0"/>
          <w:bCs w:val="0"/>
          <w:sz w:val="24"/>
          <w:szCs w:val="24"/>
          <w:highlight w:val="none"/>
          <w:lang w:val="en-US" w:eastAsia="zh-CN"/>
        </w:rPr>
        <w:t>4</w:t>
      </w:r>
      <w:r>
        <w:rPr>
          <w:rFonts w:hint="eastAsia" w:ascii="宋体" w:hAnsi="宋体" w:cs="宋体"/>
          <w:b w:val="0"/>
          <w:bCs w:val="0"/>
          <w:sz w:val="24"/>
          <w:szCs w:val="24"/>
          <w:highlight w:val="none"/>
          <w:lang w:eastAsia="zh-CN"/>
        </w:rPr>
        <w:t>）</w:t>
      </w:r>
      <w:r>
        <w:rPr>
          <w:rFonts w:hint="eastAsia" w:ascii="宋体" w:hAnsi="宋体" w:eastAsia="宋体" w:cs="宋体"/>
          <w:b w:val="0"/>
          <w:bCs w:val="0"/>
          <w:sz w:val="24"/>
          <w:szCs w:val="24"/>
          <w:highlight w:val="none"/>
        </w:rPr>
        <w:t>人员过渡期为三个月</w:t>
      </w:r>
      <w:r>
        <w:rPr>
          <w:rFonts w:hint="eastAsia" w:ascii="宋体" w:hAnsi="宋体" w:eastAsia="宋体" w:cs="宋体"/>
          <w:b w:val="0"/>
          <w:bCs w:val="0"/>
          <w:sz w:val="24"/>
          <w:szCs w:val="24"/>
          <w:highlight w:val="none"/>
          <w:lang w:eastAsia="zh-CN"/>
        </w:rPr>
        <w:t>，</w:t>
      </w:r>
      <w:r>
        <w:rPr>
          <w:rFonts w:hint="eastAsia" w:ascii="宋体" w:hAnsi="宋体" w:eastAsia="宋体" w:cs="宋体"/>
          <w:b w:val="0"/>
          <w:bCs w:val="0"/>
          <w:sz w:val="24"/>
          <w:szCs w:val="24"/>
          <w:highlight w:val="none"/>
          <w:lang w:val="en-US" w:eastAsia="zh-CN"/>
        </w:rPr>
        <w:t>第三个月内人员到位配齐。</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479" w:leftChars="228" w:right="0" w:firstLine="0" w:firstLineChars="0"/>
        <w:jc w:val="both"/>
        <w:textAlignment w:val="auto"/>
        <w:rPr>
          <w:rFonts w:hint="eastAsia" w:ascii="宋体" w:hAnsi="宋体" w:eastAsia="宋体" w:cs="宋体"/>
          <w:b w:val="0"/>
          <w:bCs w:val="0"/>
          <w:sz w:val="24"/>
          <w:szCs w:val="24"/>
          <w:highlight w:val="none"/>
          <w:lang w:val="en-US" w:eastAsia="zh-CN"/>
        </w:rPr>
      </w:pPr>
      <w:r>
        <w:rPr>
          <w:rFonts w:hint="eastAsia" w:ascii="宋体" w:hAnsi="宋体" w:cs="宋体"/>
          <w:b w:val="0"/>
          <w:bCs w:val="0"/>
          <w:sz w:val="24"/>
          <w:szCs w:val="24"/>
          <w:highlight w:val="none"/>
          <w:lang w:val="en-US" w:eastAsia="zh-CN"/>
        </w:rPr>
        <w:t>（5）现有所有环卫工人交接过度中标人企业过渡期内，不得</w:t>
      </w:r>
    </w:p>
    <w:p>
      <w:pPr>
        <w:pStyle w:val="6"/>
        <w:keepNext w:val="0"/>
        <w:keepLines w:val="0"/>
        <w:pageBreakBefore w:val="0"/>
        <w:widowControl/>
        <w:suppressLineNumbers w:val="0"/>
        <w:kinsoku/>
        <w:wordWrap/>
        <w:overflowPunct/>
        <w:topLinePunct w:val="0"/>
        <w:autoSpaceDE/>
        <w:autoSpaceDN/>
        <w:bidi w:val="0"/>
        <w:adjustRightInd/>
        <w:snapToGrid/>
        <w:spacing w:before="100" w:beforeAutospacing="0" w:after="100" w:afterAutospacing="0" w:line="460" w:lineRule="exact"/>
        <w:ind w:firstLine="482" w:firstLineChars="200"/>
        <w:jc w:val="both"/>
        <w:textAlignment w:val="auto"/>
        <w:rPr>
          <w:rStyle w:val="10"/>
          <w:rFonts w:hint="eastAsia" w:ascii="宋体" w:hAnsi="宋体" w:eastAsia="宋体" w:cs="宋体"/>
          <w:b/>
          <w:bCs w:val="0"/>
          <w:color w:val="000000"/>
          <w:sz w:val="24"/>
          <w:szCs w:val="24"/>
          <w:lang w:val="en-US" w:eastAsia="zh-CN"/>
        </w:rPr>
      </w:pPr>
      <w:r>
        <w:rPr>
          <w:rStyle w:val="10"/>
          <w:rFonts w:hint="eastAsia" w:ascii="宋体" w:hAnsi="宋体" w:cs="宋体"/>
          <w:b/>
          <w:bCs w:val="0"/>
          <w:color w:val="000000"/>
          <w:sz w:val="24"/>
          <w:szCs w:val="24"/>
          <w:lang w:val="en-US" w:eastAsia="zh-CN"/>
        </w:rPr>
        <w:t>4、</w:t>
      </w:r>
      <w:r>
        <w:rPr>
          <w:rStyle w:val="10"/>
          <w:rFonts w:hint="eastAsia" w:ascii="宋体" w:hAnsi="宋体" w:eastAsia="宋体" w:cs="宋体"/>
          <w:b/>
          <w:bCs w:val="0"/>
          <w:color w:val="000000"/>
          <w:sz w:val="24"/>
          <w:szCs w:val="24"/>
          <w:lang w:val="en-US" w:eastAsia="zh-CN"/>
        </w:rPr>
        <w:t>广告投放</w:t>
      </w:r>
    </w:p>
    <w:p>
      <w:pPr>
        <w:pStyle w:val="6"/>
        <w:keepNext w:val="0"/>
        <w:keepLines w:val="0"/>
        <w:pageBreakBefore w:val="0"/>
        <w:widowControl/>
        <w:suppressLineNumbers w:val="0"/>
        <w:kinsoku/>
        <w:wordWrap/>
        <w:overflowPunct/>
        <w:topLinePunct w:val="0"/>
        <w:autoSpaceDE/>
        <w:autoSpaceDN/>
        <w:bidi w:val="0"/>
        <w:adjustRightInd/>
        <w:snapToGrid/>
        <w:spacing w:before="100" w:beforeAutospacing="0" w:after="100" w:afterAutospacing="0" w:line="460" w:lineRule="exact"/>
        <w:ind w:firstLine="480" w:firstLineChars="200"/>
        <w:jc w:val="both"/>
        <w:textAlignment w:val="auto"/>
        <w:rPr>
          <w:rStyle w:val="10"/>
          <w:rFonts w:hint="eastAsia" w:ascii="宋体" w:hAnsi="宋体" w:eastAsia="宋体" w:cs="宋体"/>
          <w:b w:val="0"/>
          <w:bCs/>
          <w:sz w:val="24"/>
          <w:szCs w:val="24"/>
          <w:lang w:val="en-US" w:eastAsia="zh-CN"/>
        </w:rPr>
      </w:pPr>
      <w:r>
        <w:rPr>
          <w:rStyle w:val="10"/>
          <w:rFonts w:hint="eastAsia" w:ascii="宋体" w:hAnsi="宋体" w:eastAsia="宋体" w:cs="宋体"/>
          <w:b w:val="0"/>
          <w:bCs/>
          <w:sz w:val="24"/>
          <w:szCs w:val="24"/>
          <w:lang w:val="en-US" w:eastAsia="zh-CN"/>
        </w:rPr>
        <w:t>服务期限内，允许中标人在环卫作业车辆、环卫服装、公共厕所内部等位置投放公益广告和商业广告，其中公益广告必须占30%以上。广告投放具体事宜由中标人负责，所有广告投放前必须经采购人审批，投放产生的纠纷、事故等相关责任全部由中标人负责。广告投放的具体合作事宜由县城市管理局与中标人签订补充协议。</w:t>
      </w:r>
    </w:p>
    <w:p/>
    <w:p>
      <w:pPr>
        <w:pStyle w:val="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460" w:lineRule="exact"/>
        <w:ind w:firstLine="0" w:firstLineChars="0"/>
        <w:jc w:val="both"/>
        <w:textAlignment w:val="auto"/>
        <w:rPr>
          <w:rStyle w:val="10"/>
          <w:rFonts w:hint="eastAsia" w:ascii="宋体" w:hAnsi="宋体" w:eastAsia="宋体" w:cs="宋体"/>
          <w:sz w:val="24"/>
          <w:szCs w:val="24"/>
          <w:lang w:eastAsia="zh-CN"/>
        </w:rPr>
      </w:pPr>
      <w:r>
        <w:rPr>
          <w:rStyle w:val="10"/>
          <w:rFonts w:hint="eastAsia" w:ascii="宋体" w:hAnsi="宋体" w:eastAsia="宋体" w:cs="宋体"/>
          <w:sz w:val="24"/>
          <w:szCs w:val="24"/>
        </w:rPr>
        <w:t>★（</w:t>
      </w:r>
      <w:r>
        <w:rPr>
          <w:rStyle w:val="10"/>
          <w:rFonts w:hint="eastAsia" w:ascii="宋体" w:hAnsi="宋体" w:cs="宋体"/>
          <w:sz w:val="24"/>
          <w:szCs w:val="24"/>
          <w:lang w:val="en-US" w:eastAsia="zh-CN"/>
        </w:rPr>
        <w:t>六</w:t>
      </w:r>
      <w:r>
        <w:rPr>
          <w:rStyle w:val="10"/>
          <w:rFonts w:hint="eastAsia" w:ascii="宋体" w:hAnsi="宋体" w:eastAsia="宋体" w:cs="宋体"/>
          <w:sz w:val="24"/>
          <w:szCs w:val="24"/>
        </w:rPr>
        <w:t>）</w:t>
      </w:r>
      <w:r>
        <w:rPr>
          <w:rStyle w:val="10"/>
          <w:rFonts w:hint="eastAsia" w:ascii="宋体" w:hAnsi="宋体" w:eastAsia="宋体" w:cs="宋体"/>
          <w:sz w:val="24"/>
          <w:szCs w:val="24"/>
          <w:lang w:val="en-US" w:eastAsia="zh-CN"/>
        </w:rPr>
        <w:t>宁化县城区环卫市场化服务项目</w:t>
      </w:r>
      <w:r>
        <w:rPr>
          <w:rStyle w:val="10"/>
          <w:rFonts w:hint="eastAsia" w:ascii="宋体" w:hAnsi="宋体" w:cs="宋体"/>
          <w:sz w:val="24"/>
          <w:szCs w:val="24"/>
          <w:lang w:val="en-US" w:eastAsia="zh-CN"/>
        </w:rPr>
        <w:t>需配置全新</w:t>
      </w:r>
      <w:r>
        <w:rPr>
          <w:rStyle w:val="10"/>
          <w:rFonts w:hint="eastAsia" w:ascii="宋体" w:hAnsi="宋体" w:eastAsia="宋体" w:cs="宋体"/>
          <w:sz w:val="24"/>
          <w:szCs w:val="24"/>
        </w:rPr>
        <w:t>机械配置要求</w:t>
      </w:r>
    </w:p>
    <w:tbl>
      <w:tblPr>
        <w:tblStyle w:val="7"/>
        <w:tblW w:w="9111" w:type="dxa"/>
        <w:tblCellSpacing w:w="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631"/>
        <w:gridCol w:w="628"/>
        <w:gridCol w:w="2100"/>
        <w:gridCol w:w="862"/>
        <w:gridCol w:w="3313"/>
        <w:gridCol w:w="15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586" w:type="dxa"/>
            <w:vMerge w:val="restart"/>
            <w:noWrap w:val="0"/>
            <w:tcMar>
              <w:top w:w="0" w:type="dxa"/>
              <w:left w:w="90" w:type="dxa"/>
              <w:bottom w:w="0" w:type="dxa"/>
              <w:right w:w="90" w:type="dxa"/>
            </w:tcMar>
            <w:vAlign w:val="center"/>
          </w:tcPr>
          <w:p>
            <w:pPr>
              <w:pStyle w:val="6"/>
              <w:keepNext w:val="0"/>
              <w:keepLines w:val="0"/>
              <w:widowControl/>
              <w:suppressLineNumbers w:val="0"/>
              <w:spacing w:before="100" w:beforeAutospacing="1" w:after="100" w:afterAutospacing="1" w:line="345" w:lineRule="atLeast"/>
              <w:jc w:val="center"/>
              <w:rPr>
                <w:rFonts w:hint="eastAsia" w:ascii="宋体" w:hAnsi="宋体" w:eastAsia="宋体" w:cs="宋体"/>
                <w:color w:val="auto"/>
                <w:sz w:val="24"/>
                <w:szCs w:val="24"/>
                <w:highlight w:val="none"/>
                <w:lang w:val="en-US" w:eastAsia="zh-CN"/>
              </w:rPr>
            </w:pPr>
          </w:p>
          <w:p>
            <w:pPr>
              <w:pStyle w:val="6"/>
              <w:keepNext w:val="0"/>
              <w:keepLines w:val="0"/>
              <w:widowControl/>
              <w:suppressLineNumbers w:val="0"/>
              <w:spacing w:before="100" w:beforeAutospacing="1" w:after="100" w:afterAutospacing="1" w:line="345" w:lineRule="atLeast"/>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1</w:t>
            </w:r>
          </w:p>
        </w:tc>
        <w:tc>
          <w:tcPr>
            <w:tcW w:w="598" w:type="dxa"/>
            <w:vMerge w:val="restart"/>
            <w:noWrap w:val="0"/>
            <w:tcMar>
              <w:top w:w="0" w:type="dxa"/>
              <w:left w:w="90" w:type="dxa"/>
              <w:bottom w:w="0" w:type="dxa"/>
              <w:right w:w="90" w:type="dxa"/>
            </w:tcMar>
            <w:vAlign w:val="center"/>
          </w:tcPr>
          <w:p>
            <w:pPr>
              <w:pStyle w:val="6"/>
              <w:keepNext w:val="0"/>
              <w:keepLines w:val="0"/>
              <w:widowControl/>
              <w:suppressLineNumbers w:val="0"/>
              <w:spacing w:before="100" w:beforeAutospacing="1" w:after="100" w:afterAutospacing="1" w:line="345" w:lineRule="atLeas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需配置全新环卫作业机械车</w:t>
            </w:r>
          </w:p>
        </w:tc>
        <w:tc>
          <w:tcPr>
            <w:tcW w:w="2070" w:type="dxa"/>
            <w:noWrap w:val="0"/>
            <w:tcMar>
              <w:top w:w="0" w:type="dxa"/>
              <w:left w:w="90" w:type="dxa"/>
              <w:bottom w:w="0" w:type="dxa"/>
              <w:right w:w="90" w:type="dxa"/>
            </w:tcMar>
            <w:vAlign w:val="top"/>
          </w:tcPr>
          <w:p>
            <w:pPr>
              <w:pStyle w:val="6"/>
              <w:keepNext w:val="0"/>
              <w:keepLines w:val="0"/>
              <w:widowControl/>
              <w:suppressLineNumbers w:val="0"/>
              <w:spacing w:before="100" w:beforeAutospacing="1" w:after="100" w:afterAutospacing="1" w:line="345" w:lineRule="atLeast"/>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车辆名称</w:t>
            </w:r>
          </w:p>
        </w:tc>
        <w:tc>
          <w:tcPr>
            <w:tcW w:w="832" w:type="dxa"/>
            <w:noWrap w:val="0"/>
            <w:tcMar>
              <w:top w:w="0" w:type="dxa"/>
              <w:left w:w="90" w:type="dxa"/>
              <w:bottom w:w="0" w:type="dxa"/>
              <w:right w:w="90" w:type="dxa"/>
            </w:tcMar>
            <w:vAlign w:val="center"/>
          </w:tcPr>
          <w:p>
            <w:pPr>
              <w:pStyle w:val="6"/>
              <w:keepNext w:val="0"/>
              <w:keepLines w:val="0"/>
              <w:widowControl/>
              <w:suppressLineNumbers w:val="0"/>
              <w:spacing w:before="100" w:beforeAutospacing="1" w:after="100" w:afterAutospacing="1" w:line="345" w:lineRule="atLeast"/>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数量</w:t>
            </w:r>
          </w:p>
        </w:tc>
        <w:tc>
          <w:tcPr>
            <w:tcW w:w="3283" w:type="dxa"/>
            <w:noWrap w:val="0"/>
            <w:tcMar>
              <w:top w:w="0" w:type="dxa"/>
              <w:left w:w="90" w:type="dxa"/>
              <w:bottom w:w="0" w:type="dxa"/>
              <w:right w:w="90" w:type="dxa"/>
            </w:tcMar>
            <w:vAlign w:val="top"/>
          </w:tcPr>
          <w:p>
            <w:pPr>
              <w:pStyle w:val="6"/>
              <w:keepNext w:val="0"/>
              <w:keepLines w:val="0"/>
              <w:widowControl/>
              <w:suppressLineNumbers w:val="0"/>
              <w:spacing w:before="100" w:beforeAutospacing="1" w:after="100" w:afterAutospacing="1" w:line="345" w:lineRule="atLeast"/>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最低配置</w:t>
            </w:r>
          </w:p>
        </w:tc>
        <w:tc>
          <w:tcPr>
            <w:tcW w:w="1532" w:type="dxa"/>
            <w:noWrap w:val="0"/>
            <w:tcMar>
              <w:top w:w="0" w:type="dxa"/>
              <w:left w:w="90" w:type="dxa"/>
              <w:bottom w:w="0" w:type="dxa"/>
              <w:right w:w="90" w:type="dxa"/>
            </w:tcMar>
            <w:vAlign w:val="top"/>
          </w:tcPr>
          <w:p>
            <w:pPr>
              <w:pStyle w:val="6"/>
              <w:keepNext w:val="0"/>
              <w:keepLines w:val="0"/>
              <w:widowControl/>
              <w:suppressLineNumbers w:val="0"/>
              <w:spacing w:before="100" w:beforeAutospacing="1" w:after="100" w:afterAutospacing="1" w:line="345" w:lineRule="atLeast"/>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586" w:type="dxa"/>
            <w:vMerge w:val="continue"/>
            <w:noWrap w:val="0"/>
            <w:tcMar>
              <w:top w:w="0" w:type="dxa"/>
              <w:left w:w="90" w:type="dxa"/>
              <w:bottom w:w="0" w:type="dxa"/>
              <w:right w:w="90" w:type="dxa"/>
            </w:tcMar>
            <w:vAlign w:val="center"/>
          </w:tcPr>
          <w:p>
            <w:pPr>
              <w:pStyle w:val="6"/>
              <w:keepNext w:val="0"/>
              <w:keepLines w:val="0"/>
              <w:widowControl/>
              <w:suppressLineNumbers w:val="0"/>
              <w:spacing w:before="100" w:beforeAutospacing="1" w:after="100" w:afterAutospacing="1" w:line="345" w:lineRule="atLeast"/>
              <w:jc w:val="center"/>
              <w:rPr>
                <w:rFonts w:hint="eastAsia" w:ascii="宋体" w:hAnsi="宋体" w:eastAsia="宋体" w:cs="宋体"/>
                <w:color w:val="auto"/>
                <w:sz w:val="24"/>
                <w:szCs w:val="24"/>
                <w:highlight w:val="none"/>
                <w:lang w:val="en-US" w:eastAsia="zh-CN"/>
              </w:rPr>
            </w:pPr>
          </w:p>
        </w:tc>
        <w:tc>
          <w:tcPr>
            <w:tcW w:w="598" w:type="dxa"/>
            <w:vMerge w:val="continue"/>
            <w:noWrap w:val="0"/>
            <w:tcMar>
              <w:top w:w="0" w:type="dxa"/>
              <w:left w:w="90" w:type="dxa"/>
              <w:bottom w:w="0" w:type="dxa"/>
              <w:right w:w="90" w:type="dxa"/>
            </w:tcMar>
            <w:vAlign w:val="center"/>
          </w:tcPr>
          <w:p>
            <w:pPr>
              <w:pStyle w:val="6"/>
              <w:keepNext w:val="0"/>
              <w:keepLines w:val="0"/>
              <w:widowControl/>
              <w:suppressLineNumbers w:val="0"/>
              <w:spacing w:before="100" w:beforeAutospacing="1" w:after="100" w:afterAutospacing="1" w:line="345" w:lineRule="atLeast"/>
              <w:jc w:val="center"/>
              <w:rPr>
                <w:rFonts w:hint="eastAsia" w:ascii="宋体" w:hAnsi="宋体" w:eastAsia="宋体" w:cs="宋体"/>
                <w:color w:val="auto"/>
                <w:sz w:val="24"/>
                <w:szCs w:val="24"/>
                <w:highlight w:val="none"/>
              </w:rPr>
            </w:pPr>
          </w:p>
        </w:tc>
        <w:tc>
          <w:tcPr>
            <w:tcW w:w="2070" w:type="dxa"/>
            <w:noWrap w:val="0"/>
            <w:tcMar>
              <w:top w:w="0" w:type="dxa"/>
              <w:left w:w="90" w:type="dxa"/>
              <w:bottom w:w="0" w:type="dxa"/>
              <w:right w:w="90" w:type="dxa"/>
            </w:tcMar>
            <w:vAlign w:val="center"/>
          </w:tcPr>
          <w:p>
            <w:pPr>
              <w:pStyle w:val="6"/>
              <w:keepNext w:val="0"/>
              <w:keepLines w:val="0"/>
              <w:widowControl/>
              <w:suppressLineNumbers w:val="0"/>
              <w:spacing w:before="100" w:beforeAutospacing="1" w:after="100" w:afterAutospacing="1" w:line="345" w:lineRule="atLeast"/>
              <w:ind w:left="0" w:leftChars="0" w:right="0" w:rightChars="0"/>
              <w:jc w:val="both"/>
              <w:rPr>
                <w:rFonts w:hint="eastAsia" w:ascii="宋体" w:hAnsi="宋体" w:eastAsia="宋体" w:cs="宋体"/>
                <w:color w:val="auto"/>
                <w:kern w:val="0"/>
                <w:sz w:val="24"/>
                <w:szCs w:val="24"/>
                <w:highlight w:val="none"/>
              </w:rPr>
            </w:pPr>
            <w:r>
              <w:rPr>
                <w:rFonts w:hint="eastAsia" w:ascii="宋体" w:hAnsi="宋体" w:cs="宋体"/>
                <w:color w:val="auto"/>
                <w:kern w:val="0"/>
                <w:sz w:val="24"/>
                <w:szCs w:val="24"/>
                <w:highlight w:val="none"/>
                <w:lang w:val="en-US" w:eastAsia="zh-CN"/>
              </w:rPr>
              <w:t>8T</w:t>
            </w:r>
            <w:r>
              <w:rPr>
                <w:rFonts w:hint="eastAsia" w:ascii="宋体" w:hAnsi="宋体" w:eastAsia="宋体" w:cs="宋体"/>
                <w:color w:val="auto"/>
                <w:kern w:val="0"/>
                <w:sz w:val="24"/>
                <w:szCs w:val="24"/>
                <w:highlight w:val="none"/>
              </w:rPr>
              <w:t>高压清洗车</w:t>
            </w:r>
          </w:p>
        </w:tc>
        <w:tc>
          <w:tcPr>
            <w:tcW w:w="832" w:type="dxa"/>
            <w:noWrap w:val="0"/>
            <w:tcMar>
              <w:top w:w="0" w:type="dxa"/>
              <w:left w:w="90" w:type="dxa"/>
              <w:bottom w:w="0" w:type="dxa"/>
              <w:right w:w="90" w:type="dxa"/>
            </w:tcMar>
            <w:vAlign w:val="center"/>
          </w:tcPr>
          <w:p>
            <w:pPr>
              <w:pStyle w:val="6"/>
              <w:keepNext w:val="0"/>
              <w:keepLines w:val="0"/>
              <w:widowControl/>
              <w:suppressLineNumbers w:val="0"/>
              <w:spacing w:before="100" w:beforeAutospacing="1" w:after="100" w:afterAutospacing="1" w:line="345" w:lineRule="atLeast"/>
              <w:ind w:left="0" w:leftChars="0" w:right="0" w:rightChars="0"/>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w:t>
            </w:r>
          </w:p>
        </w:tc>
        <w:tc>
          <w:tcPr>
            <w:tcW w:w="3283" w:type="dxa"/>
            <w:noWrap w:val="0"/>
            <w:tcMar>
              <w:top w:w="0" w:type="dxa"/>
              <w:left w:w="90" w:type="dxa"/>
              <w:bottom w:w="0" w:type="dxa"/>
              <w:right w:w="90" w:type="dxa"/>
            </w:tcMar>
            <w:vAlign w:val="top"/>
          </w:tcPr>
          <w:p>
            <w:pPr>
              <w:pStyle w:val="6"/>
              <w:keepNext w:val="0"/>
              <w:keepLines w:val="0"/>
              <w:widowControl/>
              <w:suppressLineNumbers w:val="0"/>
              <w:spacing w:before="100" w:beforeAutospacing="1" w:after="100" w:afterAutospacing="1" w:line="345" w:lineRule="atLeast"/>
              <w:ind w:left="0" w:leftChars="0" w:right="0" w:rightChars="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中标人拟新购的设备购买价格不得低于人民币45万/部</w:t>
            </w:r>
          </w:p>
        </w:tc>
        <w:tc>
          <w:tcPr>
            <w:tcW w:w="1532" w:type="dxa"/>
            <w:noWrap w:val="0"/>
            <w:tcMar>
              <w:top w:w="0" w:type="dxa"/>
              <w:left w:w="90" w:type="dxa"/>
              <w:bottom w:w="0" w:type="dxa"/>
              <w:right w:w="90" w:type="dxa"/>
            </w:tcMar>
            <w:vAlign w:val="top"/>
          </w:tcPr>
          <w:p>
            <w:pPr>
              <w:pStyle w:val="6"/>
              <w:keepNext w:val="0"/>
              <w:keepLines w:val="0"/>
              <w:widowControl/>
              <w:suppressLineNumbers w:val="0"/>
              <w:spacing w:before="100" w:beforeAutospacing="1" w:after="100" w:afterAutospacing="1" w:line="345" w:lineRule="atLeast"/>
              <w:ind w:left="0" w:leftChars="0" w:right="0" w:rightChars="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车辆按照9年折旧计算</w:t>
            </w:r>
            <w:r>
              <w:rPr>
                <w:rFonts w:hint="eastAsia" w:ascii="宋体" w:hAnsi="宋体" w:eastAsia="宋体" w:cs="宋体"/>
                <w:color w:val="auto"/>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586" w:type="dxa"/>
            <w:vMerge w:val="continue"/>
            <w:noWrap w:val="0"/>
            <w:tcMar>
              <w:top w:w="0" w:type="dxa"/>
              <w:left w:w="90" w:type="dxa"/>
              <w:bottom w:w="0" w:type="dxa"/>
              <w:right w:w="90" w:type="dxa"/>
            </w:tcMar>
            <w:vAlign w:val="center"/>
          </w:tcPr>
          <w:p>
            <w:pPr>
              <w:rPr>
                <w:rFonts w:hint="eastAsia" w:ascii="宋体" w:hAnsi="宋体" w:eastAsia="宋体" w:cs="宋体"/>
                <w:color w:val="auto"/>
                <w:sz w:val="24"/>
                <w:szCs w:val="24"/>
                <w:highlight w:val="none"/>
              </w:rPr>
            </w:pPr>
          </w:p>
        </w:tc>
        <w:tc>
          <w:tcPr>
            <w:tcW w:w="598" w:type="dxa"/>
            <w:vMerge w:val="continue"/>
            <w:noWrap w:val="0"/>
            <w:tcMar>
              <w:top w:w="0" w:type="dxa"/>
              <w:left w:w="90" w:type="dxa"/>
              <w:bottom w:w="0" w:type="dxa"/>
              <w:right w:w="90" w:type="dxa"/>
            </w:tcMar>
            <w:vAlign w:val="center"/>
          </w:tcPr>
          <w:p>
            <w:pPr>
              <w:rPr>
                <w:rFonts w:hint="eastAsia" w:ascii="宋体" w:hAnsi="宋体" w:eastAsia="宋体" w:cs="宋体"/>
                <w:color w:val="auto"/>
                <w:sz w:val="24"/>
                <w:szCs w:val="24"/>
                <w:highlight w:val="none"/>
              </w:rPr>
            </w:pPr>
          </w:p>
        </w:tc>
        <w:tc>
          <w:tcPr>
            <w:tcW w:w="2070" w:type="dxa"/>
            <w:noWrap w:val="0"/>
            <w:tcMar>
              <w:top w:w="0" w:type="dxa"/>
              <w:left w:w="90" w:type="dxa"/>
              <w:bottom w:w="0" w:type="dxa"/>
              <w:right w:w="90" w:type="dxa"/>
            </w:tcMar>
            <w:vAlign w:val="center"/>
          </w:tcPr>
          <w:p>
            <w:pPr>
              <w:pStyle w:val="6"/>
              <w:keepNext w:val="0"/>
              <w:keepLines w:val="0"/>
              <w:widowControl/>
              <w:suppressLineNumbers w:val="0"/>
              <w:spacing w:before="100" w:beforeAutospacing="1" w:after="100" w:afterAutospacing="1" w:line="345" w:lineRule="atLeast"/>
              <w:jc w:val="both"/>
              <w:rPr>
                <w:rFonts w:hint="eastAsia" w:ascii="宋体" w:hAnsi="宋体" w:eastAsia="宋体" w:cs="宋体"/>
                <w:color w:val="auto"/>
                <w:sz w:val="24"/>
                <w:szCs w:val="24"/>
                <w:highlight w:val="none"/>
              </w:rPr>
            </w:pPr>
            <w:r>
              <w:rPr>
                <w:rFonts w:hint="eastAsia" w:ascii="宋体" w:hAnsi="宋体" w:cs="宋体"/>
                <w:color w:val="auto"/>
                <w:kern w:val="0"/>
                <w:sz w:val="24"/>
                <w:szCs w:val="24"/>
                <w:highlight w:val="none"/>
                <w:lang w:val="en-US" w:eastAsia="zh-CN"/>
              </w:rPr>
              <w:t>10T</w:t>
            </w:r>
            <w:r>
              <w:rPr>
                <w:rFonts w:hint="eastAsia" w:ascii="宋体" w:hAnsi="宋体" w:eastAsia="宋体" w:cs="宋体"/>
                <w:color w:val="auto"/>
                <w:kern w:val="0"/>
                <w:sz w:val="24"/>
                <w:szCs w:val="24"/>
                <w:highlight w:val="none"/>
              </w:rPr>
              <w:t>洒水车</w:t>
            </w:r>
          </w:p>
        </w:tc>
        <w:tc>
          <w:tcPr>
            <w:tcW w:w="832" w:type="dxa"/>
            <w:noWrap w:val="0"/>
            <w:tcMar>
              <w:top w:w="0" w:type="dxa"/>
              <w:left w:w="90" w:type="dxa"/>
              <w:bottom w:w="0" w:type="dxa"/>
              <w:right w:w="90" w:type="dxa"/>
            </w:tcMar>
            <w:vAlign w:val="center"/>
          </w:tcPr>
          <w:p>
            <w:pPr>
              <w:pStyle w:val="6"/>
              <w:keepNext w:val="0"/>
              <w:keepLines w:val="0"/>
              <w:widowControl/>
              <w:suppressLineNumbers w:val="0"/>
              <w:spacing w:before="100" w:beforeAutospacing="1" w:after="100" w:afterAutospacing="1" w:line="345" w:lineRule="atLeast"/>
              <w:jc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2</w:t>
            </w:r>
          </w:p>
        </w:tc>
        <w:tc>
          <w:tcPr>
            <w:tcW w:w="3283" w:type="dxa"/>
            <w:noWrap w:val="0"/>
            <w:tcMar>
              <w:top w:w="0" w:type="dxa"/>
              <w:left w:w="90" w:type="dxa"/>
              <w:bottom w:w="0" w:type="dxa"/>
              <w:right w:w="90" w:type="dxa"/>
            </w:tcMar>
            <w:vAlign w:val="top"/>
          </w:tcPr>
          <w:p>
            <w:pPr>
              <w:pStyle w:val="6"/>
              <w:keepNext w:val="0"/>
              <w:keepLines w:val="0"/>
              <w:widowControl/>
              <w:suppressLineNumbers w:val="0"/>
              <w:spacing w:before="100" w:beforeAutospacing="1" w:after="100" w:afterAutospacing="1" w:line="345" w:lineRule="atLeast"/>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中标人拟新购的设备购买价格不得低于人民币</w:t>
            </w:r>
            <w:r>
              <w:rPr>
                <w:rFonts w:hint="eastAsia" w:ascii="宋体" w:hAnsi="宋体" w:eastAsia="宋体" w:cs="宋体"/>
                <w:color w:val="auto"/>
                <w:sz w:val="24"/>
                <w:szCs w:val="24"/>
                <w:highlight w:val="none"/>
                <w:lang w:val="en-US" w:eastAsia="zh-CN"/>
              </w:rPr>
              <w:t>40</w:t>
            </w:r>
            <w:r>
              <w:rPr>
                <w:rFonts w:hint="eastAsia" w:ascii="宋体" w:hAnsi="宋体" w:eastAsia="宋体" w:cs="宋体"/>
                <w:color w:val="auto"/>
                <w:sz w:val="24"/>
                <w:szCs w:val="24"/>
                <w:highlight w:val="none"/>
              </w:rPr>
              <w:t>万/部</w:t>
            </w:r>
          </w:p>
        </w:tc>
        <w:tc>
          <w:tcPr>
            <w:tcW w:w="1532" w:type="dxa"/>
            <w:noWrap w:val="0"/>
            <w:tcMar>
              <w:top w:w="0" w:type="dxa"/>
              <w:left w:w="90" w:type="dxa"/>
              <w:bottom w:w="0" w:type="dxa"/>
              <w:right w:w="90" w:type="dxa"/>
            </w:tcMar>
            <w:vAlign w:val="top"/>
          </w:tcPr>
          <w:p>
            <w:pPr>
              <w:pStyle w:val="6"/>
              <w:keepNext w:val="0"/>
              <w:keepLines w:val="0"/>
              <w:widowControl/>
              <w:suppressLineNumbers w:val="0"/>
              <w:spacing w:before="100" w:beforeAutospacing="1" w:after="100" w:afterAutospacing="1" w:line="345" w:lineRule="atLeast"/>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车辆按照9年折旧计算</w:t>
            </w:r>
            <w:r>
              <w:rPr>
                <w:rFonts w:hint="eastAsia" w:ascii="宋体" w:hAnsi="宋体" w:eastAsia="宋体" w:cs="宋体"/>
                <w:color w:val="auto"/>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586" w:type="dxa"/>
            <w:vMerge w:val="continue"/>
            <w:noWrap w:val="0"/>
            <w:tcMar>
              <w:top w:w="0" w:type="dxa"/>
              <w:left w:w="90" w:type="dxa"/>
              <w:bottom w:w="0" w:type="dxa"/>
              <w:right w:w="90" w:type="dxa"/>
            </w:tcMar>
            <w:vAlign w:val="center"/>
          </w:tcPr>
          <w:p>
            <w:pPr>
              <w:rPr>
                <w:rFonts w:hint="eastAsia" w:ascii="宋体" w:hAnsi="宋体" w:eastAsia="宋体" w:cs="宋体"/>
                <w:color w:val="auto"/>
                <w:sz w:val="24"/>
                <w:szCs w:val="24"/>
                <w:highlight w:val="none"/>
              </w:rPr>
            </w:pPr>
          </w:p>
        </w:tc>
        <w:tc>
          <w:tcPr>
            <w:tcW w:w="598" w:type="dxa"/>
            <w:vMerge w:val="continue"/>
            <w:noWrap w:val="0"/>
            <w:tcMar>
              <w:top w:w="0" w:type="dxa"/>
              <w:left w:w="90" w:type="dxa"/>
              <w:bottom w:w="0" w:type="dxa"/>
              <w:right w:w="90" w:type="dxa"/>
            </w:tcMar>
            <w:vAlign w:val="center"/>
          </w:tcPr>
          <w:p>
            <w:pPr>
              <w:rPr>
                <w:rFonts w:hint="eastAsia" w:ascii="宋体" w:hAnsi="宋体" w:eastAsia="宋体" w:cs="宋体"/>
                <w:color w:val="auto"/>
                <w:sz w:val="24"/>
                <w:szCs w:val="24"/>
                <w:highlight w:val="none"/>
              </w:rPr>
            </w:pPr>
          </w:p>
        </w:tc>
        <w:tc>
          <w:tcPr>
            <w:tcW w:w="2070" w:type="dxa"/>
            <w:noWrap w:val="0"/>
            <w:tcMar>
              <w:top w:w="0" w:type="dxa"/>
              <w:left w:w="90" w:type="dxa"/>
              <w:bottom w:w="0" w:type="dxa"/>
              <w:right w:w="90" w:type="dxa"/>
            </w:tcMar>
            <w:vAlign w:val="center"/>
          </w:tcPr>
          <w:p>
            <w:pPr>
              <w:pStyle w:val="6"/>
              <w:keepNext w:val="0"/>
              <w:keepLines w:val="0"/>
              <w:widowControl/>
              <w:suppressLineNumbers w:val="0"/>
              <w:spacing w:before="100" w:beforeAutospacing="1" w:after="100" w:afterAutospacing="1" w:line="345" w:lineRule="atLeast"/>
              <w:jc w:val="both"/>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8T洗扫车</w:t>
            </w:r>
          </w:p>
        </w:tc>
        <w:tc>
          <w:tcPr>
            <w:tcW w:w="832" w:type="dxa"/>
            <w:noWrap w:val="0"/>
            <w:tcMar>
              <w:top w:w="0" w:type="dxa"/>
              <w:left w:w="90" w:type="dxa"/>
              <w:bottom w:w="0" w:type="dxa"/>
              <w:right w:w="90" w:type="dxa"/>
            </w:tcMar>
            <w:vAlign w:val="center"/>
          </w:tcPr>
          <w:p>
            <w:pPr>
              <w:pStyle w:val="6"/>
              <w:keepNext w:val="0"/>
              <w:keepLines w:val="0"/>
              <w:widowControl/>
              <w:suppressLineNumbers w:val="0"/>
              <w:spacing w:before="100" w:beforeAutospacing="1" w:after="100" w:afterAutospacing="1" w:line="345" w:lineRule="atLeast"/>
              <w:jc w:val="center"/>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eastAsia="zh-CN"/>
              </w:rPr>
              <w:t>2</w:t>
            </w:r>
          </w:p>
        </w:tc>
        <w:tc>
          <w:tcPr>
            <w:tcW w:w="3283" w:type="dxa"/>
            <w:noWrap w:val="0"/>
            <w:tcMar>
              <w:top w:w="0" w:type="dxa"/>
              <w:left w:w="90" w:type="dxa"/>
              <w:bottom w:w="0" w:type="dxa"/>
              <w:right w:w="90" w:type="dxa"/>
            </w:tcMar>
            <w:vAlign w:val="top"/>
          </w:tcPr>
          <w:p>
            <w:pPr>
              <w:pStyle w:val="6"/>
              <w:keepNext w:val="0"/>
              <w:keepLines w:val="0"/>
              <w:widowControl/>
              <w:suppressLineNumbers w:val="0"/>
              <w:spacing w:before="100" w:beforeAutospacing="1" w:after="100" w:afterAutospacing="1" w:line="345" w:lineRule="atLeast"/>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中标人拟新购的设备购买价格不得低于人民币</w:t>
            </w:r>
            <w:r>
              <w:rPr>
                <w:rFonts w:hint="eastAsia" w:ascii="宋体" w:hAnsi="宋体" w:eastAsia="宋体" w:cs="宋体"/>
                <w:color w:val="auto"/>
                <w:sz w:val="24"/>
                <w:szCs w:val="24"/>
                <w:highlight w:val="none"/>
                <w:lang w:val="en-US" w:eastAsia="zh-CN"/>
              </w:rPr>
              <w:t>70</w:t>
            </w:r>
            <w:r>
              <w:rPr>
                <w:rFonts w:hint="eastAsia" w:ascii="宋体" w:hAnsi="宋体" w:eastAsia="宋体" w:cs="宋体"/>
                <w:color w:val="auto"/>
                <w:sz w:val="24"/>
                <w:szCs w:val="24"/>
                <w:highlight w:val="none"/>
              </w:rPr>
              <w:t>万/部</w:t>
            </w:r>
          </w:p>
        </w:tc>
        <w:tc>
          <w:tcPr>
            <w:tcW w:w="1532" w:type="dxa"/>
            <w:noWrap w:val="0"/>
            <w:tcMar>
              <w:top w:w="0" w:type="dxa"/>
              <w:left w:w="90" w:type="dxa"/>
              <w:bottom w:w="0" w:type="dxa"/>
              <w:right w:w="90" w:type="dxa"/>
            </w:tcMar>
            <w:vAlign w:val="top"/>
          </w:tcPr>
          <w:p>
            <w:pPr>
              <w:pStyle w:val="6"/>
              <w:keepNext w:val="0"/>
              <w:keepLines w:val="0"/>
              <w:widowControl/>
              <w:suppressLineNumbers w:val="0"/>
              <w:spacing w:before="100" w:beforeAutospacing="1" w:after="100" w:afterAutospacing="1" w:line="345" w:lineRule="atLeast"/>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车辆按照9年折旧计算</w:t>
            </w:r>
            <w:r>
              <w:rPr>
                <w:rFonts w:hint="eastAsia" w:ascii="宋体" w:hAnsi="宋体" w:eastAsia="宋体" w:cs="宋体"/>
                <w:color w:val="auto"/>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586" w:type="dxa"/>
            <w:vMerge w:val="continue"/>
            <w:noWrap w:val="0"/>
            <w:tcMar>
              <w:top w:w="0" w:type="dxa"/>
              <w:left w:w="90" w:type="dxa"/>
              <w:bottom w:w="0" w:type="dxa"/>
              <w:right w:w="90" w:type="dxa"/>
            </w:tcMar>
            <w:vAlign w:val="center"/>
          </w:tcPr>
          <w:p>
            <w:pPr>
              <w:rPr>
                <w:rFonts w:hint="eastAsia" w:ascii="宋体" w:hAnsi="宋体" w:eastAsia="宋体" w:cs="宋体"/>
                <w:color w:val="auto"/>
                <w:sz w:val="24"/>
                <w:szCs w:val="24"/>
                <w:highlight w:val="none"/>
              </w:rPr>
            </w:pPr>
          </w:p>
        </w:tc>
        <w:tc>
          <w:tcPr>
            <w:tcW w:w="598" w:type="dxa"/>
            <w:vMerge w:val="continue"/>
            <w:noWrap w:val="0"/>
            <w:tcMar>
              <w:top w:w="0" w:type="dxa"/>
              <w:left w:w="90" w:type="dxa"/>
              <w:bottom w:w="0" w:type="dxa"/>
              <w:right w:w="90" w:type="dxa"/>
            </w:tcMar>
            <w:vAlign w:val="center"/>
          </w:tcPr>
          <w:p>
            <w:pPr>
              <w:rPr>
                <w:rFonts w:hint="eastAsia" w:ascii="宋体" w:hAnsi="宋体" w:eastAsia="宋体" w:cs="宋体"/>
                <w:color w:val="auto"/>
                <w:sz w:val="24"/>
                <w:szCs w:val="24"/>
                <w:highlight w:val="none"/>
              </w:rPr>
            </w:pPr>
          </w:p>
        </w:tc>
        <w:tc>
          <w:tcPr>
            <w:tcW w:w="2070" w:type="dxa"/>
            <w:noWrap w:val="0"/>
            <w:tcMar>
              <w:top w:w="0" w:type="dxa"/>
              <w:left w:w="90" w:type="dxa"/>
              <w:bottom w:w="0" w:type="dxa"/>
              <w:right w:w="90" w:type="dxa"/>
            </w:tcMar>
            <w:vAlign w:val="center"/>
          </w:tcPr>
          <w:p>
            <w:pPr>
              <w:pStyle w:val="6"/>
              <w:keepNext w:val="0"/>
              <w:keepLines w:val="0"/>
              <w:widowControl/>
              <w:suppressLineNumbers w:val="0"/>
              <w:spacing w:before="100" w:beforeAutospacing="1" w:after="100" w:afterAutospacing="1" w:line="345" w:lineRule="atLeast"/>
              <w:jc w:val="both"/>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3T洗扫车</w:t>
            </w:r>
          </w:p>
        </w:tc>
        <w:tc>
          <w:tcPr>
            <w:tcW w:w="832" w:type="dxa"/>
            <w:noWrap w:val="0"/>
            <w:tcMar>
              <w:top w:w="0" w:type="dxa"/>
              <w:left w:w="90" w:type="dxa"/>
              <w:bottom w:w="0" w:type="dxa"/>
              <w:right w:w="90" w:type="dxa"/>
            </w:tcMar>
            <w:vAlign w:val="center"/>
          </w:tcPr>
          <w:p>
            <w:pPr>
              <w:pStyle w:val="6"/>
              <w:keepNext w:val="0"/>
              <w:keepLines w:val="0"/>
              <w:widowControl/>
              <w:suppressLineNumbers w:val="0"/>
              <w:spacing w:before="100" w:beforeAutospacing="1" w:after="100" w:afterAutospacing="1" w:line="345" w:lineRule="atLeas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3283" w:type="dxa"/>
            <w:noWrap w:val="0"/>
            <w:tcMar>
              <w:top w:w="0" w:type="dxa"/>
              <w:left w:w="90" w:type="dxa"/>
              <w:bottom w:w="0" w:type="dxa"/>
              <w:right w:w="90" w:type="dxa"/>
            </w:tcMar>
            <w:vAlign w:val="top"/>
          </w:tcPr>
          <w:p>
            <w:pPr>
              <w:pStyle w:val="6"/>
              <w:keepNext w:val="0"/>
              <w:keepLines w:val="0"/>
              <w:widowControl/>
              <w:suppressLineNumbers w:val="0"/>
              <w:spacing w:before="100" w:beforeAutospacing="1" w:after="100" w:afterAutospacing="1" w:line="345" w:lineRule="atLeast"/>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中标人拟新购的设备购买价格不得低于人民币42万/部</w:t>
            </w:r>
          </w:p>
        </w:tc>
        <w:tc>
          <w:tcPr>
            <w:tcW w:w="1532" w:type="dxa"/>
            <w:noWrap w:val="0"/>
            <w:tcMar>
              <w:top w:w="0" w:type="dxa"/>
              <w:left w:w="90" w:type="dxa"/>
              <w:bottom w:w="0" w:type="dxa"/>
              <w:right w:w="90" w:type="dxa"/>
            </w:tcMar>
            <w:vAlign w:val="top"/>
          </w:tcPr>
          <w:p>
            <w:pPr>
              <w:pStyle w:val="6"/>
              <w:keepNext w:val="0"/>
              <w:keepLines w:val="0"/>
              <w:widowControl/>
              <w:suppressLineNumbers w:val="0"/>
              <w:spacing w:before="100" w:beforeAutospacing="1" w:after="100" w:afterAutospacing="1" w:line="345" w:lineRule="atLeast"/>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车辆按照9年折旧计算</w:t>
            </w:r>
            <w:r>
              <w:rPr>
                <w:rFonts w:hint="eastAsia" w:ascii="宋体" w:hAnsi="宋体" w:eastAsia="宋体" w:cs="宋体"/>
                <w:color w:val="auto"/>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586" w:type="dxa"/>
            <w:vMerge w:val="continue"/>
            <w:noWrap w:val="0"/>
            <w:tcMar>
              <w:top w:w="0" w:type="dxa"/>
              <w:left w:w="90" w:type="dxa"/>
              <w:bottom w:w="0" w:type="dxa"/>
              <w:right w:w="90" w:type="dxa"/>
            </w:tcMar>
            <w:vAlign w:val="center"/>
          </w:tcPr>
          <w:p>
            <w:pPr>
              <w:rPr>
                <w:rFonts w:hint="eastAsia" w:ascii="宋体" w:hAnsi="宋体" w:eastAsia="宋体" w:cs="宋体"/>
                <w:color w:val="auto"/>
                <w:sz w:val="24"/>
                <w:szCs w:val="24"/>
                <w:highlight w:val="none"/>
              </w:rPr>
            </w:pPr>
          </w:p>
        </w:tc>
        <w:tc>
          <w:tcPr>
            <w:tcW w:w="598" w:type="dxa"/>
            <w:vMerge w:val="continue"/>
            <w:noWrap w:val="0"/>
            <w:tcMar>
              <w:top w:w="0" w:type="dxa"/>
              <w:left w:w="90" w:type="dxa"/>
              <w:bottom w:w="0" w:type="dxa"/>
              <w:right w:w="90" w:type="dxa"/>
            </w:tcMar>
            <w:vAlign w:val="center"/>
          </w:tcPr>
          <w:p>
            <w:pPr>
              <w:rPr>
                <w:rFonts w:hint="eastAsia" w:ascii="宋体" w:hAnsi="宋体" w:eastAsia="宋体" w:cs="宋体"/>
                <w:color w:val="auto"/>
                <w:sz w:val="24"/>
                <w:szCs w:val="24"/>
                <w:highlight w:val="none"/>
              </w:rPr>
            </w:pPr>
          </w:p>
        </w:tc>
        <w:tc>
          <w:tcPr>
            <w:tcW w:w="2070" w:type="dxa"/>
            <w:noWrap w:val="0"/>
            <w:tcMar>
              <w:top w:w="0" w:type="dxa"/>
              <w:left w:w="90" w:type="dxa"/>
              <w:bottom w:w="0" w:type="dxa"/>
              <w:right w:w="90" w:type="dxa"/>
            </w:tcMar>
            <w:vAlign w:val="center"/>
          </w:tcPr>
          <w:p>
            <w:pPr>
              <w:pStyle w:val="6"/>
              <w:keepNext w:val="0"/>
              <w:keepLines w:val="0"/>
              <w:widowControl/>
              <w:suppressLineNumbers w:val="0"/>
              <w:spacing w:before="100" w:beforeAutospacing="1" w:after="100" w:afterAutospacing="1" w:line="345" w:lineRule="atLeast"/>
              <w:jc w:val="both"/>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护栏清洗车</w:t>
            </w:r>
          </w:p>
        </w:tc>
        <w:tc>
          <w:tcPr>
            <w:tcW w:w="832" w:type="dxa"/>
            <w:noWrap w:val="0"/>
            <w:tcMar>
              <w:top w:w="0" w:type="dxa"/>
              <w:left w:w="90" w:type="dxa"/>
              <w:bottom w:w="0" w:type="dxa"/>
              <w:right w:w="90" w:type="dxa"/>
            </w:tcMar>
            <w:vAlign w:val="center"/>
          </w:tcPr>
          <w:p>
            <w:pPr>
              <w:pStyle w:val="6"/>
              <w:keepNext w:val="0"/>
              <w:keepLines w:val="0"/>
              <w:widowControl/>
              <w:suppressLineNumbers w:val="0"/>
              <w:spacing w:before="100" w:beforeAutospacing="1" w:after="100" w:afterAutospacing="1" w:line="345" w:lineRule="atLeas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3283" w:type="dxa"/>
            <w:noWrap w:val="0"/>
            <w:tcMar>
              <w:top w:w="0" w:type="dxa"/>
              <w:left w:w="90" w:type="dxa"/>
              <w:bottom w:w="0" w:type="dxa"/>
              <w:right w:w="90" w:type="dxa"/>
            </w:tcMar>
            <w:vAlign w:val="top"/>
          </w:tcPr>
          <w:p>
            <w:pPr>
              <w:pStyle w:val="6"/>
              <w:keepNext w:val="0"/>
              <w:keepLines w:val="0"/>
              <w:widowControl/>
              <w:suppressLineNumbers w:val="0"/>
              <w:spacing w:before="100" w:beforeAutospacing="1" w:after="100" w:afterAutospacing="1" w:line="345" w:lineRule="atLeast"/>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中标人拟新购的设备购买价格不得低于人民币</w:t>
            </w:r>
            <w:r>
              <w:rPr>
                <w:rFonts w:hint="eastAsia" w:ascii="宋体" w:hAnsi="宋体" w:eastAsia="宋体" w:cs="宋体"/>
                <w:color w:val="auto"/>
                <w:sz w:val="24"/>
                <w:szCs w:val="24"/>
                <w:highlight w:val="none"/>
                <w:lang w:val="en-US" w:eastAsia="zh-CN"/>
              </w:rPr>
              <w:t>45</w:t>
            </w:r>
            <w:r>
              <w:rPr>
                <w:rFonts w:hint="eastAsia" w:ascii="宋体" w:hAnsi="宋体" w:eastAsia="宋体" w:cs="宋体"/>
                <w:color w:val="auto"/>
                <w:sz w:val="24"/>
                <w:szCs w:val="24"/>
                <w:highlight w:val="none"/>
              </w:rPr>
              <w:t>万/部</w:t>
            </w:r>
          </w:p>
        </w:tc>
        <w:tc>
          <w:tcPr>
            <w:tcW w:w="1532" w:type="dxa"/>
            <w:noWrap w:val="0"/>
            <w:tcMar>
              <w:top w:w="0" w:type="dxa"/>
              <w:left w:w="90" w:type="dxa"/>
              <w:bottom w:w="0" w:type="dxa"/>
              <w:right w:w="90" w:type="dxa"/>
            </w:tcMar>
            <w:vAlign w:val="top"/>
          </w:tcPr>
          <w:p>
            <w:pPr>
              <w:pStyle w:val="6"/>
              <w:keepNext w:val="0"/>
              <w:keepLines w:val="0"/>
              <w:widowControl/>
              <w:suppressLineNumbers w:val="0"/>
              <w:spacing w:before="100" w:beforeAutospacing="1" w:after="100" w:afterAutospacing="1" w:line="345" w:lineRule="atLeast"/>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车辆按照9年折旧计算</w:t>
            </w:r>
            <w:r>
              <w:rPr>
                <w:rFonts w:hint="eastAsia" w:ascii="宋体" w:hAnsi="宋体" w:eastAsia="宋体" w:cs="宋体"/>
                <w:color w:val="auto"/>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586" w:type="dxa"/>
            <w:vMerge w:val="continue"/>
            <w:noWrap w:val="0"/>
            <w:tcMar>
              <w:top w:w="0" w:type="dxa"/>
              <w:left w:w="90" w:type="dxa"/>
              <w:bottom w:w="0" w:type="dxa"/>
              <w:right w:w="90" w:type="dxa"/>
            </w:tcMar>
            <w:vAlign w:val="center"/>
          </w:tcPr>
          <w:p>
            <w:pPr>
              <w:rPr>
                <w:rFonts w:hint="eastAsia" w:ascii="宋体" w:hAnsi="宋体" w:eastAsia="宋体" w:cs="宋体"/>
                <w:color w:val="auto"/>
                <w:sz w:val="24"/>
                <w:szCs w:val="24"/>
                <w:highlight w:val="none"/>
              </w:rPr>
            </w:pPr>
          </w:p>
        </w:tc>
        <w:tc>
          <w:tcPr>
            <w:tcW w:w="598" w:type="dxa"/>
            <w:vMerge w:val="continue"/>
            <w:noWrap w:val="0"/>
            <w:tcMar>
              <w:top w:w="0" w:type="dxa"/>
              <w:left w:w="90" w:type="dxa"/>
              <w:bottom w:w="0" w:type="dxa"/>
              <w:right w:w="90" w:type="dxa"/>
            </w:tcMar>
            <w:vAlign w:val="center"/>
          </w:tcPr>
          <w:p>
            <w:pPr>
              <w:rPr>
                <w:rFonts w:hint="eastAsia" w:ascii="宋体" w:hAnsi="宋体" w:eastAsia="宋体" w:cs="宋体"/>
                <w:color w:val="auto"/>
                <w:sz w:val="24"/>
                <w:szCs w:val="24"/>
                <w:highlight w:val="none"/>
              </w:rPr>
            </w:pPr>
          </w:p>
        </w:tc>
        <w:tc>
          <w:tcPr>
            <w:tcW w:w="2070" w:type="dxa"/>
            <w:noWrap w:val="0"/>
            <w:tcMar>
              <w:top w:w="0" w:type="dxa"/>
              <w:left w:w="90" w:type="dxa"/>
              <w:bottom w:w="0" w:type="dxa"/>
              <w:right w:w="90" w:type="dxa"/>
            </w:tcMar>
            <w:vAlign w:val="center"/>
          </w:tcPr>
          <w:p>
            <w:pPr>
              <w:pStyle w:val="6"/>
              <w:keepNext w:val="0"/>
              <w:keepLines w:val="0"/>
              <w:widowControl/>
              <w:suppressLineNumbers w:val="0"/>
              <w:spacing w:before="100" w:beforeAutospacing="1" w:after="100" w:afterAutospacing="1" w:line="345" w:lineRule="atLeast"/>
              <w:jc w:val="both"/>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工具车</w:t>
            </w:r>
          </w:p>
        </w:tc>
        <w:tc>
          <w:tcPr>
            <w:tcW w:w="832" w:type="dxa"/>
            <w:noWrap w:val="0"/>
            <w:tcMar>
              <w:top w:w="0" w:type="dxa"/>
              <w:left w:w="90" w:type="dxa"/>
              <w:bottom w:w="0" w:type="dxa"/>
              <w:right w:w="90" w:type="dxa"/>
            </w:tcMar>
            <w:vAlign w:val="center"/>
          </w:tcPr>
          <w:p>
            <w:pPr>
              <w:pStyle w:val="6"/>
              <w:keepNext w:val="0"/>
              <w:keepLines w:val="0"/>
              <w:widowControl/>
              <w:suppressLineNumbers w:val="0"/>
              <w:spacing w:before="100" w:beforeAutospacing="1" w:after="100" w:afterAutospacing="1" w:line="345" w:lineRule="atLeast"/>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1</w:t>
            </w:r>
          </w:p>
        </w:tc>
        <w:tc>
          <w:tcPr>
            <w:tcW w:w="3283" w:type="dxa"/>
            <w:noWrap w:val="0"/>
            <w:tcMar>
              <w:top w:w="0" w:type="dxa"/>
              <w:left w:w="90" w:type="dxa"/>
              <w:bottom w:w="0" w:type="dxa"/>
              <w:right w:w="90" w:type="dxa"/>
            </w:tcMar>
            <w:vAlign w:val="top"/>
          </w:tcPr>
          <w:p>
            <w:pPr>
              <w:pStyle w:val="6"/>
              <w:keepNext w:val="0"/>
              <w:keepLines w:val="0"/>
              <w:widowControl/>
              <w:suppressLineNumbers w:val="0"/>
              <w:spacing w:before="100" w:beforeAutospacing="1" w:after="100" w:afterAutospacing="1" w:line="345" w:lineRule="atLeast"/>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中标人拟新购的设备购买价格不得低于人民币</w:t>
            </w:r>
            <w:r>
              <w:rPr>
                <w:rFonts w:hint="eastAsia" w:ascii="宋体"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rPr>
              <w:t>万/部</w:t>
            </w:r>
          </w:p>
        </w:tc>
        <w:tc>
          <w:tcPr>
            <w:tcW w:w="1532" w:type="dxa"/>
            <w:noWrap w:val="0"/>
            <w:tcMar>
              <w:top w:w="0" w:type="dxa"/>
              <w:left w:w="90" w:type="dxa"/>
              <w:bottom w:w="0" w:type="dxa"/>
              <w:right w:w="90" w:type="dxa"/>
            </w:tcMar>
            <w:vAlign w:val="top"/>
          </w:tcPr>
          <w:p>
            <w:pPr>
              <w:pStyle w:val="6"/>
              <w:keepNext w:val="0"/>
              <w:keepLines w:val="0"/>
              <w:widowControl/>
              <w:suppressLineNumbers w:val="0"/>
              <w:spacing w:before="100" w:beforeAutospacing="1" w:after="100" w:afterAutospacing="1" w:line="345" w:lineRule="atLeast"/>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车辆按照9年折旧计算</w:t>
            </w:r>
            <w:r>
              <w:rPr>
                <w:rFonts w:hint="eastAsia" w:ascii="宋体" w:hAnsi="宋体" w:eastAsia="宋体" w:cs="宋体"/>
                <w:color w:val="auto"/>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586" w:type="dxa"/>
            <w:vMerge w:val="continue"/>
            <w:noWrap w:val="0"/>
            <w:tcMar>
              <w:top w:w="0" w:type="dxa"/>
              <w:left w:w="90" w:type="dxa"/>
              <w:bottom w:w="0" w:type="dxa"/>
              <w:right w:w="90" w:type="dxa"/>
            </w:tcMar>
            <w:vAlign w:val="center"/>
          </w:tcPr>
          <w:p>
            <w:pPr>
              <w:rPr>
                <w:rFonts w:hint="eastAsia" w:ascii="宋体" w:hAnsi="宋体" w:eastAsia="宋体" w:cs="宋体"/>
                <w:color w:val="auto"/>
                <w:sz w:val="24"/>
                <w:szCs w:val="24"/>
                <w:highlight w:val="none"/>
              </w:rPr>
            </w:pPr>
          </w:p>
        </w:tc>
        <w:tc>
          <w:tcPr>
            <w:tcW w:w="598" w:type="dxa"/>
            <w:vMerge w:val="continue"/>
            <w:noWrap w:val="0"/>
            <w:tcMar>
              <w:top w:w="0" w:type="dxa"/>
              <w:left w:w="90" w:type="dxa"/>
              <w:bottom w:w="0" w:type="dxa"/>
              <w:right w:w="90" w:type="dxa"/>
            </w:tcMar>
            <w:vAlign w:val="center"/>
          </w:tcPr>
          <w:p>
            <w:pPr>
              <w:rPr>
                <w:rFonts w:hint="eastAsia" w:ascii="宋体" w:hAnsi="宋体" w:eastAsia="宋体" w:cs="宋体"/>
                <w:color w:val="auto"/>
                <w:sz w:val="24"/>
                <w:szCs w:val="24"/>
                <w:highlight w:val="none"/>
              </w:rPr>
            </w:pPr>
          </w:p>
        </w:tc>
        <w:tc>
          <w:tcPr>
            <w:tcW w:w="2070" w:type="dxa"/>
            <w:noWrap w:val="0"/>
            <w:tcMar>
              <w:top w:w="0" w:type="dxa"/>
              <w:left w:w="90" w:type="dxa"/>
              <w:bottom w:w="0" w:type="dxa"/>
              <w:right w:w="90" w:type="dxa"/>
            </w:tcMar>
            <w:vAlign w:val="center"/>
          </w:tcPr>
          <w:p>
            <w:pPr>
              <w:pStyle w:val="6"/>
              <w:keepNext w:val="0"/>
              <w:keepLines w:val="0"/>
              <w:widowControl/>
              <w:suppressLineNumbers w:val="0"/>
              <w:spacing w:before="100" w:beforeAutospacing="1" w:after="100" w:afterAutospacing="1" w:line="345" w:lineRule="atLeast"/>
              <w:jc w:val="both"/>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道路养护车</w:t>
            </w:r>
          </w:p>
        </w:tc>
        <w:tc>
          <w:tcPr>
            <w:tcW w:w="832" w:type="dxa"/>
            <w:noWrap w:val="0"/>
            <w:tcMar>
              <w:top w:w="0" w:type="dxa"/>
              <w:left w:w="90" w:type="dxa"/>
              <w:bottom w:w="0" w:type="dxa"/>
              <w:right w:w="90" w:type="dxa"/>
            </w:tcMar>
            <w:vAlign w:val="center"/>
          </w:tcPr>
          <w:p>
            <w:pPr>
              <w:pStyle w:val="6"/>
              <w:keepNext w:val="0"/>
              <w:keepLines w:val="0"/>
              <w:widowControl/>
              <w:suppressLineNumbers w:val="0"/>
              <w:spacing w:before="100" w:beforeAutospacing="1" w:after="100" w:afterAutospacing="1" w:line="345" w:lineRule="atLeas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3283" w:type="dxa"/>
            <w:noWrap w:val="0"/>
            <w:tcMar>
              <w:top w:w="0" w:type="dxa"/>
              <w:left w:w="90" w:type="dxa"/>
              <w:bottom w:w="0" w:type="dxa"/>
              <w:right w:w="90" w:type="dxa"/>
            </w:tcMar>
            <w:vAlign w:val="top"/>
          </w:tcPr>
          <w:p>
            <w:pPr>
              <w:pStyle w:val="6"/>
              <w:keepNext w:val="0"/>
              <w:keepLines w:val="0"/>
              <w:widowControl/>
              <w:suppressLineNumbers w:val="0"/>
              <w:spacing w:before="100" w:beforeAutospacing="1" w:after="100" w:afterAutospacing="1" w:line="345" w:lineRule="atLeast"/>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中标人拟新购的设备购买价格不得低于人民币</w:t>
            </w:r>
            <w:r>
              <w:rPr>
                <w:rFonts w:hint="eastAsia" w:ascii="宋体" w:hAnsi="宋体" w:eastAsia="宋体" w:cs="宋体"/>
                <w:color w:val="auto"/>
                <w:sz w:val="24"/>
                <w:szCs w:val="24"/>
                <w:highlight w:val="none"/>
                <w:lang w:val="en-US" w:eastAsia="zh-CN"/>
              </w:rPr>
              <w:t>15</w:t>
            </w:r>
            <w:r>
              <w:rPr>
                <w:rFonts w:hint="eastAsia" w:ascii="宋体" w:hAnsi="宋体" w:eastAsia="宋体" w:cs="宋体"/>
                <w:color w:val="auto"/>
                <w:sz w:val="24"/>
                <w:szCs w:val="24"/>
                <w:highlight w:val="none"/>
              </w:rPr>
              <w:t>万/部</w:t>
            </w:r>
          </w:p>
        </w:tc>
        <w:tc>
          <w:tcPr>
            <w:tcW w:w="1532" w:type="dxa"/>
            <w:noWrap w:val="0"/>
            <w:tcMar>
              <w:top w:w="0" w:type="dxa"/>
              <w:left w:w="90" w:type="dxa"/>
              <w:bottom w:w="0" w:type="dxa"/>
              <w:right w:w="90" w:type="dxa"/>
            </w:tcMar>
            <w:vAlign w:val="top"/>
          </w:tcPr>
          <w:p>
            <w:pPr>
              <w:pStyle w:val="6"/>
              <w:keepNext w:val="0"/>
              <w:keepLines w:val="0"/>
              <w:widowControl/>
              <w:suppressLineNumbers w:val="0"/>
              <w:spacing w:before="100" w:beforeAutospacing="1" w:after="100" w:afterAutospacing="1" w:line="345" w:lineRule="atLeast"/>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车辆按照9年折旧计算</w:t>
            </w:r>
            <w:r>
              <w:rPr>
                <w:rFonts w:hint="eastAsia" w:ascii="宋体" w:hAnsi="宋体" w:eastAsia="宋体" w:cs="宋体"/>
                <w:color w:val="auto"/>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355" w:hRule="atLeast"/>
          <w:tblCellSpacing w:w="15" w:type="dxa"/>
        </w:trPr>
        <w:tc>
          <w:tcPr>
            <w:tcW w:w="586" w:type="dxa"/>
            <w:vMerge w:val="continue"/>
            <w:noWrap w:val="0"/>
            <w:tcMar>
              <w:top w:w="0" w:type="dxa"/>
              <w:left w:w="90" w:type="dxa"/>
              <w:bottom w:w="0" w:type="dxa"/>
              <w:right w:w="90" w:type="dxa"/>
            </w:tcMar>
            <w:vAlign w:val="center"/>
          </w:tcPr>
          <w:p>
            <w:pPr>
              <w:rPr>
                <w:rFonts w:hint="eastAsia" w:ascii="宋体" w:hAnsi="宋体" w:eastAsia="宋体" w:cs="宋体"/>
                <w:color w:val="auto"/>
                <w:sz w:val="24"/>
                <w:szCs w:val="24"/>
                <w:highlight w:val="none"/>
              </w:rPr>
            </w:pPr>
          </w:p>
        </w:tc>
        <w:tc>
          <w:tcPr>
            <w:tcW w:w="598" w:type="dxa"/>
            <w:vMerge w:val="continue"/>
            <w:noWrap w:val="0"/>
            <w:tcMar>
              <w:top w:w="0" w:type="dxa"/>
              <w:left w:w="90" w:type="dxa"/>
              <w:bottom w:w="0" w:type="dxa"/>
              <w:right w:w="90" w:type="dxa"/>
            </w:tcMar>
            <w:vAlign w:val="center"/>
          </w:tcPr>
          <w:p>
            <w:pPr>
              <w:rPr>
                <w:rFonts w:hint="eastAsia" w:ascii="宋体" w:hAnsi="宋体" w:eastAsia="宋体" w:cs="宋体"/>
                <w:color w:val="auto"/>
                <w:sz w:val="24"/>
                <w:szCs w:val="24"/>
                <w:highlight w:val="none"/>
              </w:rPr>
            </w:pPr>
          </w:p>
        </w:tc>
        <w:tc>
          <w:tcPr>
            <w:tcW w:w="2070" w:type="dxa"/>
            <w:noWrap w:val="0"/>
            <w:tcMar>
              <w:top w:w="0" w:type="dxa"/>
              <w:left w:w="90" w:type="dxa"/>
              <w:bottom w:w="0" w:type="dxa"/>
              <w:right w:w="90" w:type="dxa"/>
            </w:tcMar>
            <w:vAlign w:val="center"/>
          </w:tcPr>
          <w:p>
            <w:pPr>
              <w:pStyle w:val="6"/>
              <w:keepNext w:val="0"/>
              <w:keepLines w:val="0"/>
              <w:widowControl/>
              <w:suppressLineNumbers w:val="0"/>
              <w:spacing w:before="100" w:beforeAutospacing="1" w:after="100" w:afterAutospacing="1" w:line="345" w:lineRule="atLeast"/>
              <w:jc w:val="both"/>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河道保洁船只</w:t>
            </w:r>
          </w:p>
        </w:tc>
        <w:tc>
          <w:tcPr>
            <w:tcW w:w="832" w:type="dxa"/>
            <w:noWrap w:val="0"/>
            <w:tcMar>
              <w:top w:w="0" w:type="dxa"/>
              <w:left w:w="90" w:type="dxa"/>
              <w:bottom w:w="0" w:type="dxa"/>
              <w:right w:w="90" w:type="dxa"/>
            </w:tcMar>
            <w:vAlign w:val="center"/>
          </w:tcPr>
          <w:p>
            <w:pPr>
              <w:pStyle w:val="6"/>
              <w:keepNext w:val="0"/>
              <w:keepLines w:val="0"/>
              <w:widowControl/>
              <w:suppressLineNumbers w:val="0"/>
              <w:spacing w:before="100" w:beforeAutospacing="1" w:after="100" w:afterAutospacing="1" w:line="345" w:lineRule="atLeas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3283" w:type="dxa"/>
            <w:noWrap w:val="0"/>
            <w:tcMar>
              <w:top w:w="0" w:type="dxa"/>
              <w:left w:w="90" w:type="dxa"/>
              <w:bottom w:w="0" w:type="dxa"/>
              <w:right w:w="90" w:type="dxa"/>
            </w:tcMar>
            <w:vAlign w:val="top"/>
          </w:tcPr>
          <w:p>
            <w:pPr>
              <w:pStyle w:val="6"/>
              <w:keepNext w:val="0"/>
              <w:keepLines w:val="0"/>
              <w:widowControl/>
              <w:suppressLineNumbers w:val="0"/>
              <w:spacing w:before="100" w:beforeAutospacing="1" w:after="100" w:afterAutospacing="1" w:line="345" w:lineRule="atLeast"/>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中标人拟新购的设备购买价格不得低于人民币7万/部</w:t>
            </w:r>
          </w:p>
        </w:tc>
        <w:tc>
          <w:tcPr>
            <w:tcW w:w="1532" w:type="dxa"/>
            <w:noWrap w:val="0"/>
            <w:tcMar>
              <w:top w:w="0" w:type="dxa"/>
              <w:left w:w="90" w:type="dxa"/>
              <w:bottom w:w="0" w:type="dxa"/>
              <w:right w:w="90" w:type="dxa"/>
            </w:tcMar>
            <w:vAlign w:val="top"/>
          </w:tcPr>
          <w:p>
            <w:pPr>
              <w:pStyle w:val="6"/>
              <w:keepNext w:val="0"/>
              <w:keepLines w:val="0"/>
              <w:widowControl/>
              <w:suppressLineNumbers w:val="0"/>
              <w:spacing w:before="100" w:beforeAutospacing="1" w:after="100" w:afterAutospacing="1" w:line="345" w:lineRule="atLeast"/>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车辆按照9年折旧计算</w:t>
            </w:r>
            <w:r>
              <w:rPr>
                <w:rFonts w:hint="eastAsia" w:ascii="宋体" w:hAnsi="宋体" w:eastAsia="宋体" w:cs="宋体"/>
                <w:color w:val="auto"/>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586" w:type="dxa"/>
            <w:vMerge w:val="continue"/>
            <w:noWrap w:val="0"/>
            <w:tcMar>
              <w:top w:w="0" w:type="dxa"/>
              <w:left w:w="90" w:type="dxa"/>
              <w:bottom w:w="0" w:type="dxa"/>
              <w:right w:w="90" w:type="dxa"/>
            </w:tcMar>
            <w:vAlign w:val="center"/>
          </w:tcPr>
          <w:p>
            <w:pPr>
              <w:rPr>
                <w:rFonts w:hint="eastAsia" w:ascii="宋体" w:hAnsi="宋体" w:eastAsia="宋体" w:cs="宋体"/>
                <w:color w:val="auto"/>
                <w:sz w:val="24"/>
                <w:szCs w:val="24"/>
                <w:highlight w:val="none"/>
              </w:rPr>
            </w:pPr>
          </w:p>
        </w:tc>
        <w:tc>
          <w:tcPr>
            <w:tcW w:w="598" w:type="dxa"/>
            <w:vMerge w:val="continue"/>
            <w:noWrap w:val="0"/>
            <w:tcMar>
              <w:top w:w="0" w:type="dxa"/>
              <w:left w:w="90" w:type="dxa"/>
              <w:bottom w:w="0" w:type="dxa"/>
              <w:right w:w="90" w:type="dxa"/>
            </w:tcMar>
            <w:vAlign w:val="center"/>
          </w:tcPr>
          <w:p>
            <w:pPr>
              <w:rPr>
                <w:rFonts w:hint="eastAsia" w:ascii="宋体" w:hAnsi="宋体" w:eastAsia="宋体" w:cs="宋体"/>
                <w:color w:val="auto"/>
                <w:sz w:val="24"/>
                <w:szCs w:val="24"/>
                <w:highlight w:val="none"/>
              </w:rPr>
            </w:pPr>
          </w:p>
        </w:tc>
        <w:tc>
          <w:tcPr>
            <w:tcW w:w="2070" w:type="dxa"/>
            <w:noWrap w:val="0"/>
            <w:tcMar>
              <w:top w:w="0" w:type="dxa"/>
              <w:left w:w="90" w:type="dxa"/>
              <w:bottom w:w="0" w:type="dxa"/>
              <w:right w:w="90" w:type="dxa"/>
            </w:tcMar>
            <w:vAlign w:val="center"/>
          </w:tcPr>
          <w:p>
            <w:pPr>
              <w:pStyle w:val="6"/>
              <w:keepNext w:val="0"/>
              <w:keepLines w:val="0"/>
              <w:widowControl/>
              <w:suppressLineNumbers w:val="0"/>
              <w:spacing w:before="100" w:beforeAutospacing="1" w:after="100" w:afterAutospacing="1" w:line="345" w:lineRule="atLeast"/>
              <w:jc w:val="both"/>
              <w:rPr>
                <w:rFonts w:hint="eastAsia" w:ascii="宋体" w:hAnsi="宋体" w:eastAsia="宋体" w:cs="宋体"/>
                <w:color w:val="auto"/>
                <w:kern w:val="0"/>
                <w:sz w:val="24"/>
                <w:szCs w:val="24"/>
                <w:highlight w:val="none"/>
              </w:rPr>
            </w:pPr>
            <w:r>
              <w:rPr>
                <w:rFonts w:hint="eastAsia" w:ascii="宋体" w:hAnsi="宋体" w:cs="宋体"/>
                <w:color w:val="auto"/>
                <w:kern w:val="0"/>
                <w:sz w:val="24"/>
                <w:szCs w:val="24"/>
                <w:highlight w:val="none"/>
                <w:lang w:val="en-US" w:eastAsia="zh-CN"/>
              </w:rPr>
              <w:t>3T</w:t>
            </w:r>
            <w:r>
              <w:rPr>
                <w:rFonts w:hint="eastAsia" w:ascii="宋体" w:hAnsi="宋体" w:eastAsia="宋体" w:cs="宋体"/>
                <w:color w:val="auto"/>
                <w:kern w:val="0"/>
                <w:sz w:val="24"/>
                <w:szCs w:val="24"/>
                <w:highlight w:val="none"/>
              </w:rPr>
              <w:t>吸粪车</w:t>
            </w:r>
          </w:p>
        </w:tc>
        <w:tc>
          <w:tcPr>
            <w:tcW w:w="832" w:type="dxa"/>
            <w:noWrap w:val="0"/>
            <w:tcMar>
              <w:top w:w="0" w:type="dxa"/>
              <w:left w:w="90" w:type="dxa"/>
              <w:bottom w:w="0" w:type="dxa"/>
              <w:right w:w="90" w:type="dxa"/>
            </w:tcMar>
            <w:vAlign w:val="center"/>
          </w:tcPr>
          <w:p>
            <w:pPr>
              <w:pStyle w:val="6"/>
              <w:keepNext w:val="0"/>
              <w:keepLines w:val="0"/>
              <w:widowControl/>
              <w:suppressLineNumbers w:val="0"/>
              <w:spacing w:before="100" w:beforeAutospacing="1" w:after="100" w:afterAutospacing="1" w:line="345" w:lineRule="atLeas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w:t>
            </w:r>
          </w:p>
        </w:tc>
        <w:tc>
          <w:tcPr>
            <w:tcW w:w="3283" w:type="dxa"/>
            <w:noWrap w:val="0"/>
            <w:tcMar>
              <w:top w:w="0" w:type="dxa"/>
              <w:left w:w="90" w:type="dxa"/>
              <w:bottom w:w="0" w:type="dxa"/>
              <w:right w:w="90" w:type="dxa"/>
            </w:tcMar>
            <w:vAlign w:val="top"/>
          </w:tcPr>
          <w:p>
            <w:pPr>
              <w:pStyle w:val="6"/>
              <w:keepNext w:val="0"/>
              <w:keepLines w:val="0"/>
              <w:widowControl/>
              <w:suppressLineNumbers w:val="0"/>
              <w:spacing w:before="100" w:beforeAutospacing="1" w:after="100" w:afterAutospacing="1" w:line="345" w:lineRule="atLeast"/>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中标人拟新购的设备购买价格不得低于人民币</w:t>
            </w:r>
            <w:r>
              <w:rPr>
                <w:rFonts w:hint="eastAsia" w:ascii="宋体" w:hAnsi="宋体" w:eastAsia="宋体" w:cs="宋体"/>
                <w:color w:val="auto"/>
                <w:sz w:val="24"/>
                <w:szCs w:val="24"/>
                <w:highlight w:val="none"/>
                <w:lang w:val="en-US" w:eastAsia="zh-CN"/>
              </w:rPr>
              <w:t>20</w:t>
            </w:r>
            <w:r>
              <w:rPr>
                <w:rFonts w:hint="eastAsia" w:ascii="宋体" w:hAnsi="宋体" w:eastAsia="宋体" w:cs="宋体"/>
                <w:color w:val="auto"/>
                <w:sz w:val="24"/>
                <w:szCs w:val="24"/>
                <w:highlight w:val="none"/>
              </w:rPr>
              <w:t>万/部</w:t>
            </w:r>
          </w:p>
        </w:tc>
        <w:tc>
          <w:tcPr>
            <w:tcW w:w="1532" w:type="dxa"/>
            <w:noWrap w:val="0"/>
            <w:tcMar>
              <w:top w:w="0" w:type="dxa"/>
              <w:left w:w="90" w:type="dxa"/>
              <w:bottom w:w="0" w:type="dxa"/>
              <w:right w:w="90" w:type="dxa"/>
            </w:tcMar>
            <w:vAlign w:val="top"/>
          </w:tcPr>
          <w:p>
            <w:pPr>
              <w:pStyle w:val="6"/>
              <w:keepNext w:val="0"/>
              <w:keepLines w:val="0"/>
              <w:widowControl/>
              <w:suppressLineNumbers w:val="0"/>
              <w:spacing w:before="100" w:beforeAutospacing="1" w:after="100" w:afterAutospacing="1" w:line="345" w:lineRule="atLeast"/>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车辆按照9年折旧计算</w:t>
            </w:r>
            <w:r>
              <w:rPr>
                <w:rFonts w:hint="eastAsia" w:ascii="宋体" w:hAnsi="宋体" w:eastAsia="宋体" w:cs="宋体"/>
                <w:color w:val="auto"/>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586" w:type="dxa"/>
            <w:vMerge w:val="continue"/>
            <w:noWrap w:val="0"/>
            <w:tcMar>
              <w:top w:w="0" w:type="dxa"/>
              <w:left w:w="90" w:type="dxa"/>
              <w:bottom w:w="0" w:type="dxa"/>
              <w:right w:w="90" w:type="dxa"/>
            </w:tcMar>
            <w:vAlign w:val="center"/>
          </w:tcPr>
          <w:p>
            <w:pPr>
              <w:pStyle w:val="2"/>
              <w:rPr>
                <w:rFonts w:hint="eastAsia" w:ascii="宋体" w:hAnsi="宋体" w:eastAsia="宋体" w:cs="宋体"/>
                <w:color w:val="auto"/>
                <w:sz w:val="24"/>
                <w:szCs w:val="24"/>
                <w:highlight w:val="none"/>
              </w:rPr>
            </w:pPr>
          </w:p>
        </w:tc>
        <w:tc>
          <w:tcPr>
            <w:tcW w:w="598" w:type="dxa"/>
            <w:vMerge w:val="continue"/>
            <w:noWrap w:val="0"/>
            <w:tcMar>
              <w:top w:w="0" w:type="dxa"/>
              <w:left w:w="90" w:type="dxa"/>
              <w:bottom w:w="0" w:type="dxa"/>
              <w:right w:w="90" w:type="dxa"/>
            </w:tcMar>
            <w:vAlign w:val="center"/>
          </w:tcPr>
          <w:p>
            <w:pPr>
              <w:rPr>
                <w:rFonts w:hint="eastAsia" w:ascii="宋体" w:hAnsi="宋体" w:eastAsia="宋体" w:cs="宋体"/>
                <w:color w:val="auto"/>
                <w:sz w:val="24"/>
                <w:szCs w:val="24"/>
                <w:highlight w:val="none"/>
              </w:rPr>
            </w:pPr>
          </w:p>
        </w:tc>
        <w:tc>
          <w:tcPr>
            <w:tcW w:w="2070" w:type="dxa"/>
            <w:noWrap w:val="0"/>
            <w:tcMar>
              <w:top w:w="0" w:type="dxa"/>
              <w:left w:w="90" w:type="dxa"/>
              <w:bottom w:w="0" w:type="dxa"/>
              <w:right w:w="90" w:type="dxa"/>
            </w:tcMar>
            <w:vAlign w:val="center"/>
          </w:tcPr>
          <w:p>
            <w:pPr>
              <w:pStyle w:val="6"/>
              <w:keepNext w:val="0"/>
              <w:keepLines w:val="0"/>
              <w:widowControl/>
              <w:suppressLineNumbers w:val="0"/>
              <w:spacing w:before="100" w:beforeAutospacing="1" w:after="100" w:afterAutospacing="1" w:line="345" w:lineRule="atLeast"/>
              <w:jc w:val="both"/>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3T压缩车</w:t>
            </w:r>
          </w:p>
        </w:tc>
        <w:tc>
          <w:tcPr>
            <w:tcW w:w="832" w:type="dxa"/>
            <w:noWrap w:val="0"/>
            <w:tcMar>
              <w:top w:w="0" w:type="dxa"/>
              <w:left w:w="90" w:type="dxa"/>
              <w:bottom w:w="0" w:type="dxa"/>
              <w:right w:w="90" w:type="dxa"/>
            </w:tcMar>
            <w:vAlign w:val="center"/>
          </w:tcPr>
          <w:p>
            <w:pPr>
              <w:pStyle w:val="6"/>
              <w:keepNext w:val="0"/>
              <w:keepLines w:val="0"/>
              <w:widowControl/>
              <w:suppressLineNumbers w:val="0"/>
              <w:spacing w:before="100" w:beforeAutospacing="1" w:after="100" w:afterAutospacing="1" w:line="345" w:lineRule="atLeas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w:t>
            </w:r>
          </w:p>
        </w:tc>
        <w:tc>
          <w:tcPr>
            <w:tcW w:w="3283" w:type="dxa"/>
            <w:noWrap w:val="0"/>
            <w:tcMar>
              <w:top w:w="0" w:type="dxa"/>
              <w:left w:w="90" w:type="dxa"/>
              <w:bottom w:w="0" w:type="dxa"/>
              <w:right w:w="90" w:type="dxa"/>
            </w:tcMar>
            <w:vAlign w:val="top"/>
          </w:tcPr>
          <w:p>
            <w:pPr>
              <w:pStyle w:val="6"/>
              <w:keepNext w:val="0"/>
              <w:keepLines w:val="0"/>
              <w:widowControl/>
              <w:suppressLineNumbers w:val="0"/>
              <w:spacing w:before="100" w:beforeAutospacing="1" w:after="100" w:afterAutospacing="1" w:line="345" w:lineRule="atLeast"/>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中标人拟新购的设备购买价格不得低于人民币</w:t>
            </w:r>
            <w:r>
              <w:rPr>
                <w:rFonts w:hint="eastAsia" w:ascii="宋体" w:hAnsi="宋体" w:eastAsia="宋体" w:cs="宋体"/>
                <w:color w:val="auto"/>
                <w:sz w:val="24"/>
                <w:szCs w:val="24"/>
                <w:highlight w:val="none"/>
                <w:lang w:val="en-US" w:eastAsia="zh-CN"/>
              </w:rPr>
              <w:t>35</w:t>
            </w:r>
            <w:r>
              <w:rPr>
                <w:rFonts w:hint="eastAsia" w:ascii="宋体" w:hAnsi="宋体" w:eastAsia="宋体" w:cs="宋体"/>
                <w:color w:val="auto"/>
                <w:sz w:val="24"/>
                <w:szCs w:val="24"/>
                <w:highlight w:val="none"/>
              </w:rPr>
              <w:t>万/部</w:t>
            </w:r>
          </w:p>
        </w:tc>
        <w:tc>
          <w:tcPr>
            <w:tcW w:w="1532" w:type="dxa"/>
            <w:noWrap w:val="0"/>
            <w:tcMar>
              <w:top w:w="0" w:type="dxa"/>
              <w:left w:w="90" w:type="dxa"/>
              <w:bottom w:w="0" w:type="dxa"/>
              <w:right w:w="90" w:type="dxa"/>
            </w:tcMar>
            <w:vAlign w:val="top"/>
          </w:tcPr>
          <w:p>
            <w:pPr>
              <w:pStyle w:val="6"/>
              <w:keepNext w:val="0"/>
              <w:keepLines w:val="0"/>
              <w:widowControl/>
              <w:suppressLineNumbers w:val="0"/>
              <w:spacing w:before="100" w:beforeAutospacing="1" w:after="100" w:afterAutospacing="1" w:line="345" w:lineRule="atLeast"/>
              <w:jc w:val="lef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车辆按照9年折旧计算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586" w:type="dxa"/>
            <w:vMerge w:val="continue"/>
            <w:noWrap w:val="0"/>
            <w:tcMar>
              <w:top w:w="0" w:type="dxa"/>
              <w:left w:w="90" w:type="dxa"/>
              <w:bottom w:w="0" w:type="dxa"/>
              <w:right w:w="90" w:type="dxa"/>
            </w:tcMar>
            <w:vAlign w:val="center"/>
          </w:tcPr>
          <w:p>
            <w:pPr>
              <w:pStyle w:val="2"/>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w:t>
            </w:r>
          </w:p>
        </w:tc>
        <w:tc>
          <w:tcPr>
            <w:tcW w:w="598" w:type="dxa"/>
            <w:vMerge w:val="continue"/>
            <w:noWrap w:val="0"/>
            <w:tcMar>
              <w:top w:w="0" w:type="dxa"/>
              <w:left w:w="90" w:type="dxa"/>
              <w:bottom w:w="0" w:type="dxa"/>
              <w:right w:w="90" w:type="dxa"/>
            </w:tcMar>
            <w:vAlign w:val="center"/>
          </w:tcPr>
          <w:p>
            <w:pPr>
              <w:rPr>
                <w:rFonts w:hint="eastAsia" w:ascii="宋体" w:hAnsi="宋体" w:eastAsia="宋体" w:cs="宋体"/>
                <w:color w:val="auto"/>
                <w:sz w:val="24"/>
                <w:szCs w:val="24"/>
                <w:highlight w:val="none"/>
              </w:rPr>
            </w:pPr>
          </w:p>
        </w:tc>
        <w:tc>
          <w:tcPr>
            <w:tcW w:w="2070" w:type="dxa"/>
            <w:noWrap w:val="0"/>
            <w:tcMar>
              <w:top w:w="0" w:type="dxa"/>
              <w:left w:w="90" w:type="dxa"/>
              <w:bottom w:w="0" w:type="dxa"/>
              <w:right w:w="90" w:type="dxa"/>
            </w:tcMar>
            <w:vAlign w:val="center"/>
          </w:tcPr>
          <w:p>
            <w:pPr>
              <w:pStyle w:val="6"/>
              <w:keepNext w:val="0"/>
              <w:keepLines w:val="0"/>
              <w:widowControl/>
              <w:suppressLineNumbers w:val="0"/>
              <w:spacing w:before="100" w:beforeAutospacing="1" w:after="100" w:afterAutospacing="1" w:line="345" w:lineRule="atLeast"/>
              <w:jc w:val="both"/>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5T压缩车</w:t>
            </w:r>
          </w:p>
        </w:tc>
        <w:tc>
          <w:tcPr>
            <w:tcW w:w="832" w:type="dxa"/>
            <w:noWrap w:val="0"/>
            <w:tcMar>
              <w:top w:w="0" w:type="dxa"/>
              <w:left w:w="90" w:type="dxa"/>
              <w:bottom w:w="0" w:type="dxa"/>
              <w:right w:w="90" w:type="dxa"/>
            </w:tcMar>
            <w:vAlign w:val="center"/>
          </w:tcPr>
          <w:p>
            <w:pPr>
              <w:pStyle w:val="6"/>
              <w:keepNext w:val="0"/>
              <w:keepLines w:val="0"/>
              <w:widowControl/>
              <w:suppressLineNumbers w:val="0"/>
              <w:spacing w:before="100" w:beforeAutospacing="1" w:after="100" w:afterAutospacing="1" w:line="345" w:lineRule="atLeas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w:t>
            </w:r>
          </w:p>
        </w:tc>
        <w:tc>
          <w:tcPr>
            <w:tcW w:w="3283" w:type="dxa"/>
            <w:noWrap w:val="0"/>
            <w:tcMar>
              <w:top w:w="0" w:type="dxa"/>
              <w:left w:w="90" w:type="dxa"/>
              <w:bottom w:w="0" w:type="dxa"/>
              <w:right w:w="90" w:type="dxa"/>
            </w:tcMar>
            <w:vAlign w:val="top"/>
          </w:tcPr>
          <w:p>
            <w:pPr>
              <w:pStyle w:val="6"/>
              <w:keepNext w:val="0"/>
              <w:keepLines w:val="0"/>
              <w:widowControl/>
              <w:suppressLineNumbers w:val="0"/>
              <w:spacing w:before="100" w:beforeAutospacing="1" w:after="100" w:afterAutospacing="1" w:line="345" w:lineRule="atLeast"/>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中标人拟新购的设备购买价格不得低于人民币</w:t>
            </w:r>
            <w:r>
              <w:rPr>
                <w:rFonts w:hint="eastAsia" w:ascii="宋体" w:hAnsi="宋体" w:eastAsia="宋体" w:cs="宋体"/>
                <w:color w:val="auto"/>
                <w:sz w:val="24"/>
                <w:szCs w:val="24"/>
                <w:highlight w:val="none"/>
                <w:lang w:val="en-US" w:eastAsia="zh-CN"/>
              </w:rPr>
              <w:t>40</w:t>
            </w:r>
            <w:r>
              <w:rPr>
                <w:rFonts w:hint="eastAsia" w:ascii="宋体" w:hAnsi="宋体" w:eastAsia="宋体" w:cs="宋体"/>
                <w:color w:val="auto"/>
                <w:sz w:val="24"/>
                <w:szCs w:val="24"/>
                <w:highlight w:val="none"/>
              </w:rPr>
              <w:t>万/部</w:t>
            </w:r>
          </w:p>
        </w:tc>
        <w:tc>
          <w:tcPr>
            <w:tcW w:w="1532" w:type="dxa"/>
            <w:noWrap w:val="0"/>
            <w:tcMar>
              <w:top w:w="0" w:type="dxa"/>
              <w:left w:w="90" w:type="dxa"/>
              <w:bottom w:w="0" w:type="dxa"/>
              <w:right w:w="90" w:type="dxa"/>
            </w:tcMar>
            <w:vAlign w:val="top"/>
          </w:tcPr>
          <w:p>
            <w:pPr>
              <w:pStyle w:val="6"/>
              <w:keepNext w:val="0"/>
              <w:keepLines w:val="0"/>
              <w:widowControl/>
              <w:suppressLineNumbers w:val="0"/>
              <w:spacing w:before="100" w:beforeAutospacing="1" w:after="100" w:afterAutospacing="1" w:line="345" w:lineRule="atLeast"/>
              <w:jc w:val="lef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车辆按照9年折旧计算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586" w:type="dxa"/>
            <w:vMerge w:val="continue"/>
            <w:noWrap w:val="0"/>
            <w:tcMar>
              <w:top w:w="0" w:type="dxa"/>
              <w:left w:w="90" w:type="dxa"/>
              <w:bottom w:w="0" w:type="dxa"/>
              <w:right w:w="90" w:type="dxa"/>
            </w:tcMar>
            <w:vAlign w:val="center"/>
          </w:tcPr>
          <w:p>
            <w:pPr>
              <w:pStyle w:val="2"/>
              <w:rPr>
                <w:rFonts w:hint="eastAsia" w:ascii="宋体" w:hAnsi="宋体" w:eastAsia="宋体" w:cs="宋体"/>
                <w:color w:val="auto"/>
                <w:sz w:val="24"/>
                <w:szCs w:val="24"/>
                <w:highlight w:val="none"/>
                <w:lang w:eastAsia="zh-CN"/>
              </w:rPr>
            </w:pPr>
          </w:p>
        </w:tc>
        <w:tc>
          <w:tcPr>
            <w:tcW w:w="598" w:type="dxa"/>
            <w:vMerge w:val="continue"/>
            <w:noWrap w:val="0"/>
            <w:tcMar>
              <w:top w:w="0" w:type="dxa"/>
              <w:left w:w="90" w:type="dxa"/>
              <w:bottom w:w="0" w:type="dxa"/>
              <w:right w:w="90" w:type="dxa"/>
            </w:tcMar>
            <w:vAlign w:val="center"/>
          </w:tcPr>
          <w:p>
            <w:pPr>
              <w:rPr>
                <w:rFonts w:hint="eastAsia" w:ascii="宋体" w:hAnsi="宋体" w:eastAsia="宋体" w:cs="宋体"/>
                <w:color w:val="auto"/>
                <w:sz w:val="24"/>
                <w:szCs w:val="24"/>
                <w:highlight w:val="none"/>
              </w:rPr>
            </w:pPr>
          </w:p>
        </w:tc>
        <w:tc>
          <w:tcPr>
            <w:tcW w:w="2070" w:type="dxa"/>
            <w:noWrap w:val="0"/>
            <w:tcMar>
              <w:top w:w="0" w:type="dxa"/>
              <w:left w:w="90" w:type="dxa"/>
              <w:bottom w:w="0" w:type="dxa"/>
              <w:right w:w="90" w:type="dxa"/>
            </w:tcMar>
            <w:vAlign w:val="center"/>
          </w:tcPr>
          <w:p>
            <w:pPr>
              <w:pStyle w:val="6"/>
              <w:keepNext w:val="0"/>
              <w:keepLines w:val="0"/>
              <w:widowControl/>
              <w:suppressLineNumbers w:val="0"/>
              <w:spacing w:before="100" w:beforeAutospacing="1" w:after="100" w:afterAutospacing="1" w:line="345" w:lineRule="atLeast"/>
              <w:jc w:val="both"/>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小型装载机</w:t>
            </w:r>
          </w:p>
        </w:tc>
        <w:tc>
          <w:tcPr>
            <w:tcW w:w="832" w:type="dxa"/>
            <w:noWrap w:val="0"/>
            <w:tcMar>
              <w:top w:w="0" w:type="dxa"/>
              <w:left w:w="90" w:type="dxa"/>
              <w:bottom w:w="0" w:type="dxa"/>
              <w:right w:w="90" w:type="dxa"/>
            </w:tcMar>
            <w:vAlign w:val="center"/>
          </w:tcPr>
          <w:p>
            <w:pPr>
              <w:pStyle w:val="6"/>
              <w:keepNext w:val="0"/>
              <w:keepLines w:val="0"/>
              <w:widowControl/>
              <w:suppressLineNumbers w:val="0"/>
              <w:spacing w:before="100" w:beforeAutospacing="1" w:after="100" w:afterAutospacing="1" w:line="345" w:lineRule="atLeas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w:t>
            </w:r>
          </w:p>
        </w:tc>
        <w:tc>
          <w:tcPr>
            <w:tcW w:w="3283" w:type="dxa"/>
            <w:noWrap w:val="0"/>
            <w:tcMar>
              <w:top w:w="0" w:type="dxa"/>
              <w:left w:w="90" w:type="dxa"/>
              <w:bottom w:w="0" w:type="dxa"/>
              <w:right w:w="90" w:type="dxa"/>
            </w:tcMar>
            <w:vAlign w:val="top"/>
          </w:tcPr>
          <w:p>
            <w:pPr>
              <w:pStyle w:val="6"/>
              <w:keepNext w:val="0"/>
              <w:keepLines w:val="0"/>
              <w:widowControl/>
              <w:suppressLineNumbers w:val="0"/>
              <w:spacing w:before="100" w:beforeAutospacing="1" w:after="100" w:afterAutospacing="1" w:line="345" w:lineRule="atLeast"/>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中标人拟新购的设备购买价格不得低于人民币</w:t>
            </w:r>
            <w:r>
              <w:rPr>
                <w:rFonts w:hint="eastAsia" w:ascii="宋体" w:hAnsi="宋体" w:eastAsia="宋体" w:cs="宋体"/>
                <w:color w:val="auto"/>
                <w:sz w:val="24"/>
                <w:szCs w:val="24"/>
                <w:highlight w:val="none"/>
                <w:lang w:val="en-US" w:eastAsia="zh-CN"/>
              </w:rPr>
              <w:t>28</w:t>
            </w:r>
            <w:r>
              <w:rPr>
                <w:rFonts w:hint="eastAsia" w:ascii="宋体" w:hAnsi="宋体" w:eastAsia="宋体" w:cs="宋体"/>
                <w:color w:val="auto"/>
                <w:sz w:val="24"/>
                <w:szCs w:val="24"/>
                <w:highlight w:val="none"/>
              </w:rPr>
              <w:t>万/部</w:t>
            </w:r>
          </w:p>
        </w:tc>
        <w:tc>
          <w:tcPr>
            <w:tcW w:w="1532" w:type="dxa"/>
            <w:noWrap w:val="0"/>
            <w:tcMar>
              <w:top w:w="0" w:type="dxa"/>
              <w:left w:w="90" w:type="dxa"/>
              <w:bottom w:w="0" w:type="dxa"/>
              <w:right w:w="90" w:type="dxa"/>
            </w:tcMar>
            <w:vAlign w:val="top"/>
          </w:tcPr>
          <w:p>
            <w:pPr>
              <w:pStyle w:val="6"/>
              <w:keepNext w:val="0"/>
              <w:keepLines w:val="0"/>
              <w:widowControl/>
              <w:suppressLineNumbers w:val="0"/>
              <w:spacing w:before="100" w:beforeAutospacing="1" w:after="100" w:afterAutospacing="1" w:line="345" w:lineRule="atLeast"/>
              <w:jc w:val="lef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车辆按照9年折旧计算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586" w:type="dxa"/>
            <w:vMerge w:val="continue"/>
            <w:noWrap w:val="0"/>
            <w:tcMar>
              <w:top w:w="0" w:type="dxa"/>
              <w:left w:w="90" w:type="dxa"/>
              <w:bottom w:w="0" w:type="dxa"/>
              <w:right w:w="90" w:type="dxa"/>
            </w:tcMar>
            <w:vAlign w:val="center"/>
          </w:tcPr>
          <w:p>
            <w:pPr>
              <w:pStyle w:val="2"/>
              <w:rPr>
                <w:rFonts w:hint="eastAsia" w:ascii="宋体" w:hAnsi="宋体" w:eastAsia="宋体" w:cs="宋体"/>
                <w:color w:val="auto"/>
                <w:sz w:val="24"/>
                <w:szCs w:val="24"/>
                <w:highlight w:val="none"/>
                <w:lang w:eastAsia="zh-CN"/>
              </w:rPr>
            </w:pPr>
          </w:p>
        </w:tc>
        <w:tc>
          <w:tcPr>
            <w:tcW w:w="598" w:type="dxa"/>
            <w:vMerge w:val="continue"/>
            <w:noWrap w:val="0"/>
            <w:tcMar>
              <w:top w:w="0" w:type="dxa"/>
              <w:left w:w="90" w:type="dxa"/>
              <w:bottom w:w="0" w:type="dxa"/>
              <w:right w:w="90" w:type="dxa"/>
            </w:tcMar>
            <w:vAlign w:val="center"/>
          </w:tcPr>
          <w:p>
            <w:pPr>
              <w:rPr>
                <w:rFonts w:hint="eastAsia" w:ascii="宋体" w:hAnsi="宋体" w:eastAsia="宋体" w:cs="宋体"/>
                <w:color w:val="auto"/>
                <w:sz w:val="24"/>
                <w:szCs w:val="24"/>
                <w:highlight w:val="none"/>
              </w:rPr>
            </w:pPr>
          </w:p>
        </w:tc>
        <w:tc>
          <w:tcPr>
            <w:tcW w:w="2070" w:type="dxa"/>
            <w:noWrap w:val="0"/>
            <w:tcMar>
              <w:top w:w="0" w:type="dxa"/>
              <w:left w:w="90" w:type="dxa"/>
              <w:bottom w:w="0" w:type="dxa"/>
              <w:right w:w="90" w:type="dxa"/>
            </w:tcMar>
            <w:vAlign w:val="center"/>
          </w:tcPr>
          <w:p>
            <w:pPr>
              <w:pStyle w:val="6"/>
              <w:keepNext w:val="0"/>
              <w:keepLines w:val="0"/>
              <w:widowControl/>
              <w:suppressLineNumbers w:val="0"/>
              <w:spacing w:before="100" w:beforeAutospacing="1" w:after="100" w:afterAutospacing="1" w:line="345" w:lineRule="atLeast"/>
              <w:jc w:val="both"/>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5吨摆臂垃圾车</w:t>
            </w:r>
          </w:p>
        </w:tc>
        <w:tc>
          <w:tcPr>
            <w:tcW w:w="832" w:type="dxa"/>
            <w:noWrap w:val="0"/>
            <w:tcMar>
              <w:top w:w="0" w:type="dxa"/>
              <w:left w:w="90" w:type="dxa"/>
              <w:bottom w:w="0" w:type="dxa"/>
              <w:right w:w="90" w:type="dxa"/>
            </w:tcMar>
            <w:vAlign w:val="center"/>
          </w:tcPr>
          <w:p>
            <w:pPr>
              <w:pStyle w:val="6"/>
              <w:keepNext w:val="0"/>
              <w:keepLines w:val="0"/>
              <w:widowControl/>
              <w:suppressLineNumbers w:val="0"/>
              <w:spacing w:before="100" w:beforeAutospacing="1" w:after="100" w:afterAutospacing="1" w:line="345" w:lineRule="atLeas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w:t>
            </w:r>
          </w:p>
        </w:tc>
        <w:tc>
          <w:tcPr>
            <w:tcW w:w="3283" w:type="dxa"/>
            <w:noWrap w:val="0"/>
            <w:tcMar>
              <w:top w:w="0" w:type="dxa"/>
              <w:left w:w="90" w:type="dxa"/>
              <w:bottom w:w="0" w:type="dxa"/>
              <w:right w:w="90" w:type="dxa"/>
            </w:tcMar>
            <w:vAlign w:val="top"/>
          </w:tcPr>
          <w:p>
            <w:pPr>
              <w:pStyle w:val="6"/>
              <w:keepNext w:val="0"/>
              <w:keepLines w:val="0"/>
              <w:widowControl/>
              <w:suppressLineNumbers w:val="0"/>
              <w:spacing w:before="100" w:beforeAutospacing="1" w:after="100" w:afterAutospacing="1" w:line="345" w:lineRule="atLeast"/>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中标人拟新购的设备购买价格不得低于人民币</w:t>
            </w:r>
            <w:r>
              <w:rPr>
                <w:rFonts w:hint="eastAsia" w:ascii="宋体" w:hAnsi="宋体" w:eastAsia="宋体" w:cs="宋体"/>
                <w:color w:val="auto"/>
                <w:sz w:val="24"/>
                <w:szCs w:val="24"/>
                <w:highlight w:val="none"/>
                <w:lang w:val="en-US" w:eastAsia="zh-CN"/>
              </w:rPr>
              <w:t>30</w:t>
            </w:r>
            <w:r>
              <w:rPr>
                <w:rFonts w:hint="eastAsia" w:ascii="宋体" w:hAnsi="宋体" w:eastAsia="宋体" w:cs="宋体"/>
                <w:color w:val="auto"/>
                <w:sz w:val="24"/>
                <w:szCs w:val="24"/>
                <w:highlight w:val="none"/>
              </w:rPr>
              <w:t>万/部</w:t>
            </w:r>
          </w:p>
        </w:tc>
        <w:tc>
          <w:tcPr>
            <w:tcW w:w="1532" w:type="dxa"/>
            <w:noWrap w:val="0"/>
            <w:tcMar>
              <w:top w:w="0" w:type="dxa"/>
              <w:left w:w="90" w:type="dxa"/>
              <w:bottom w:w="0" w:type="dxa"/>
              <w:right w:w="90" w:type="dxa"/>
            </w:tcMar>
            <w:vAlign w:val="top"/>
          </w:tcPr>
          <w:p>
            <w:pPr>
              <w:pStyle w:val="6"/>
              <w:keepNext w:val="0"/>
              <w:keepLines w:val="0"/>
              <w:widowControl/>
              <w:suppressLineNumbers w:val="0"/>
              <w:spacing w:before="100" w:beforeAutospacing="1" w:after="100" w:afterAutospacing="1" w:line="345" w:lineRule="atLeast"/>
              <w:jc w:val="lef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车辆按照9年折旧计算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586" w:type="dxa"/>
            <w:noWrap w:val="0"/>
            <w:tcMar>
              <w:top w:w="0" w:type="dxa"/>
              <w:left w:w="90" w:type="dxa"/>
              <w:bottom w:w="0" w:type="dxa"/>
              <w:right w:w="90" w:type="dxa"/>
            </w:tcMar>
            <w:vAlign w:val="center"/>
          </w:tcPr>
          <w:p>
            <w:pPr>
              <w:pStyle w:val="2"/>
              <w:rPr>
                <w:rFonts w:hint="eastAsia" w:ascii="宋体" w:hAnsi="宋体" w:eastAsia="宋体" w:cs="宋体"/>
                <w:color w:val="auto"/>
                <w:sz w:val="24"/>
                <w:szCs w:val="24"/>
                <w:highlight w:val="none"/>
                <w:lang w:eastAsia="zh-CN"/>
              </w:rPr>
            </w:pPr>
          </w:p>
        </w:tc>
        <w:tc>
          <w:tcPr>
            <w:tcW w:w="598" w:type="dxa"/>
            <w:noWrap w:val="0"/>
            <w:tcMar>
              <w:top w:w="0" w:type="dxa"/>
              <w:left w:w="90" w:type="dxa"/>
              <w:bottom w:w="0" w:type="dxa"/>
              <w:right w:w="90" w:type="dxa"/>
            </w:tcMar>
            <w:vAlign w:val="center"/>
          </w:tcPr>
          <w:p>
            <w:pPr>
              <w:rPr>
                <w:rFonts w:hint="eastAsia" w:ascii="宋体" w:hAnsi="宋体" w:eastAsia="宋体" w:cs="宋体"/>
                <w:color w:val="auto"/>
                <w:sz w:val="24"/>
                <w:szCs w:val="24"/>
                <w:highlight w:val="none"/>
              </w:rPr>
            </w:pPr>
          </w:p>
        </w:tc>
        <w:tc>
          <w:tcPr>
            <w:tcW w:w="2070" w:type="dxa"/>
            <w:noWrap w:val="0"/>
            <w:tcMar>
              <w:top w:w="0" w:type="dxa"/>
              <w:left w:w="90" w:type="dxa"/>
              <w:bottom w:w="0" w:type="dxa"/>
              <w:right w:w="90" w:type="dxa"/>
            </w:tcMar>
            <w:vAlign w:val="center"/>
          </w:tcPr>
          <w:p>
            <w:pPr>
              <w:pStyle w:val="6"/>
              <w:keepNext w:val="0"/>
              <w:keepLines w:val="0"/>
              <w:widowControl/>
              <w:suppressLineNumbers w:val="0"/>
              <w:spacing w:before="100" w:beforeAutospacing="1" w:after="100" w:afterAutospacing="1" w:line="345" w:lineRule="atLeast"/>
              <w:ind w:left="0" w:leftChars="0" w:right="0" w:rightChars="0"/>
              <w:jc w:val="both"/>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桶装垃圾运输车</w:t>
            </w:r>
          </w:p>
        </w:tc>
        <w:tc>
          <w:tcPr>
            <w:tcW w:w="832" w:type="dxa"/>
            <w:noWrap w:val="0"/>
            <w:tcMar>
              <w:top w:w="0" w:type="dxa"/>
              <w:left w:w="90" w:type="dxa"/>
              <w:bottom w:w="0" w:type="dxa"/>
              <w:right w:w="90" w:type="dxa"/>
            </w:tcMar>
            <w:vAlign w:val="center"/>
          </w:tcPr>
          <w:p>
            <w:pPr>
              <w:pStyle w:val="6"/>
              <w:keepNext w:val="0"/>
              <w:keepLines w:val="0"/>
              <w:widowControl/>
              <w:suppressLineNumbers w:val="0"/>
              <w:spacing w:before="100" w:beforeAutospacing="1" w:after="100" w:afterAutospacing="1" w:line="345" w:lineRule="atLeast"/>
              <w:ind w:left="0" w:leftChars="0" w:right="0" w:rightChars="0"/>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w:t>
            </w:r>
          </w:p>
        </w:tc>
        <w:tc>
          <w:tcPr>
            <w:tcW w:w="3283" w:type="dxa"/>
            <w:noWrap w:val="0"/>
            <w:tcMar>
              <w:top w:w="0" w:type="dxa"/>
              <w:left w:w="90" w:type="dxa"/>
              <w:bottom w:w="0" w:type="dxa"/>
              <w:right w:w="90" w:type="dxa"/>
            </w:tcMar>
            <w:vAlign w:val="top"/>
          </w:tcPr>
          <w:p>
            <w:pPr>
              <w:pStyle w:val="6"/>
              <w:keepNext w:val="0"/>
              <w:keepLines w:val="0"/>
              <w:widowControl/>
              <w:suppressLineNumbers w:val="0"/>
              <w:spacing w:before="100" w:beforeAutospacing="1" w:after="100" w:afterAutospacing="1" w:line="345" w:lineRule="atLeast"/>
              <w:ind w:left="0" w:leftChars="0" w:right="0" w:rightChars="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中标人拟新购的设备购买价格不得低于人民币</w:t>
            </w:r>
            <w:r>
              <w:rPr>
                <w:rFonts w:hint="eastAsia" w:ascii="宋体" w:hAnsi="宋体" w:eastAsia="宋体" w:cs="宋体"/>
                <w:color w:val="auto"/>
                <w:sz w:val="24"/>
                <w:szCs w:val="24"/>
                <w:highlight w:val="none"/>
                <w:lang w:val="en-US" w:eastAsia="zh-CN"/>
              </w:rPr>
              <w:t>9</w:t>
            </w:r>
            <w:r>
              <w:rPr>
                <w:rFonts w:hint="eastAsia" w:ascii="宋体" w:hAnsi="宋体" w:eastAsia="宋体" w:cs="宋体"/>
                <w:color w:val="auto"/>
                <w:sz w:val="24"/>
                <w:szCs w:val="24"/>
                <w:highlight w:val="none"/>
              </w:rPr>
              <w:t>万/部</w:t>
            </w:r>
          </w:p>
        </w:tc>
        <w:tc>
          <w:tcPr>
            <w:tcW w:w="1532" w:type="dxa"/>
            <w:noWrap w:val="0"/>
            <w:tcMar>
              <w:top w:w="0" w:type="dxa"/>
              <w:left w:w="90" w:type="dxa"/>
              <w:bottom w:w="0" w:type="dxa"/>
              <w:right w:w="90" w:type="dxa"/>
            </w:tcMar>
            <w:vAlign w:val="top"/>
          </w:tcPr>
          <w:p>
            <w:pPr>
              <w:pStyle w:val="6"/>
              <w:keepNext w:val="0"/>
              <w:keepLines w:val="0"/>
              <w:widowControl/>
              <w:suppressLineNumbers w:val="0"/>
              <w:spacing w:before="100" w:beforeAutospacing="1" w:after="100" w:afterAutospacing="1" w:line="345" w:lineRule="atLeast"/>
              <w:ind w:left="0" w:leftChars="0" w:right="0" w:rightChars="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车辆按照3年折旧计算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586" w:type="dxa"/>
            <w:noWrap w:val="0"/>
            <w:tcMar>
              <w:top w:w="0" w:type="dxa"/>
              <w:left w:w="90" w:type="dxa"/>
              <w:bottom w:w="0" w:type="dxa"/>
              <w:right w:w="90" w:type="dxa"/>
            </w:tcMar>
            <w:vAlign w:val="center"/>
          </w:tcPr>
          <w:p>
            <w:pPr>
              <w:pStyle w:val="2"/>
              <w:rPr>
                <w:rFonts w:hint="eastAsia" w:ascii="宋体" w:hAnsi="宋体" w:eastAsia="宋体" w:cs="宋体"/>
                <w:color w:val="auto"/>
                <w:sz w:val="24"/>
                <w:szCs w:val="24"/>
                <w:highlight w:val="none"/>
                <w:lang w:eastAsia="zh-CN"/>
              </w:rPr>
            </w:pPr>
          </w:p>
        </w:tc>
        <w:tc>
          <w:tcPr>
            <w:tcW w:w="598" w:type="dxa"/>
            <w:noWrap w:val="0"/>
            <w:tcMar>
              <w:top w:w="0" w:type="dxa"/>
              <w:left w:w="90" w:type="dxa"/>
              <w:bottom w:w="0" w:type="dxa"/>
              <w:right w:w="90" w:type="dxa"/>
            </w:tcMar>
            <w:vAlign w:val="center"/>
          </w:tcPr>
          <w:p>
            <w:pPr>
              <w:rPr>
                <w:rFonts w:hint="eastAsia" w:ascii="宋体" w:hAnsi="宋体" w:eastAsia="宋体" w:cs="宋体"/>
                <w:color w:val="auto"/>
                <w:sz w:val="24"/>
                <w:szCs w:val="24"/>
                <w:highlight w:val="none"/>
              </w:rPr>
            </w:pPr>
          </w:p>
        </w:tc>
        <w:tc>
          <w:tcPr>
            <w:tcW w:w="2070" w:type="dxa"/>
            <w:noWrap w:val="0"/>
            <w:tcMar>
              <w:top w:w="0" w:type="dxa"/>
              <w:left w:w="90" w:type="dxa"/>
              <w:bottom w:w="0" w:type="dxa"/>
              <w:right w:w="90" w:type="dxa"/>
            </w:tcMar>
            <w:vAlign w:val="center"/>
          </w:tcPr>
          <w:p>
            <w:pPr>
              <w:pStyle w:val="6"/>
              <w:keepNext w:val="0"/>
              <w:keepLines w:val="0"/>
              <w:widowControl/>
              <w:suppressLineNumbers w:val="0"/>
              <w:spacing w:before="100" w:beforeAutospacing="1" w:after="100" w:afterAutospacing="1" w:line="345" w:lineRule="atLeast"/>
              <w:ind w:left="0" w:leftChars="0" w:right="0" w:rightChars="0"/>
              <w:jc w:val="both"/>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电动三轮保洁车</w:t>
            </w:r>
          </w:p>
        </w:tc>
        <w:tc>
          <w:tcPr>
            <w:tcW w:w="832" w:type="dxa"/>
            <w:noWrap w:val="0"/>
            <w:tcMar>
              <w:top w:w="0" w:type="dxa"/>
              <w:left w:w="90" w:type="dxa"/>
              <w:bottom w:w="0" w:type="dxa"/>
              <w:right w:w="90" w:type="dxa"/>
            </w:tcMar>
            <w:vAlign w:val="center"/>
          </w:tcPr>
          <w:p>
            <w:pPr>
              <w:pStyle w:val="6"/>
              <w:keepNext w:val="0"/>
              <w:keepLines w:val="0"/>
              <w:widowControl/>
              <w:suppressLineNumbers w:val="0"/>
              <w:spacing w:before="100" w:beforeAutospacing="1" w:after="100" w:afterAutospacing="1" w:line="345" w:lineRule="atLeast"/>
              <w:ind w:left="0" w:leftChars="0" w:right="0" w:rightChars="0"/>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60</w:t>
            </w:r>
          </w:p>
        </w:tc>
        <w:tc>
          <w:tcPr>
            <w:tcW w:w="3283" w:type="dxa"/>
            <w:noWrap w:val="0"/>
            <w:tcMar>
              <w:top w:w="0" w:type="dxa"/>
              <w:left w:w="90" w:type="dxa"/>
              <w:bottom w:w="0" w:type="dxa"/>
              <w:right w:w="90" w:type="dxa"/>
            </w:tcMar>
            <w:vAlign w:val="top"/>
          </w:tcPr>
          <w:p>
            <w:pPr>
              <w:pStyle w:val="6"/>
              <w:keepNext w:val="0"/>
              <w:keepLines w:val="0"/>
              <w:widowControl/>
              <w:suppressLineNumbers w:val="0"/>
              <w:spacing w:before="100" w:beforeAutospacing="1" w:after="100" w:afterAutospacing="1" w:line="345" w:lineRule="atLeast"/>
              <w:ind w:left="0" w:leftChars="0" w:right="0" w:rightChars="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中标人拟新购的设备购买价格不得低于人民币</w:t>
            </w:r>
            <w:r>
              <w:rPr>
                <w:rFonts w:hint="eastAsia" w:ascii="宋体" w:hAnsi="宋体" w:eastAsia="宋体" w:cs="宋体"/>
                <w:color w:val="auto"/>
                <w:sz w:val="24"/>
                <w:szCs w:val="24"/>
                <w:highlight w:val="none"/>
                <w:lang w:val="en-US" w:eastAsia="zh-CN"/>
              </w:rPr>
              <w:t>4000元</w:t>
            </w:r>
            <w:r>
              <w:rPr>
                <w:rFonts w:hint="eastAsia" w:ascii="宋体" w:hAnsi="宋体" w:eastAsia="宋体" w:cs="宋体"/>
                <w:color w:val="auto"/>
                <w:sz w:val="24"/>
                <w:szCs w:val="24"/>
                <w:highlight w:val="none"/>
              </w:rPr>
              <w:t>/部</w:t>
            </w:r>
          </w:p>
        </w:tc>
        <w:tc>
          <w:tcPr>
            <w:tcW w:w="1532" w:type="dxa"/>
            <w:noWrap w:val="0"/>
            <w:tcMar>
              <w:top w:w="0" w:type="dxa"/>
              <w:left w:w="90" w:type="dxa"/>
              <w:bottom w:w="0" w:type="dxa"/>
              <w:right w:w="90" w:type="dxa"/>
            </w:tcMar>
            <w:vAlign w:val="top"/>
          </w:tcPr>
          <w:p>
            <w:pPr>
              <w:pStyle w:val="6"/>
              <w:keepNext w:val="0"/>
              <w:keepLines w:val="0"/>
              <w:widowControl/>
              <w:suppressLineNumbers w:val="0"/>
              <w:spacing w:before="100" w:beforeAutospacing="1" w:after="100" w:afterAutospacing="1" w:line="345" w:lineRule="atLeast"/>
              <w:ind w:left="0" w:leftChars="0" w:right="0" w:rightChars="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车辆按照3年折旧计算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586" w:type="dxa"/>
            <w:noWrap w:val="0"/>
            <w:tcMar>
              <w:top w:w="0" w:type="dxa"/>
              <w:left w:w="90" w:type="dxa"/>
              <w:bottom w:w="0" w:type="dxa"/>
              <w:right w:w="90" w:type="dxa"/>
            </w:tcMar>
            <w:vAlign w:val="center"/>
          </w:tcPr>
          <w:p>
            <w:pPr>
              <w:pStyle w:val="2"/>
              <w:rPr>
                <w:rFonts w:hint="eastAsia" w:ascii="宋体" w:hAnsi="宋体" w:eastAsia="宋体" w:cs="宋体"/>
                <w:color w:val="auto"/>
                <w:sz w:val="24"/>
                <w:szCs w:val="24"/>
                <w:highlight w:val="none"/>
                <w:lang w:eastAsia="zh-CN"/>
              </w:rPr>
            </w:pPr>
          </w:p>
        </w:tc>
        <w:tc>
          <w:tcPr>
            <w:tcW w:w="598" w:type="dxa"/>
            <w:noWrap w:val="0"/>
            <w:tcMar>
              <w:top w:w="0" w:type="dxa"/>
              <w:left w:w="90" w:type="dxa"/>
              <w:bottom w:w="0" w:type="dxa"/>
              <w:right w:w="90" w:type="dxa"/>
            </w:tcMar>
            <w:vAlign w:val="center"/>
          </w:tcPr>
          <w:p>
            <w:pPr>
              <w:rPr>
                <w:rFonts w:hint="eastAsia" w:ascii="宋体" w:hAnsi="宋体" w:eastAsia="宋体" w:cs="宋体"/>
                <w:color w:val="auto"/>
                <w:sz w:val="24"/>
                <w:szCs w:val="24"/>
                <w:highlight w:val="none"/>
              </w:rPr>
            </w:pPr>
          </w:p>
        </w:tc>
        <w:tc>
          <w:tcPr>
            <w:tcW w:w="2070" w:type="dxa"/>
            <w:noWrap w:val="0"/>
            <w:tcMar>
              <w:top w:w="0" w:type="dxa"/>
              <w:left w:w="90" w:type="dxa"/>
              <w:bottom w:w="0" w:type="dxa"/>
              <w:right w:w="90" w:type="dxa"/>
            </w:tcMar>
            <w:vAlign w:val="center"/>
          </w:tcPr>
          <w:p>
            <w:pPr>
              <w:pStyle w:val="6"/>
              <w:keepNext w:val="0"/>
              <w:keepLines w:val="0"/>
              <w:widowControl/>
              <w:suppressLineNumbers w:val="0"/>
              <w:spacing w:before="100" w:beforeAutospacing="1" w:after="100" w:afterAutospacing="1" w:line="345" w:lineRule="atLeast"/>
              <w:ind w:left="0" w:leftChars="0" w:right="0" w:rightChars="0"/>
              <w:jc w:val="both"/>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垃圾桶</w:t>
            </w:r>
          </w:p>
        </w:tc>
        <w:tc>
          <w:tcPr>
            <w:tcW w:w="832" w:type="dxa"/>
            <w:noWrap w:val="0"/>
            <w:tcMar>
              <w:top w:w="0" w:type="dxa"/>
              <w:left w:w="90" w:type="dxa"/>
              <w:bottom w:w="0" w:type="dxa"/>
              <w:right w:w="90" w:type="dxa"/>
            </w:tcMar>
            <w:vAlign w:val="center"/>
          </w:tcPr>
          <w:p>
            <w:pPr>
              <w:pStyle w:val="6"/>
              <w:keepNext w:val="0"/>
              <w:keepLines w:val="0"/>
              <w:widowControl/>
              <w:suppressLineNumbers w:val="0"/>
              <w:spacing w:before="100" w:beforeAutospacing="1" w:after="100" w:afterAutospacing="1" w:line="345" w:lineRule="atLeast"/>
              <w:ind w:left="0" w:leftChars="0" w:right="0" w:rightChars="0"/>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kern w:val="0"/>
                <w:sz w:val="24"/>
                <w:szCs w:val="24"/>
                <w:highlight w:val="none"/>
              </w:rPr>
              <w:t>1500</w:t>
            </w:r>
          </w:p>
        </w:tc>
        <w:tc>
          <w:tcPr>
            <w:tcW w:w="3283" w:type="dxa"/>
            <w:noWrap w:val="0"/>
            <w:tcMar>
              <w:top w:w="0" w:type="dxa"/>
              <w:left w:w="90" w:type="dxa"/>
              <w:bottom w:w="0" w:type="dxa"/>
              <w:right w:w="90" w:type="dxa"/>
            </w:tcMar>
            <w:vAlign w:val="top"/>
          </w:tcPr>
          <w:p>
            <w:pPr>
              <w:pStyle w:val="6"/>
              <w:keepNext w:val="0"/>
              <w:keepLines w:val="0"/>
              <w:widowControl/>
              <w:suppressLineNumbers w:val="0"/>
              <w:spacing w:before="100" w:beforeAutospacing="1" w:after="100" w:afterAutospacing="1" w:line="345" w:lineRule="atLeast"/>
              <w:ind w:left="0" w:leftChars="0" w:right="0" w:rightChars="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中标人拟新购的</w:t>
            </w:r>
            <w:r>
              <w:rPr>
                <w:rFonts w:hint="eastAsia" w:ascii="宋体" w:hAnsi="宋体" w:eastAsia="宋体" w:cs="宋体"/>
                <w:color w:val="auto"/>
                <w:sz w:val="24"/>
                <w:szCs w:val="24"/>
                <w:highlight w:val="none"/>
                <w:lang w:val="en-US" w:eastAsia="zh-CN"/>
              </w:rPr>
              <w:t>垃圾桶</w:t>
            </w:r>
            <w:r>
              <w:rPr>
                <w:rFonts w:hint="eastAsia" w:ascii="宋体" w:hAnsi="宋体" w:eastAsia="宋体" w:cs="宋体"/>
                <w:color w:val="auto"/>
                <w:sz w:val="24"/>
                <w:szCs w:val="24"/>
                <w:highlight w:val="none"/>
              </w:rPr>
              <w:t>购买价格不得低于人民币</w:t>
            </w:r>
            <w:r>
              <w:rPr>
                <w:rFonts w:hint="eastAsia" w:ascii="宋体" w:hAnsi="宋体" w:eastAsia="宋体" w:cs="宋体"/>
                <w:color w:val="auto"/>
                <w:sz w:val="24"/>
                <w:szCs w:val="24"/>
                <w:highlight w:val="none"/>
                <w:lang w:val="en-US" w:eastAsia="zh-CN"/>
              </w:rPr>
              <w:t>220元</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个</w:t>
            </w:r>
          </w:p>
        </w:tc>
        <w:tc>
          <w:tcPr>
            <w:tcW w:w="1532" w:type="dxa"/>
            <w:noWrap w:val="0"/>
            <w:tcMar>
              <w:top w:w="0" w:type="dxa"/>
              <w:left w:w="90" w:type="dxa"/>
              <w:bottom w:w="0" w:type="dxa"/>
              <w:right w:w="90" w:type="dxa"/>
            </w:tcMar>
            <w:vAlign w:val="top"/>
          </w:tcPr>
          <w:p>
            <w:pPr>
              <w:pStyle w:val="6"/>
              <w:keepNext w:val="0"/>
              <w:keepLines w:val="0"/>
              <w:widowControl/>
              <w:suppressLineNumbers w:val="0"/>
              <w:spacing w:before="100" w:beforeAutospacing="1" w:after="100" w:afterAutospacing="1" w:line="345" w:lineRule="atLeast"/>
              <w:ind w:left="0" w:leftChars="0" w:right="0" w:rightChars="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垃圾桶按2年折旧计算。</w:t>
            </w:r>
          </w:p>
        </w:tc>
      </w:tr>
    </w:tbl>
    <w:p>
      <w:pPr>
        <w:pStyle w:val="6"/>
        <w:keepNext w:val="0"/>
        <w:keepLines w:val="0"/>
        <w:pageBreakBefore w:val="0"/>
        <w:widowControl/>
        <w:numPr>
          <w:ilvl w:val="0"/>
          <w:numId w:val="8"/>
        </w:numPr>
        <w:suppressLineNumbers w:val="0"/>
        <w:kinsoku/>
        <w:wordWrap/>
        <w:overflowPunct/>
        <w:topLinePunct w:val="0"/>
        <w:autoSpaceDE/>
        <w:autoSpaceDN/>
        <w:bidi w:val="0"/>
        <w:adjustRightInd/>
        <w:snapToGrid/>
        <w:spacing w:before="100" w:beforeAutospacing="1" w:after="100" w:afterAutospacing="1" w:line="420" w:lineRule="exact"/>
        <w:ind w:right="0" w:rightChars="0" w:firstLine="360" w:firstLineChars="150"/>
        <w:jc w:val="both"/>
        <w:textAlignment w:val="auto"/>
        <w:rPr>
          <w:rFonts w:hint="eastAsia" w:ascii="宋体" w:hAnsi="宋体" w:eastAsia="宋体" w:cs="宋体"/>
          <w:sz w:val="24"/>
          <w:szCs w:val="24"/>
        </w:rPr>
      </w:pPr>
      <w:r>
        <w:rPr>
          <w:rFonts w:hint="eastAsia" w:ascii="宋体" w:hAnsi="宋体" w:eastAsia="宋体" w:cs="宋体"/>
          <w:sz w:val="24"/>
          <w:szCs w:val="24"/>
        </w:rPr>
        <w:t>上述</w:t>
      </w:r>
      <w:r>
        <w:rPr>
          <w:rFonts w:hint="eastAsia" w:ascii="宋体" w:hAnsi="宋体" w:eastAsia="宋体" w:cs="宋体"/>
          <w:sz w:val="24"/>
          <w:szCs w:val="24"/>
          <w:lang w:val="en-US" w:eastAsia="zh-CN"/>
        </w:rPr>
        <w:t>新购</w:t>
      </w:r>
      <w:r>
        <w:rPr>
          <w:rFonts w:hint="eastAsia" w:ascii="宋体" w:hAnsi="宋体" w:eastAsia="宋体" w:cs="宋体"/>
          <w:sz w:val="24"/>
          <w:szCs w:val="24"/>
        </w:rPr>
        <w:t>机械作业车辆要求为本招标项目的</w:t>
      </w:r>
      <w:r>
        <w:rPr>
          <w:rFonts w:hint="eastAsia" w:ascii="宋体" w:hAnsi="宋体" w:eastAsia="宋体" w:cs="宋体"/>
          <w:sz w:val="24"/>
          <w:szCs w:val="24"/>
          <w:lang w:val="en-US" w:eastAsia="zh-CN"/>
        </w:rPr>
        <w:t>新购车辆的</w:t>
      </w:r>
      <w:r>
        <w:rPr>
          <w:rFonts w:hint="eastAsia" w:ascii="宋体" w:hAnsi="宋体" w:eastAsia="宋体" w:cs="宋体"/>
          <w:sz w:val="24"/>
          <w:szCs w:val="24"/>
        </w:rPr>
        <w:t>最低配备要求，投标人可根据实际情况相应增加机械作业车辆，若投标人</w:t>
      </w:r>
      <w:r>
        <w:rPr>
          <w:rFonts w:hint="eastAsia" w:ascii="宋体" w:hAnsi="宋体" w:eastAsia="宋体" w:cs="宋体"/>
          <w:sz w:val="24"/>
          <w:szCs w:val="24"/>
          <w:lang w:val="en-US" w:eastAsia="zh-CN"/>
        </w:rPr>
        <w:t>拟新购投入</w:t>
      </w:r>
      <w:r>
        <w:rPr>
          <w:rFonts w:hint="eastAsia" w:ascii="宋体" w:hAnsi="宋体" w:eastAsia="宋体" w:cs="宋体"/>
          <w:sz w:val="24"/>
          <w:szCs w:val="24"/>
        </w:rPr>
        <w:t>的机械作业车辆低于数量</w:t>
      </w:r>
      <w:r>
        <w:rPr>
          <w:rFonts w:hint="eastAsia" w:ascii="宋体" w:hAnsi="宋体" w:eastAsia="宋体" w:cs="宋体"/>
          <w:sz w:val="24"/>
          <w:szCs w:val="24"/>
          <w:lang w:val="en-US" w:eastAsia="zh-CN"/>
        </w:rPr>
        <w:t>、配置</w:t>
      </w:r>
      <w:r>
        <w:rPr>
          <w:rFonts w:hint="eastAsia" w:ascii="宋体" w:hAnsi="宋体" w:eastAsia="宋体" w:cs="宋体"/>
          <w:sz w:val="24"/>
          <w:szCs w:val="24"/>
        </w:rPr>
        <w:t>要求，按投标无效处理。</w:t>
      </w:r>
    </w:p>
    <w:p>
      <w:pPr>
        <w:pStyle w:val="6"/>
        <w:keepNext w:val="0"/>
        <w:keepLines w:val="0"/>
        <w:pageBreakBefore w:val="0"/>
        <w:widowControl/>
        <w:numPr>
          <w:ilvl w:val="0"/>
          <w:numId w:val="8"/>
        </w:numPr>
        <w:suppressLineNumbers w:val="0"/>
        <w:kinsoku/>
        <w:wordWrap/>
        <w:overflowPunct/>
        <w:topLinePunct w:val="0"/>
        <w:autoSpaceDE/>
        <w:autoSpaceDN/>
        <w:bidi w:val="0"/>
        <w:adjustRightInd/>
        <w:snapToGrid/>
        <w:spacing w:before="100" w:beforeAutospacing="1" w:after="100" w:afterAutospacing="1" w:line="420" w:lineRule="exact"/>
        <w:ind w:right="0" w:rightChars="0" w:firstLine="360" w:firstLineChars="150"/>
        <w:jc w:val="both"/>
        <w:textAlignment w:val="auto"/>
        <w:rPr>
          <w:rFonts w:hint="eastAsia" w:ascii="宋体" w:hAnsi="宋体" w:eastAsia="宋体" w:cs="宋体"/>
          <w:sz w:val="24"/>
          <w:szCs w:val="24"/>
        </w:rPr>
      </w:pPr>
      <w:r>
        <w:rPr>
          <w:rFonts w:hint="eastAsia" w:ascii="宋体" w:hAnsi="宋体" w:eastAsia="宋体" w:cs="宋体"/>
          <w:sz w:val="24"/>
          <w:szCs w:val="24"/>
        </w:rPr>
        <w:t>拟配备的新购机械作业价格不得低于本文件规定的要求，中标人购买相应车辆后应将车辆发票及车辆其他资料送采购人处核查，</w:t>
      </w:r>
      <w:r>
        <w:rPr>
          <w:rFonts w:hint="eastAsia" w:ascii="宋体" w:hAnsi="宋体" w:cs="宋体"/>
          <w:sz w:val="24"/>
          <w:szCs w:val="24"/>
          <w:lang w:val="en-US" w:eastAsia="zh-CN"/>
        </w:rPr>
        <w:t>若新购置机械作业车辆价格低于本文件规定的要求，取消其中标资格。</w:t>
      </w:r>
    </w:p>
    <w:p>
      <w:pPr>
        <w:pStyle w:val="6"/>
        <w:keepNext w:val="0"/>
        <w:keepLines w:val="0"/>
        <w:pageBreakBefore w:val="0"/>
        <w:widowControl/>
        <w:numPr>
          <w:ilvl w:val="0"/>
          <w:numId w:val="8"/>
        </w:numPr>
        <w:suppressLineNumbers w:val="0"/>
        <w:kinsoku/>
        <w:wordWrap/>
        <w:overflowPunct/>
        <w:topLinePunct w:val="0"/>
        <w:autoSpaceDE/>
        <w:autoSpaceDN/>
        <w:bidi w:val="0"/>
        <w:adjustRightInd/>
        <w:snapToGrid/>
        <w:spacing w:before="100" w:beforeAutospacing="1" w:after="100" w:afterAutospacing="1" w:line="420" w:lineRule="exact"/>
        <w:ind w:right="0" w:rightChars="0" w:firstLine="360" w:firstLineChars="150"/>
        <w:jc w:val="both"/>
        <w:textAlignment w:val="auto"/>
        <w:rPr>
          <w:rFonts w:hint="eastAsia" w:ascii="宋体" w:hAnsi="宋体" w:eastAsia="宋体" w:cs="宋体"/>
          <w:sz w:val="24"/>
          <w:szCs w:val="24"/>
        </w:rPr>
      </w:pPr>
      <w:r>
        <w:rPr>
          <w:rFonts w:hint="eastAsia" w:ascii="宋体" w:hAnsi="宋体" w:eastAsia="宋体" w:cs="宋体"/>
          <w:sz w:val="24"/>
          <w:szCs w:val="24"/>
        </w:rPr>
        <w:t>合同所需配置的作业车辆等必须于过渡期第二个月全部配置到位，第三个月</w:t>
      </w:r>
      <w:r>
        <w:rPr>
          <w:rFonts w:hint="eastAsia" w:ascii="宋体" w:hAnsi="宋体" w:cs="宋体"/>
          <w:sz w:val="24"/>
          <w:szCs w:val="24"/>
          <w:lang w:eastAsia="zh-CN"/>
        </w:rPr>
        <w:t>必须全部</w:t>
      </w:r>
      <w:r>
        <w:rPr>
          <w:rFonts w:hint="eastAsia" w:ascii="宋体" w:hAnsi="宋体" w:eastAsia="宋体" w:cs="宋体"/>
          <w:sz w:val="24"/>
          <w:szCs w:val="24"/>
        </w:rPr>
        <w:t>投入使用</w:t>
      </w:r>
      <w:r>
        <w:rPr>
          <w:rFonts w:hint="eastAsia" w:ascii="宋体" w:hAnsi="宋体" w:cs="宋体"/>
          <w:sz w:val="24"/>
          <w:szCs w:val="24"/>
          <w:lang w:eastAsia="zh-CN"/>
        </w:rPr>
        <w:t>，未在采购人规定时间内配置到位并投入使用，取消其中标资格。</w:t>
      </w:r>
    </w:p>
    <w:p>
      <w:pPr>
        <w:pStyle w:val="6"/>
        <w:keepNext w:val="0"/>
        <w:keepLines w:val="0"/>
        <w:pageBreakBefore w:val="0"/>
        <w:widowControl/>
        <w:numPr>
          <w:ilvl w:val="0"/>
          <w:numId w:val="8"/>
        </w:numPr>
        <w:suppressLineNumbers w:val="0"/>
        <w:kinsoku/>
        <w:wordWrap/>
        <w:overflowPunct/>
        <w:topLinePunct w:val="0"/>
        <w:autoSpaceDE/>
        <w:autoSpaceDN/>
        <w:bidi w:val="0"/>
        <w:adjustRightInd/>
        <w:snapToGrid/>
        <w:spacing w:before="100" w:beforeAutospacing="1" w:after="100" w:afterAutospacing="1" w:line="420" w:lineRule="exact"/>
        <w:ind w:right="0" w:rightChars="0" w:firstLine="360" w:firstLineChars="150"/>
        <w:jc w:val="both"/>
        <w:textAlignment w:val="auto"/>
        <w:rPr>
          <w:rFonts w:hint="eastAsia" w:ascii="宋体" w:hAnsi="宋体" w:eastAsia="宋体" w:cs="宋体"/>
          <w:sz w:val="24"/>
          <w:szCs w:val="24"/>
        </w:rPr>
      </w:pPr>
      <w:r>
        <w:rPr>
          <w:rFonts w:hint="eastAsia" w:ascii="宋体" w:hAnsi="宋体" w:eastAsia="宋体" w:cs="宋体"/>
          <w:sz w:val="24"/>
          <w:szCs w:val="24"/>
          <w:shd w:val="clear" w:color="auto" w:fill="FFFFFF"/>
        </w:rPr>
        <w:t>中标</w:t>
      </w:r>
      <w:r>
        <w:rPr>
          <w:rFonts w:hint="eastAsia" w:ascii="宋体" w:hAnsi="宋体" w:cs="宋体"/>
          <w:sz w:val="24"/>
          <w:szCs w:val="24"/>
          <w:shd w:val="clear" w:color="auto" w:fill="FFFFFF"/>
          <w:lang w:val="en-US" w:eastAsia="zh-CN"/>
        </w:rPr>
        <w:t>人</w:t>
      </w:r>
      <w:r>
        <w:rPr>
          <w:rFonts w:hint="eastAsia" w:ascii="宋体" w:hAnsi="宋体" w:eastAsia="宋体" w:cs="宋体"/>
          <w:sz w:val="24"/>
          <w:szCs w:val="24"/>
          <w:shd w:val="clear" w:color="auto" w:fill="FFFFFF"/>
        </w:rPr>
        <w:t>新购性能良好的车辆用于本</w:t>
      </w:r>
      <w:r>
        <w:rPr>
          <w:rFonts w:hint="eastAsia" w:ascii="宋体" w:hAnsi="宋体" w:cs="宋体"/>
          <w:sz w:val="24"/>
          <w:szCs w:val="24"/>
          <w:shd w:val="clear" w:color="auto" w:fill="FFFFFF"/>
          <w:lang w:eastAsia="zh-CN"/>
        </w:rPr>
        <w:t>环卫作业</w:t>
      </w:r>
      <w:r>
        <w:rPr>
          <w:rFonts w:hint="eastAsia" w:ascii="宋体" w:hAnsi="宋体" w:eastAsia="宋体" w:cs="宋体"/>
          <w:sz w:val="24"/>
          <w:szCs w:val="24"/>
          <w:shd w:val="clear" w:color="auto" w:fill="FFFFFF"/>
        </w:rPr>
        <w:t>项目。所有机械作业车辆必须安装作业规范监控设备,</w:t>
      </w:r>
      <w:r>
        <w:rPr>
          <w:rFonts w:hint="eastAsia" w:ascii="宋体" w:hAnsi="宋体" w:cs="宋体"/>
          <w:sz w:val="24"/>
          <w:szCs w:val="24"/>
          <w:shd w:val="clear" w:color="auto" w:fill="FFFFFF"/>
          <w:lang w:eastAsia="zh-CN"/>
        </w:rPr>
        <w:t>如遇特殊情况，</w:t>
      </w:r>
      <w:r>
        <w:rPr>
          <w:rFonts w:hint="eastAsia" w:ascii="宋体" w:hAnsi="宋体" w:eastAsia="宋体" w:cs="宋体"/>
          <w:sz w:val="24"/>
          <w:szCs w:val="24"/>
          <w:shd w:val="clear" w:color="auto" w:fill="FFFFFF"/>
        </w:rPr>
        <w:t>新购车辆</w:t>
      </w:r>
      <w:r>
        <w:rPr>
          <w:rFonts w:hint="eastAsia" w:ascii="宋体" w:hAnsi="宋体" w:cs="宋体"/>
          <w:sz w:val="24"/>
          <w:szCs w:val="24"/>
          <w:shd w:val="clear" w:color="auto" w:fill="FFFFFF"/>
          <w:lang w:eastAsia="zh-CN"/>
        </w:rPr>
        <w:t>需</w:t>
      </w:r>
      <w:r>
        <w:rPr>
          <w:rFonts w:hint="eastAsia" w:ascii="宋体" w:hAnsi="宋体" w:eastAsia="宋体" w:cs="宋体"/>
          <w:sz w:val="24"/>
          <w:szCs w:val="24"/>
          <w:shd w:val="clear" w:color="auto" w:fill="FFFFFF"/>
        </w:rPr>
        <w:t>在合同期内发生变更、报废情况的，必须征得采购人同意并在采购人规定时间内购置新车补齐。</w:t>
      </w:r>
    </w:p>
    <w:p>
      <w:pPr>
        <w:pStyle w:val="6"/>
        <w:keepNext w:val="0"/>
        <w:keepLines w:val="0"/>
        <w:pageBreakBefore w:val="0"/>
        <w:widowControl/>
        <w:numPr>
          <w:ilvl w:val="0"/>
          <w:numId w:val="8"/>
        </w:numPr>
        <w:suppressLineNumbers w:val="0"/>
        <w:kinsoku/>
        <w:wordWrap/>
        <w:overflowPunct/>
        <w:topLinePunct w:val="0"/>
        <w:autoSpaceDE/>
        <w:autoSpaceDN/>
        <w:bidi w:val="0"/>
        <w:adjustRightInd/>
        <w:snapToGrid/>
        <w:spacing w:before="100" w:beforeAutospacing="1" w:after="100" w:afterAutospacing="1" w:line="420" w:lineRule="exact"/>
        <w:ind w:right="0" w:rightChars="0" w:firstLine="360" w:firstLineChars="150"/>
        <w:jc w:val="both"/>
        <w:textAlignment w:val="auto"/>
        <w:rPr>
          <w:rFonts w:hint="eastAsia" w:ascii="宋体" w:hAnsi="宋体" w:eastAsia="宋体" w:cs="宋体"/>
          <w:sz w:val="24"/>
          <w:szCs w:val="24"/>
        </w:rPr>
      </w:pPr>
      <w:r>
        <w:rPr>
          <w:rFonts w:hint="eastAsia" w:ascii="宋体" w:hAnsi="宋体" w:eastAsia="宋体" w:cs="宋体"/>
          <w:sz w:val="24"/>
          <w:szCs w:val="24"/>
          <w:shd w:val="clear" w:color="auto" w:fill="FFFFFF"/>
        </w:rPr>
        <w:t>车辆的具体各项参数需满足辖区各项作业要求正常使用。</w:t>
      </w:r>
    </w:p>
    <w:p>
      <w:pPr>
        <w:pStyle w:val="6"/>
        <w:keepNext w:val="0"/>
        <w:keepLines w:val="0"/>
        <w:pageBreakBefore w:val="0"/>
        <w:widowControl/>
        <w:numPr>
          <w:ilvl w:val="0"/>
          <w:numId w:val="8"/>
        </w:numPr>
        <w:suppressLineNumbers w:val="0"/>
        <w:kinsoku/>
        <w:wordWrap/>
        <w:overflowPunct/>
        <w:topLinePunct w:val="0"/>
        <w:autoSpaceDE/>
        <w:autoSpaceDN/>
        <w:bidi w:val="0"/>
        <w:adjustRightInd/>
        <w:snapToGrid/>
        <w:spacing w:before="100" w:beforeAutospacing="1" w:after="100" w:afterAutospacing="1" w:line="420" w:lineRule="exact"/>
        <w:ind w:right="0" w:rightChars="0" w:firstLine="360" w:firstLineChars="150"/>
        <w:jc w:val="both"/>
        <w:textAlignment w:val="auto"/>
        <w:rPr>
          <w:rFonts w:hint="eastAsia" w:ascii="宋体" w:hAnsi="宋体" w:eastAsia="宋体" w:cs="宋体"/>
          <w:sz w:val="24"/>
          <w:szCs w:val="24"/>
        </w:rPr>
      </w:pPr>
      <w:r>
        <w:rPr>
          <w:rFonts w:hint="eastAsia" w:ascii="宋体" w:hAnsi="宋体" w:eastAsia="宋体" w:cs="宋体"/>
          <w:sz w:val="24"/>
          <w:szCs w:val="24"/>
          <w:shd w:val="clear" w:color="auto" w:fill="FFFFFF"/>
        </w:rPr>
        <w:t>配备车辆须报本地牌。</w:t>
      </w:r>
    </w:p>
    <w:p>
      <w:pPr>
        <w:pStyle w:val="6"/>
        <w:keepNext w:val="0"/>
        <w:keepLines w:val="0"/>
        <w:pageBreakBefore w:val="0"/>
        <w:widowControl/>
        <w:numPr>
          <w:ilvl w:val="0"/>
          <w:numId w:val="8"/>
        </w:numPr>
        <w:suppressLineNumbers w:val="0"/>
        <w:kinsoku/>
        <w:wordWrap/>
        <w:overflowPunct/>
        <w:topLinePunct w:val="0"/>
        <w:autoSpaceDE/>
        <w:autoSpaceDN/>
        <w:bidi w:val="0"/>
        <w:adjustRightInd/>
        <w:snapToGrid/>
        <w:spacing w:before="100" w:beforeAutospacing="1" w:after="100" w:afterAutospacing="1" w:line="420" w:lineRule="exact"/>
        <w:ind w:right="0" w:rightChars="0" w:firstLine="360" w:firstLineChars="150"/>
        <w:jc w:val="both"/>
        <w:textAlignment w:val="auto"/>
        <w:rPr>
          <w:rFonts w:hint="eastAsia" w:ascii="宋体" w:hAnsi="宋体" w:eastAsia="宋体" w:cs="宋体"/>
          <w:sz w:val="24"/>
          <w:szCs w:val="24"/>
        </w:rPr>
      </w:pPr>
      <w:r>
        <w:rPr>
          <w:rFonts w:hint="eastAsia" w:ascii="宋体" w:hAnsi="宋体" w:eastAsia="宋体" w:cs="宋体"/>
          <w:sz w:val="24"/>
          <w:szCs w:val="24"/>
          <w:shd w:val="clear" w:color="auto" w:fill="FFFFFF"/>
        </w:rPr>
        <w:t>以上“T”为核定载质量。</w:t>
      </w:r>
    </w:p>
    <w:p>
      <w:pPr>
        <w:pStyle w:val="6"/>
        <w:keepNext w:val="0"/>
        <w:keepLines w:val="0"/>
        <w:pageBreakBefore w:val="0"/>
        <w:widowControl/>
        <w:numPr>
          <w:ilvl w:val="0"/>
          <w:numId w:val="8"/>
        </w:numPr>
        <w:suppressLineNumbers w:val="0"/>
        <w:kinsoku/>
        <w:wordWrap/>
        <w:overflowPunct/>
        <w:topLinePunct w:val="0"/>
        <w:autoSpaceDE/>
        <w:autoSpaceDN/>
        <w:bidi w:val="0"/>
        <w:adjustRightInd/>
        <w:snapToGrid/>
        <w:spacing w:before="100" w:beforeAutospacing="1" w:after="100" w:afterAutospacing="1" w:line="420" w:lineRule="exact"/>
        <w:ind w:right="0" w:rightChars="0" w:firstLine="360" w:firstLineChars="150"/>
        <w:jc w:val="both"/>
        <w:textAlignment w:val="auto"/>
        <w:rPr>
          <w:rFonts w:hint="eastAsia" w:ascii="宋体" w:hAnsi="宋体" w:eastAsia="宋体" w:cs="宋体"/>
          <w:sz w:val="24"/>
          <w:szCs w:val="24"/>
        </w:rPr>
      </w:pPr>
      <w:r>
        <w:rPr>
          <w:rFonts w:hint="eastAsia" w:ascii="宋体" w:hAnsi="宋体" w:cs="宋体"/>
          <w:sz w:val="24"/>
          <w:szCs w:val="24"/>
          <w:shd w:val="clear" w:color="auto" w:fill="FFFFFF"/>
          <w:lang w:eastAsia="zh-CN"/>
        </w:rPr>
        <w:t>河道保洁工作过程中涉及到的河道保洁船必须符合</w:t>
      </w:r>
      <w:r>
        <w:rPr>
          <w:rFonts w:hint="eastAsia" w:ascii="宋体" w:hAnsi="宋体" w:cs="宋体"/>
          <w:shd w:val="clear" w:color="auto" w:fill="FFFFFF"/>
        </w:rPr>
        <w:t>中华人民共和国内河交通安全管理条例(2017修订)第二章船舶、浮动设施和船员第六条</w:t>
      </w:r>
      <w:r>
        <w:rPr>
          <w:rFonts w:hint="eastAsia" w:ascii="宋体" w:hAnsi="宋体" w:cs="宋体"/>
          <w:shd w:val="clear" w:color="auto" w:fill="FFFFFF"/>
          <w:lang w:eastAsia="zh-CN"/>
        </w:rPr>
        <w:t>之规定。</w:t>
      </w:r>
    </w:p>
    <w:p>
      <w:pPr>
        <w:pStyle w:val="6"/>
        <w:keepNext w:val="0"/>
        <w:keepLines w:val="0"/>
        <w:pageBreakBefore w:val="0"/>
        <w:widowControl/>
        <w:suppressLineNumbers w:val="0"/>
        <w:kinsoku/>
        <w:wordWrap/>
        <w:overflowPunct/>
        <w:topLinePunct w:val="0"/>
        <w:autoSpaceDE/>
        <w:autoSpaceDN/>
        <w:bidi w:val="0"/>
        <w:adjustRightInd/>
        <w:snapToGrid/>
        <w:spacing w:before="100" w:beforeAutospacing="0" w:after="100" w:afterAutospacing="0" w:line="460" w:lineRule="exact"/>
        <w:ind w:firstLine="482" w:firstLineChars="200"/>
        <w:jc w:val="both"/>
        <w:textAlignment w:val="auto"/>
        <w:rPr>
          <w:rFonts w:hint="eastAsia" w:ascii="宋体" w:hAnsi="宋体" w:eastAsia="宋体" w:cs="宋体"/>
          <w:sz w:val="24"/>
          <w:szCs w:val="24"/>
          <w:highlight w:val="none"/>
        </w:rPr>
      </w:pPr>
      <w:r>
        <w:rPr>
          <w:rStyle w:val="10"/>
          <w:rFonts w:hint="eastAsia" w:ascii="宋体" w:hAnsi="宋体" w:eastAsia="宋体" w:cs="宋体"/>
          <w:sz w:val="24"/>
          <w:szCs w:val="24"/>
          <w:highlight w:val="none"/>
        </w:rPr>
        <w:t>★（</w:t>
      </w:r>
      <w:r>
        <w:rPr>
          <w:rStyle w:val="10"/>
          <w:rFonts w:hint="eastAsia" w:ascii="宋体" w:hAnsi="宋体" w:cs="宋体"/>
          <w:sz w:val="24"/>
          <w:szCs w:val="24"/>
          <w:highlight w:val="none"/>
          <w:lang w:val="en-US" w:eastAsia="zh-CN"/>
        </w:rPr>
        <w:t>七</w:t>
      </w:r>
      <w:r>
        <w:rPr>
          <w:rStyle w:val="10"/>
          <w:rFonts w:hint="eastAsia" w:ascii="宋体" w:hAnsi="宋体" w:eastAsia="宋体" w:cs="宋体"/>
          <w:sz w:val="24"/>
          <w:szCs w:val="24"/>
          <w:highlight w:val="none"/>
        </w:rPr>
        <w:t>）报价要求</w:t>
      </w:r>
    </w:p>
    <w:p>
      <w:pPr>
        <w:pStyle w:val="6"/>
        <w:keepNext w:val="0"/>
        <w:keepLines w:val="0"/>
        <w:pageBreakBefore w:val="0"/>
        <w:widowControl/>
        <w:numPr>
          <w:ilvl w:val="0"/>
          <w:numId w:val="9"/>
        </w:numPr>
        <w:suppressLineNumbers w:val="0"/>
        <w:shd w:val="clear" w:color="auto" w:fill="FFFFFF"/>
        <w:kinsoku/>
        <w:wordWrap/>
        <w:overflowPunct/>
        <w:topLinePunct w:val="0"/>
        <w:autoSpaceDE/>
        <w:autoSpaceDN/>
        <w:bidi w:val="0"/>
        <w:adjustRightInd/>
        <w:snapToGrid/>
        <w:spacing w:before="100" w:beforeAutospacing="0" w:after="100" w:afterAutospacing="0" w:line="460" w:lineRule="exact"/>
        <w:ind w:firstLine="480" w:firstLineChars="200"/>
        <w:jc w:val="both"/>
        <w:textAlignment w:val="auto"/>
        <w:rPr>
          <w:rStyle w:val="10"/>
          <w:rFonts w:hint="eastAsia" w:ascii="宋体" w:hAnsi="宋体" w:eastAsia="宋体" w:cs="宋体"/>
          <w:b w:val="0"/>
          <w:bCs/>
          <w:sz w:val="24"/>
          <w:szCs w:val="24"/>
          <w:highlight w:val="none"/>
          <w:shd w:val="clear" w:color="auto" w:fill="FFFFFF"/>
        </w:rPr>
      </w:pPr>
      <w:r>
        <w:rPr>
          <w:rStyle w:val="10"/>
          <w:rFonts w:hint="eastAsia" w:ascii="宋体" w:hAnsi="宋体" w:eastAsia="宋体" w:cs="宋体"/>
          <w:b w:val="0"/>
          <w:bCs/>
          <w:sz w:val="24"/>
          <w:szCs w:val="24"/>
          <w:highlight w:val="none"/>
          <w:shd w:val="clear" w:color="auto" w:fill="FFFFFF"/>
        </w:rPr>
        <w:t>投标人提供的作业方案及报价文件中，其承诺的投入购置全新机械设备、作业车辆（向采购人租赁的设备除外），以及人员数量及工人福利待遇水平的相关数据，必须含在报价中，若低于招标文件要求或未提供承诺则按无效投标处理。</w:t>
      </w:r>
    </w:p>
    <w:p>
      <w:pPr>
        <w:pStyle w:val="6"/>
        <w:keepNext w:val="0"/>
        <w:keepLines w:val="0"/>
        <w:pageBreakBefore w:val="0"/>
        <w:widowControl/>
        <w:numPr>
          <w:ilvl w:val="0"/>
          <w:numId w:val="9"/>
        </w:numPr>
        <w:suppressLineNumbers w:val="0"/>
        <w:shd w:val="clear" w:color="auto" w:fill="FFFFFF"/>
        <w:kinsoku/>
        <w:wordWrap/>
        <w:overflowPunct/>
        <w:topLinePunct w:val="0"/>
        <w:autoSpaceDE/>
        <w:autoSpaceDN/>
        <w:bidi w:val="0"/>
        <w:adjustRightInd/>
        <w:snapToGrid/>
        <w:spacing w:before="100" w:beforeAutospacing="0" w:after="100" w:afterAutospacing="0" w:line="460" w:lineRule="exact"/>
        <w:ind w:firstLine="480" w:firstLineChars="200"/>
        <w:jc w:val="both"/>
        <w:textAlignment w:val="auto"/>
        <w:rPr>
          <w:rFonts w:hint="eastAsia" w:ascii="宋体" w:hAnsi="宋体" w:eastAsia="宋体" w:cs="宋体"/>
          <w:b w:val="0"/>
          <w:bCs/>
          <w:sz w:val="24"/>
          <w:szCs w:val="24"/>
          <w:highlight w:val="none"/>
        </w:rPr>
      </w:pPr>
      <w:r>
        <w:rPr>
          <w:rStyle w:val="10"/>
          <w:rFonts w:hint="eastAsia" w:ascii="宋体" w:hAnsi="宋体" w:eastAsia="宋体" w:cs="宋体"/>
          <w:b w:val="0"/>
          <w:bCs/>
          <w:sz w:val="24"/>
          <w:szCs w:val="24"/>
          <w:highlight w:val="none"/>
        </w:rPr>
        <w:t>投标人须</w:t>
      </w:r>
      <w:r>
        <w:rPr>
          <w:rStyle w:val="10"/>
          <w:rFonts w:hint="eastAsia" w:ascii="宋体" w:hAnsi="宋体" w:cs="宋体"/>
          <w:b w:val="0"/>
          <w:bCs/>
          <w:sz w:val="24"/>
          <w:szCs w:val="24"/>
          <w:highlight w:val="none"/>
          <w:lang w:val="en-US" w:eastAsia="zh-CN"/>
        </w:rPr>
        <w:t>提供</w:t>
      </w:r>
      <w:r>
        <w:rPr>
          <w:rStyle w:val="10"/>
          <w:rFonts w:hint="eastAsia" w:ascii="宋体" w:hAnsi="宋体" w:eastAsia="宋体" w:cs="宋体"/>
          <w:b w:val="0"/>
          <w:bCs/>
          <w:sz w:val="24"/>
          <w:szCs w:val="24"/>
          <w:highlight w:val="none"/>
        </w:rPr>
        <w:t>针对满足本项目各合同包投入作业车辆明细情况：具体详见</w:t>
      </w:r>
      <w:r>
        <w:rPr>
          <w:rStyle w:val="10"/>
          <w:rFonts w:hint="eastAsia" w:ascii="宋体" w:hAnsi="宋体" w:eastAsia="宋体" w:cs="宋体"/>
          <w:b w:val="0"/>
          <w:bCs/>
          <w:color w:val="000000"/>
          <w:sz w:val="24"/>
          <w:szCs w:val="24"/>
          <w:highlight w:val="none"/>
        </w:rPr>
        <w:t>《</w:t>
      </w:r>
      <w:r>
        <w:rPr>
          <w:rStyle w:val="10"/>
          <w:rFonts w:hint="eastAsia" w:ascii="宋体" w:hAnsi="宋体" w:eastAsia="宋体" w:cs="宋体"/>
          <w:sz w:val="24"/>
          <w:szCs w:val="24"/>
          <w:lang w:val="en-US" w:eastAsia="zh-CN"/>
        </w:rPr>
        <w:t>宁化县城区环卫市场化服务项目</w:t>
      </w:r>
      <w:r>
        <w:rPr>
          <w:rStyle w:val="10"/>
          <w:rFonts w:hint="eastAsia" w:ascii="宋体" w:hAnsi="宋体" w:cs="宋体"/>
          <w:sz w:val="24"/>
          <w:szCs w:val="24"/>
          <w:lang w:val="en-US" w:eastAsia="zh-CN"/>
        </w:rPr>
        <w:t>需配置全新</w:t>
      </w:r>
      <w:r>
        <w:rPr>
          <w:rStyle w:val="10"/>
          <w:rFonts w:hint="eastAsia" w:ascii="宋体" w:hAnsi="宋体" w:eastAsia="宋体" w:cs="宋体"/>
          <w:sz w:val="24"/>
          <w:szCs w:val="24"/>
        </w:rPr>
        <w:t>机械配置要求</w:t>
      </w:r>
      <w:r>
        <w:rPr>
          <w:rStyle w:val="10"/>
          <w:rFonts w:hint="eastAsia" w:ascii="宋体" w:hAnsi="宋体" w:eastAsia="宋体" w:cs="宋体"/>
          <w:b w:val="0"/>
          <w:bCs/>
          <w:color w:val="000000"/>
          <w:sz w:val="24"/>
          <w:szCs w:val="24"/>
          <w:highlight w:val="none"/>
        </w:rPr>
        <w:t>》</w:t>
      </w:r>
      <w:r>
        <w:rPr>
          <w:rStyle w:val="10"/>
          <w:rFonts w:hint="eastAsia" w:ascii="宋体" w:hAnsi="宋体" w:eastAsia="宋体" w:cs="宋体"/>
          <w:b w:val="0"/>
          <w:bCs/>
          <w:sz w:val="24"/>
          <w:szCs w:val="24"/>
          <w:highlight w:val="none"/>
        </w:rPr>
        <w:t>，投标人拟配备的车辆的情况低于</w:t>
      </w:r>
      <w:r>
        <w:rPr>
          <w:rStyle w:val="10"/>
          <w:rFonts w:hint="eastAsia" w:ascii="宋体" w:hAnsi="宋体" w:eastAsia="宋体" w:cs="宋体"/>
          <w:b w:val="0"/>
          <w:bCs/>
          <w:color w:val="000000"/>
          <w:sz w:val="24"/>
          <w:szCs w:val="24"/>
          <w:highlight w:val="none"/>
        </w:rPr>
        <w:t>《</w:t>
      </w:r>
      <w:r>
        <w:rPr>
          <w:rStyle w:val="10"/>
          <w:rFonts w:hint="eastAsia" w:ascii="宋体" w:hAnsi="宋体" w:eastAsia="宋体" w:cs="宋体"/>
          <w:sz w:val="24"/>
          <w:szCs w:val="24"/>
          <w:lang w:val="en-US" w:eastAsia="zh-CN"/>
        </w:rPr>
        <w:t>宁化县城区环卫市场化服务项目</w:t>
      </w:r>
      <w:r>
        <w:rPr>
          <w:rStyle w:val="10"/>
          <w:rFonts w:hint="eastAsia" w:ascii="宋体" w:hAnsi="宋体" w:cs="宋体"/>
          <w:sz w:val="24"/>
          <w:szCs w:val="24"/>
          <w:lang w:val="en-US" w:eastAsia="zh-CN"/>
        </w:rPr>
        <w:t>需配置全新</w:t>
      </w:r>
      <w:r>
        <w:rPr>
          <w:rStyle w:val="10"/>
          <w:rFonts w:hint="eastAsia" w:ascii="宋体" w:hAnsi="宋体" w:eastAsia="宋体" w:cs="宋体"/>
          <w:sz w:val="24"/>
          <w:szCs w:val="24"/>
        </w:rPr>
        <w:t>机械配置要求</w:t>
      </w:r>
      <w:r>
        <w:rPr>
          <w:rStyle w:val="10"/>
          <w:rFonts w:hint="eastAsia" w:ascii="宋体" w:hAnsi="宋体" w:eastAsia="宋体" w:cs="宋体"/>
          <w:b w:val="0"/>
          <w:bCs/>
          <w:color w:val="000000"/>
          <w:sz w:val="24"/>
          <w:szCs w:val="24"/>
          <w:highlight w:val="none"/>
        </w:rPr>
        <w:t>》</w:t>
      </w:r>
      <w:r>
        <w:rPr>
          <w:rStyle w:val="10"/>
          <w:rFonts w:hint="eastAsia" w:ascii="宋体" w:hAnsi="宋体" w:eastAsia="宋体" w:cs="宋体"/>
          <w:b w:val="0"/>
          <w:bCs/>
          <w:sz w:val="24"/>
          <w:szCs w:val="24"/>
          <w:highlight w:val="none"/>
        </w:rPr>
        <w:t>要求的按无效投标处理。</w:t>
      </w:r>
    </w:p>
    <w:p>
      <w:pPr>
        <w:pStyle w:val="6"/>
        <w:keepNext w:val="0"/>
        <w:keepLines w:val="0"/>
        <w:pageBreakBefore w:val="0"/>
        <w:widowControl/>
        <w:numPr>
          <w:ilvl w:val="0"/>
          <w:numId w:val="9"/>
        </w:numPr>
        <w:suppressLineNumbers w:val="0"/>
        <w:shd w:val="clear" w:color="auto" w:fill="FFFFFF"/>
        <w:kinsoku/>
        <w:wordWrap/>
        <w:overflowPunct/>
        <w:topLinePunct w:val="0"/>
        <w:autoSpaceDE/>
        <w:autoSpaceDN/>
        <w:bidi w:val="0"/>
        <w:adjustRightInd/>
        <w:snapToGrid/>
        <w:spacing w:before="100" w:beforeAutospacing="0" w:after="100" w:afterAutospacing="0" w:line="460" w:lineRule="exact"/>
        <w:ind w:firstLine="480" w:firstLineChars="200"/>
        <w:jc w:val="both"/>
        <w:textAlignment w:val="auto"/>
        <w:rPr>
          <w:rFonts w:hint="eastAsia" w:ascii="宋体" w:hAnsi="宋体" w:eastAsia="宋体" w:cs="宋体"/>
          <w:sz w:val="24"/>
          <w:szCs w:val="24"/>
          <w:highlight w:val="none"/>
        </w:rPr>
      </w:pPr>
      <w:r>
        <w:rPr>
          <w:rStyle w:val="10"/>
          <w:rFonts w:hint="eastAsia" w:ascii="宋体" w:hAnsi="宋体" w:eastAsia="宋体" w:cs="宋体"/>
          <w:b w:val="0"/>
          <w:bCs/>
          <w:color w:val="000000"/>
          <w:sz w:val="24"/>
          <w:szCs w:val="24"/>
          <w:highlight w:val="none"/>
          <w:shd w:val="clear" w:color="auto" w:fill="FFFFFF"/>
        </w:rPr>
        <w:t>投标人须针对本项目的作业人员福利待遇水平不能低于如下标准：</w:t>
      </w:r>
    </w:p>
    <w:p>
      <w:pPr>
        <w:pStyle w:val="6"/>
        <w:keepNext w:val="0"/>
        <w:keepLines w:val="0"/>
        <w:pageBreakBefore w:val="0"/>
        <w:widowControl/>
        <w:numPr>
          <w:ilvl w:val="0"/>
          <w:numId w:val="10"/>
        </w:numPr>
        <w:suppressLineNumbers w:val="0"/>
        <w:shd w:val="clear" w:color="auto" w:fill="FFFFFF"/>
        <w:kinsoku/>
        <w:wordWrap/>
        <w:overflowPunct/>
        <w:topLinePunct w:val="0"/>
        <w:autoSpaceDE/>
        <w:autoSpaceDN/>
        <w:bidi w:val="0"/>
        <w:adjustRightInd/>
        <w:snapToGrid/>
        <w:spacing w:before="100" w:beforeAutospacing="0" w:after="100" w:afterAutospacing="0" w:line="460" w:lineRule="exact"/>
        <w:ind w:right="0" w:rightChars="0" w:firstLine="480" w:firstLineChars="200"/>
        <w:jc w:val="both"/>
        <w:textAlignment w:val="auto"/>
        <w:rPr>
          <w:rStyle w:val="10"/>
          <w:rFonts w:hint="eastAsia" w:ascii="宋体" w:hAnsi="宋体" w:eastAsia="宋体" w:cs="宋体"/>
          <w:color w:val="000000"/>
          <w:sz w:val="24"/>
          <w:szCs w:val="24"/>
          <w:highlight w:val="none"/>
          <w:shd w:val="clear" w:color="auto" w:fill="FFFFFF"/>
        </w:rPr>
      </w:pPr>
      <w:r>
        <w:rPr>
          <w:rFonts w:hint="eastAsia" w:ascii="宋体" w:hAnsi="宋体" w:eastAsia="宋体" w:cs="宋体"/>
          <w:b w:val="0"/>
          <w:bCs/>
          <w:color w:val="000000"/>
          <w:sz w:val="24"/>
          <w:szCs w:val="24"/>
          <w:highlight w:val="none"/>
          <w:shd w:val="clear" w:color="auto" w:fill="FFFFFF"/>
        </w:rPr>
        <w:t>投标人报价应包括项目所涉及的有关本项目招标服务的所有费用，包括：作业人员工资（含养老保险、医疗保险、失业保险、工伤保险、生育保险、雇主责任险）；作业人员休息日和法定节假日的加班费、高温补贴、岗位津贴；劳保</w:t>
      </w:r>
      <w:r>
        <w:rPr>
          <w:rFonts w:hint="eastAsia" w:ascii="宋体" w:hAnsi="宋体" w:eastAsia="宋体" w:cs="宋体"/>
          <w:color w:val="000000"/>
          <w:sz w:val="24"/>
          <w:szCs w:val="24"/>
          <w:highlight w:val="none"/>
          <w:shd w:val="clear" w:color="auto" w:fill="FFFFFF"/>
        </w:rPr>
        <w:t>工具用品费、服装费</w:t>
      </w:r>
      <w:r>
        <w:rPr>
          <w:rFonts w:hint="eastAsia" w:ascii="宋体" w:hAnsi="宋体" w:eastAsia="宋体" w:cs="宋体"/>
          <w:color w:val="000000"/>
          <w:sz w:val="24"/>
          <w:szCs w:val="24"/>
          <w:highlight w:val="none"/>
          <w:shd w:val="clear" w:color="auto" w:fill="FFFFFF"/>
          <w:lang w:eastAsia="zh-CN"/>
        </w:rPr>
        <w:t>、体检费、</w:t>
      </w:r>
      <w:r>
        <w:rPr>
          <w:rFonts w:hint="eastAsia" w:ascii="宋体" w:hAnsi="宋体" w:eastAsia="宋体" w:cs="宋体"/>
          <w:color w:val="000000"/>
          <w:sz w:val="24"/>
          <w:szCs w:val="24"/>
          <w:highlight w:val="none"/>
          <w:shd w:val="clear" w:color="auto" w:fill="FFFFFF"/>
        </w:rPr>
        <w:t>管理费、设备折旧费、机械车辆的维修费、车辆燃油费、水费、</w:t>
      </w:r>
      <w:r>
        <w:rPr>
          <w:rFonts w:hint="eastAsia" w:ascii="宋体" w:hAnsi="宋体" w:eastAsia="宋体" w:cs="宋体"/>
          <w:color w:val="000000"/>
          <w:sz w:val="24"/>
          <w:szCs w:val="24"/>
          <w:highlight w:val="none"/>
          <w:shd w:val="clear" w:color="auto" w:fill="FFFFFF"/>
          <w:lang w:eastAsia="zh-CN"/>
        </w:rPr>
        <w:t>保险费、</w:t>
      </w:r>
      <w:r>
        <w:rPr>
          <w:rFonts w:hint="eastAsia" w:ascii="宋体" w:hAnsi="宋体" w:eastAsia="宋体" w:cs="宋体"/>
          <w:color w:val="000000"/>
          <w:sz w:val="24"/>
          <w:szCs w:val="24"/>
          <w:highlight w:val="none"/>
          <w:shd w:val="clear" w:color="auto" w:fill="FFFFFF"/>
        </w:rPr>
        <w:t>车辆租赁费、垃转运站大型设备维修及日常损耗、机械作业费、利润、税金等一切费用，并承诺报价与作业方案相符，否则</w:t>
      </w:r>
      <w:r>
        <w:rPr>
          <w:rStyle w:val="10"/>
          <w:rFonts w:hint="eastAsia" w:ascii="宋体" w:hAnsi="宋体" w:eastAsia="宋体" w:cs="宋体"/>
          <w:color w:val="000000"/>
          <w:sz w:val="24"/>
          <w:szCs w:val="24"/>
          <w:highlight w:val="none"/>
          <w:shd w:val="clear" w:color="auto" w:fill="FFFFFF"/>
        </w:rPr>
        <w:t>投标无效。</w:t>
      </w:r>
      <w:r>
        <w:rPr>
          <w:rFonts w:hint="eastAsia" w:ascii="宋体" w:hAnsi="宋体" w:eastAsia="宋体" w:cs="宋体"/>
          <w:color w:val="000000"/>
          <w:sz w:val="24"/>
          <w:szCs w:val="24"/>
          <w:highlight w:val="none"/>
          <w:shd w:val="clear" w:color="auto" w:fill="FFFFFF"/>
        </w:rPr>
        <w:t>投标人还要考虑到对于法律、行政法规等原因造成费用增加以及合同中可能出现的索赔、变更等，各投标人均应综合考虑在投标报价内。其中，作业人员工资福利待遇水平、机械车辆折旧费等不能低于项目要求的标准，有任一项低下项目要求标准的，</w:t>
      </w:r>
      <w:r>
        <w:rPr>
          <w:rStyle w:val="10"/>
          <w:rFonts w:hint="eastAsia" w:ascii="宋体" w:hAnsi="宋体" w:eastAsia="宋体" w:cs="宋体"/>
          <w:color w:val="000000"/>
          <w:sz w:val="24"/>
          <w:szCs w:val="24"/>
          <w:highlight w:val="none"/>
          <w:shd w:val="clear" w:color="auto" w:fill="FFFFFF"/>
        </w:rPr>
        <w:t>投标无效。</w:t>
      </w:r>
    </w:p>
    <w:p>
      <w:pPr>
        <w:pStyle w:val="6"/>
        <w:keepNext w:val="0"/>
        <w:keepLines w:val="0"/>
        <w:pageBreakBefore w:val="0"/>
        <w:widowControl/>
        <w:numPr>
          <w:ilvl w:val="0"/>
          <w:numId w:val="10"/>
        </w:numPr>
        <w:suppressLineNumbers w:val="0"/>
        <w:shd w:val="clear" w:color="auto" w:fill="FFFFFF"/>
        <w:kinsoku/>
        <w:wordWrap/>
        <w:overflowPunct/>
        <w:topLinePunct w:val="0"/>
        <w:autoSpaceDE/>
        <w:autoSpaceDN/>
        <w:bidi w:val="0"/>
        <w:adjustRightInd/>
        <w:snapToGrid/>
        <w:spacing w:before="100" w:beforeAutospacing="0" w:after="100" w:afterAutospacing="0" w:line="460" w:lineRule="exact"/>
        <w:ind w:right="0" w:rightChars="0" w:firstLine="480" w:firstLineChars="200"/>
        <w:jc w:val="both"/>
        <w:textAlignment w:val="auto"/>
        <w:rPr>
          <w:rFonts w:hint="eastAsia" w:ascii="宋体" w:hAnsi="宋体" w:eastAsia="宋体" w:cs="宋体"/>
          <w:sz w:val="24"/>
          <w:szCs w:val="24"/>
        </w:rPr>
      </w:pPr>
      <w:r>
        <w:rPr>
          <w:rFonts w:hint="eastAsia" w:ascii="宋体" w:hAnsi="宋体" w:eastAsia="宋体" w:cs="宋体"/>
          <w:color w:val="000000"/>
          <w:sz w:val="24"/>
          <w:szCs w:val="24"/>
          <w:shd w:val="clear" w:color="auto" w:fill="FFFFFF"/>
        </w:rPr>
        <w:t>作业人员工资标准：参照闽建管（2019）1号福建省住房和城乡建设厅关于发布《福建省城镇道路清扫保洁作业指导价（试行）的通知》并结合福建省最新相关规定不得低于当地工资标准的130%，宁化县最低工资标准为1280元。</w:t>
      </w:r>
    </w:p>
    <w:p>
      <w:pPr>
        <w:pStyle w:val="6"/>
        <w:keepNext w:val="0"/>
        <w:keepLines w:val="0"/>
        <w:pageBreakBefore w:val="0"/>
        <w:widowControl/>
        <w:suppressLineNumbers w:val="0"/>
        <w:shd w:val="clear" w:color="auto" w:fill="FFFFFF"/>
        <w:kinsoku/>
        <w:wordWrap/>
        <w:overflowPunct/>
        <w:topLinePunct w:val="0"/>
        <w:autoSpaceDE/>
        <w:autoSpaceDN/>
        <w:bidi w:val="0"/>
        <w:adjustRightInd/>
        <w:snapToGrid/>
        <w:spacing w:before="100" w:beforeAutospacing="0" w:after="100" w:afterAutospacing="0" w:line="460" w:lineRule="exact"/>
        <w:ind w:firstLine="480" w:firstLineChars="200"/>
        <w:jc w:val="both"/>
        <w:textAlignment w:val="auto"/>
        <w:rPr>
          <w:rFonts w:hint="eastAsia" w:ascii="宋体" w:hAnsi="宋体" w:eastAsia="宋体" w:cs="宋体"/>
          <w:sz w:val="24"/>
          <w:szCs w:val="24"/>
        </w:rPr>
      </w:pPr>
      <w:r>
        <w:rPr>
          <w:rFonts w:hint="eastAsia" w:ascii="宋体" w:hAnsi="宋体" w:eastAsia="宋体" w:cs="宋体"/>
          <w:color w:val="000000"/>
          <w:sz w:val="24"/>
          <w:szCs w:val="24"/>
          <w:shd w:val="clear" w:color="auto" w:fill="FFFFFF"/>
        </w:rPr>
        <w:t>（3）发放高温补贴。在每年5~9月份，对工人发放200元/人/月/班次。</w:t>
      </w:r>
    </w:p>
    <w:p>
      <w:pPr>
        <w:pStyle w:val="6"/>
        <w:keepNext w:val="0"/>
        <w:keepLines w:val="0"/>
        <w:pageBreakBefore w:val="0"/>
        <w:widowControl/>
        <w:suppressLineNumbers w:val="0"/>
        <w:shd w:val="clear" w:color="auto" w:fill="FFFFFF"/>
        <w:kinsoku/>
        <w:wordWrap/>
        <w:overflowPunct/>
        <w:topLinePunct w:val="0"/>
        <w:autoSpaceDE/>
        <w:autoSpaceDN/>
        <w:bidi w:val="0"/>
        <w:adjustRightInd/>
        <w:snapToGrid/>
        <w:spacing w:before="100" w:beforeAutospacing="0" w:after="100" w:afterAutospacing="0" w:line="460" w:lineRule="exact"/>
        <w:ind w:firstLine="480" w:firstLineChars="200"/>
        <w:jc w:val="both"/>
        <w:textAlignment w:val="auto"/>
        <w:rPr>
          <w:rFonts w:hint="eastAsia" w:ascii="宋体" w:hAnsi="宋体" w:eastAsia="宋体" w:cs="宋体"/>
          <w:sz w:val="24"/>
          <w:szCs w:val="24"/>
        </w:rPr>
      </w:pPr>
      <w:r>
        <w:rPr>
          <w:rFonts w:hint="eastAsia" w:ascii="宋体" w:hAnsi="宋体" w:eastAsia="宋体" w:cs="宋体"/>
          <w:color w:val="000000"/>
          <w:sz w:val="24"/>
          <w:szCs w:val="24"/>
          <w:shd w:val="clear" w:color="auto" w:fill="FFFFFF"/>
        </w:rPr>
        <w:t>（4）发放法定节假日加班工资（11天/年）。休息日安排作业人员工作又不能安排补休的，支付不低于工资的200%的工资报酬；法定休假安排作业人员工作的，支付不低于工资的300%的工资报酬。</w:t>
      </w:r>
    </w:p>
    <w:p>
      <w:pPr>
        <w:pStyle w:val="6"/>
        <w:keepNext w:val="0"/>
        <w:keepLines w:val="0"/>
        <w:pageBreakBefore w:val="0"/>
        <w:widowControl/>
        <w:suppressLineNumbers w:val="0"/>
        <w:shd w:val="clear" w:color="auto" w:fill="FFFFFF"/>
        <w:kinsoku/>
        <w:wordWrap/>
        <w:overflowPunct/>
        <w:topLinePunct w:val="0"/>
        <w:autoSpaceDE/>
        <w:autoSpaceDN/>
        <w:bidi w:val="0"/>
        <w:adjustRightInd/>
        <w:snapToGrid/>
        <w:spacing w:before="100" w:beforeAutospacing="0" w:after="100" w:afterAutospacing="0" w:line="460" w:lineRule="exact"/>
        <w:ind w:firstLine="480" w:firstLineChars="200"/>
        <w:jc w:val="both"/>
        <w:textAlignment w:val="auto"/>
        <w:rPr>
          <w:rFonts w:hint="eastAsia" w:ascii="宋体" w:hAnsi="宋体" w:eastAsia="宋体" w:cs="宋体"/>
          <w:sz w:val="24"/>
          <w:szCs w:val="24"/>
        </w:rPr>
      </w:pPr>
      <w:r>
        <w:rPr>
          <w:rFonts w:hint="eastAsia" w:ascii="宋体" w:hAnsi="宋体" w:eastAsia="宋体" w:cs="宋体"/>
          <w:color w:val="000000"/>
          <w:sz w:val="24"/>
          <w:szCs w:val="24"/>
          <w:shd w:val="clear" w:color="auto" w:fill="FFFFFF"/>
        </w:rPr>
        <w:t>（</w:t>
      </w:r>
      <w:r>
        <w:rPr>
          <w:rFonts w:hint="eastAsia" w:ascii="宋体" w:hAnsi="宋体" w:eastAsia="宋体" w:cs="宋体"/>
          <w:color w:val="000000"/>
          <w:sz w:val="24"/>
          <w:szCs w:val="24"/>
          <w:shd w:val="clear" w:color="auto" w:fill="FFFFFF"/>
          <w:lang w:val="en-US" w:eastAsia="zh-CN"/>
        </w:rPr>
        <w:t>5</w:t>
      </w:r>
      <w:r>
        <w:rPr>
          <w:rFonts w:hint="eastAsia" w:ascii="宋体" w:hAnsi="宋体" w:eastAsia="宋体" w:cs="宋体"/>
          <w:color w:val="000000"/>
          <w:sz w:val="24"/>
          <w:szCs w:val="24"/>
          <w:shd w:val="clear" w:color="auto" w:fill="FFFFFF"/>
        </w:rPr>
        <w:t>）落实“五险”。投标人所报的五险（含全员养老保险、医疗保险、失业保险、工伤保险、生育保险）不得低于以下规定的的最低基数,《三明市人民政府办公室关于印发三明市城镇职工基本医疗保险市级统筹实施办法的通知》、《三明市人民政府办公室关于印发三明市生育保险市级统筹实施办法的通知》（等文件规定。三明市每年七月调整一次基本医疗保险、生育保险、公司保险缴费基数上下限，该基数主要是以三明市在岗职工月平均工资为制定依据。三明市统计局公布的2017年三明市在岗职工月平均工资5963元。缴费基数及缴费比例下限为：养老保险（1280×16.0%）；失业保险（1280×0.5%）；工伤保险（1280×0.72%）；生育保险（3578×0.5%）；医疗保险（3578×8.0%），共计单位缴纳比例为27.72%。注：如在项目服务期间，中标人不按规定给作业人员缴交“五险”的，业主（采购人）可从当月或最近的一月或数月应付的服务费用中扣除与欠缴、少缴部分相等的费用，用于代为缴交应缴交的“五险”，直至缴足。</w:t>
      </w:r>
    </w:p>
    <w:p>
      <w:pPr>
        <w:pStyle w:val="6"/>
        <w:keepNext w:val="0"/>
        <w:keepLines w:val="0"/>
        <w:pageBreakBefore w:val="0"/>
        <w:widowControl/>
        <w:suppressLineNumbers w:val="0"/>
        <w:shd w:val="clear" w:color="auto" w:fill="FFFFFF"/>
        <w:kinsoku/>
        <w:wordWrap/>
        <w:overflowPunct/>
        <w:topLinePunct w:val="0"/>
        <w:autoSpaceDE/>
        <w:autoSpaceDN/>
        <w:bidi w:val="0"/>
        <w:adjustRightInd/>
        <w:snapToGrid/>
        <w:spacing w:before="100" w:beforeAutospacing="0" w:after="100" w:afterAutospacing="0" w:line="460" w:lineRule="exact"/>
        <w:ind w:firstLine="480" w:firstLineChars="200"/>
        <w:jc w:val="both"/>
        <w:textAlignment w:val="auto"/>
        <w:rPr>
          <w:rFonts w:hint="eastAsia" w:ascii="宋体" w:hAnsi="宋体" w:eastAsia="宋体" w:cs="宋体"/>
          <w:sz w:val="24"/>
          <w:szCs w:val="24"/>
          <w:lang w:eastAsia="zh-CN"/>
        </w:rPr>
      </w:pPr>
      <w:r>
        <w:rPr>
          <w:rFonts w:hint="eastAsia" w:ascii="宋体" w:hAnsi="宋体" w:eastAsia="宋体" w:cs="宋体"/>
          <w:color w:val="000000"/>
          <w:sz w:val="24"/>
          <w:szCs w:val="24"/>
          <w:shd w:val="clear" w:color="auto" w:fill="FFFFFF"/>
        </w:rPr>
        <w:t>（7）雇主责任险</w:t>
      </w:r>
      <w:r>
        <w:rPr>
          <w:rFonts w:hint="eastAsia" w:ascii="宋体" w:hAnsi="宋体" w:eastAsia="宋体" w:cs="宋体"/>
          <w:color w:val="000000"/>
          <w:sz w:val="24"/>
          <w:szCs w:val="24"/>
          <w:shd w:val="clear" w:color="auto" w:fill="FFFFFF"/>
          <w:lang w:eastAsia="zh-CN"/>
        </w:rPr>
        <w:t>：</w:t>
      </w:r>
      <w:r>
        <w:rPr>
          <w:rFonts w:hint="eastAsia" w:ascii="宋体" w:hAnsi="宋体" w:eastAsia="宋体" w:cs="宋体"/>
          <w:color w:val="000000"/>
          <w:sz w:val="24"/>
          <w:szCs w:val="24"/>
          <w:shd w:val="clear" w:color="auto" w:fill="FFFFFF"/>
        </w:rPr>
        <w:t>根据省建设厅规定，</w:t>
      </w:r>
      <w:r>
        <w:rPr>
          <w:rFonts w:hint="eastAsia" w:ascii="宋体" w:hAnsi="宋体" w:cs="宋体"/>
          <w:color w:val="000000"/>
          <w:sz w:val="24"/>
          <w:szCs w:val="24"/>
          <w:shd w:val="clear" w:color="auto" w:fill="FFFFFF"/>
          <w:lang w:eastAsia="zh-CN"/>
        </w:rPr>
        <w:t>中标人</w:t>
      </w:r>
      <w:r>
        <w:rPr>
          <w:rFonts w:hint="eastAsia" w:ascii="宋体" w:hAnsi="宋体" w:eastAsia="宋体" w:cs="宋体"/>
          <w:color w:val="000000"/>
          <w:sz w:val="24"/>
          <w:szCs w:val="24"/>
          <w:shd w:val="clear" w:color="auto" w:fill="FFFFFF"/>
        </w:rPr>
        <w:t>须为作业人员购买雇主责任险，保额不低于60万元</w:t>
      </w:r>
      <w:r>
        <w:rPr>
          <w:rFonts w:hint="eastAsia" w:ascii="宋体" w:hAnsi="宋体" w:cs="宋体"/>
          <w:color w:val="000000"/>
          <w:sz w:val="24"/>
          <w:szCs w:val="24"/>
          <w:shd w:val="clear" w:color="auto" w:fill="FFFFFF"/>
          <w:lang w:eastAsia="zh-CN"/>
        </w:rPr>
        <w:t>。</w:t>
      </w:r>
    </w:p>
    <w:p>
      <w:pPr>
        <w:pStyle w:val="6"/>
        <w:keepNext w:val="0"/>
        <w:keepLines w:val="0"/>
        <w:pageBreakBefore w:val="0"/>
        <w:widowControl/>
        <w:suppressLineNumbers w:val="0"/>
        <w:shd w:val="clear" w:color="auto" w:fill="FFFFFF"/>
        <w:kinsoku/>
        <w:wordWrap/>
        <w:overflowPunct/>
        <w:topLinePunct w:val="0"/>
        <w:autoSpaceDE/>
        <w:autoSpaceDN/>
        <w:bidi w:val="0"/>
        <w:adjustRightInd/>
        <w:snapToGrid/>
        <w:spacing w:before="100" w:beforeAutospacing="0" w:after="100" w:afterAutospacing="0" w:line="460" w:lineRule="exact"/>
        <w:ind w:firstLine="480" w:firstLineChars="200"/>
        <w:jc w:val="both"/>
        <w:textAlignment w:val="auto"/>
        <w:rPr>
          <w:rFonts w:hint="eastAsia" w:ascii="宋体" w:hAnsi="宋体" w:eastAsia="宋体" w:cs="宋体"/>
          <w:sz w:val="24"/>
          <w:szCs w:val="24"/>
        </w:rPr>
      </w:pPr>
      <w:r>
        <w:rPr>
          <w:rFonts w:hint="eastAsia" w:ascii="宋体" w:hAnsi="宋体" w:eastAsia="宋体" w:cs="宋体"/>
          <w:color w:val="000000"/>
          <w:sz w:val="24"/>
          <w:szCs w:val="24"/>
          <w:shd w:val="clear" w:color="auto" w:fill="FFFFFF"/>
        </w:rPr>
        <w:t>（8）作业人员的劳保工具用品费每年每人不得低于1500元；服装费每年每人不得低于400元。</w:t>
      </w:r>
    </w:p>
    <w:p>
      <w:pPr>
        <w:pStyle w:val="6"/>
        <w:keepNext w:val="0"/>
        <w:keepLines w:val="0"/>
        <w:pageBreakBefore w:val="0"/>
        <w:widowControl/>
        <w:suppressLineNumbers w:val="0"/>
        <w:shd w:val="clear" w:color="auto" w:fill="FFFFFF"/>
        <w:kinsoku/>
        <w:wordWrap/>
        <w:overflowPunct/>
        <w:topLinePunct w:val="0"/>
        <w:autoSpaceDE/>
        <w:autoSpaceDN/>
        <w:bidi w:val="0"/>
        <w:adjustRightInd/>
        <w:snapToGrid/>
        <w:spacing w:before="100" w:beforeAutospacing="0" w:after="100" w:afterAutospacing="0" w:line="460" w:lineRule="exact"/>
        <w:ind w:firstLine="480" w:firstLineChars="200"/>
        <w:jc w:val="both"/>
        <w:textAlignment w:val="auto"/>
        <w:rPr>
          <w:rFonts w:hint="eastAsia" w:ascii="宋体" w:hAnsi="宋体" w:eastAsia="宋体" w:cs="宋体"/>
          <w:sz w:val="24"/>
          <w:szCs w:val="24"/>
        </w:rPr>
      </w:pPr>
      <w:r>
        <w:rPr>
          <w:rFonts w:hint="eastAsia" w:ascii="宋体" w:hAnsi="宋体" w:eastAsia="宋体" w:cs="宋体"/>
          <w:color w:val="000000"/>
          <w:sz w:val="24"/>
          <w:szCs w:val="24"/>
          <w:shd w:val="clear" w:color="auto" w:fill="FFFFFF"/>
        </w:rPr>
        <w:t>（9）投标人所报的作业人员每年定期免费体检每年每人不得低于</w:t>
      </w:r>
      <w:r>
        <w:rPr>
          <w:rFonts w:hint="eastAsia" w:ascii="宋体" w:hAnsi="宋体" w:eastAsia="宋体" w:cs="宋体"/>
          <w:color w:val="000000"/>
          <w:sz w:val="24"/>
          <w:szCs w:val="24"/>
          <w:shd w:val="clear" w:color="auto" w:fill="FFFFFF"/>
          <w:lang w:val="en-US" w:eastAsia="zh-CN"/>
        </w:rPr>
        <w:t>2</w:t>
      </w:r>
      <w:r>
        <w:rPr>
          <w:rFonts w:hint="eastAsia" w:ascii="宋体" w:hAnsi="宋体" w:eastAsia="宋体" w:cs="宋体"/>
          <w:color w:val="000000"/>
          <w:sz w:val="24"/>
          <w:szCs w:val="24"/>
          <w:shd w:val="clear" w:color="auto" w:fill="FFFFFF"/>
        </w:rPr>
        <w:t>00元。</w:t>
      </w:r>
    </w:p>
    <w:p>
      <w:pPr>
        <w:pStyle w:val="6"/>
        <w:keepNext w:val="0"/>
        <w:keepLines w:val="0"/>
        <w:pageBreakBefore w:val="0"/>
        <w:widowControl/>
        <w:suppressLineNumbers w:val="0"/>
        <w:shd w:val="clear" w:color="auto" w:fill="FFFFFF"/>
        <w:kinsoku/>
        <w:wordWrap/>
        <w:overflowPunct/>
        <w:topLinePunct w:val="0"/>
        <w:autoSpaceDE/>
        <w:autoSpaceDN/>
        <w:bidi w:val="0"/>
        <w:adjustRightInd/>
        <w:snapToGrid/>
        <w:spacing w:before="100" w:beforeAutospacing="0" w:after="100" w:afterAutospacing="0" w:line="460" w:lineRule="exact"/>
        <w:ind w:firstLine="480" w:firstLineChars="200"/>
        <w:jc w:val="both"/>
        <w:textAlignment w:val="auto"/>
        <w:rPr>
          <w:rFonts w:hint="eastAsia" w:ascii="宋体" w:hAnsi="宋体" w:eastAsia="宋体" w:cs="宋体"/>
          <w:sz w:val="24"/>
          <w:szCs w:val="24"/>
        </w:rPr>
      </w:pPr>
      <w:r>
        <w:rPr>
          <w:rFonts w:hint="eastAsia" w:ascii="宋体" w:hAnsi="宋体" w:eastAsia="宋体" w:cs="宋体"/>
          <w:color w:val="000000"/>
          <w:sz w:val="24"/>
          <w:szCs w:val="24"/>
          <w:shd w:val="clear" w:color="auto" w:fill="FFFFFF"/>
        </w:rPr>
        <w:t>（10）投标人所报的机械车辆折旧费不得低于车辆市场购买价,每年折旧费用（新购桶装垃圾运输车</w:t>
      </w:r>
      <w:r>
        <w:rPr>
          <w:rFonts w:hint="eastAsia" w:ascii="宋体" w:hAnsi="宋体" w:eastAsia="宋体" w:cs="宋体"/>
          <w:color w:val="000000"/>
          <w:sz w:val="24"/>
          <w:szCs w:val="24"/>
          <w:shd w:val="clear" w:color="auto" w:fill="FFFFFF"/>
          <w:lang w:eastAsia="zh-CN"/>
        </w:rPr>
        <w:t>、</w:t>
      </w:r>
      <w:r>
        <w:rPr>
          <w:rFonts w:hint="eastAsia" w:ascii="宋体" w:hAnsi="宋体" w:eastAsia="宋体" w:cs="宋体"/>
          <w:color w:val="000000"/>
          <w:sz w:val="24"/>
          <w:szCs w:val="24"/>
          <w:shd w:val="clear" w:color="auto" w:fill="FFFFFF"/>
        </w:rPr>
        <w:t>新购电动三轮保洁车按3年折旧率计算，其他车辆均按</w:t>
      </w:r>
      <w:r>
        <w:rPr>
          <w:rFonts w:hint="eastAsia" w:ascii="宋体" w:hAnsi="宋体" w:eastAsia="宋体" w:cs="宋体"/>
          <w:color w:val="000000"/>
          <w:sz w:val="24"/>
          <w:szCs w:val="24"/>
          <w:shd w:val="clear" w:color="auto" w:fill="FFFFFF"/>
          <w:lang w:val="en-US" w:eastAsia="zh-CN"/>
        </w:rPr>
        <w:t>9</w:t>
      </w:r>
      <w:r>
        <w:rPr>
          <w:rFonts w:hint="eastAsia" w:ascii="宋体" w:hAnsi="宋体" w:eastAsia="宋体" w:cs="宋体"/>
          <w:color w:val="000000"/>
          <w:sz w:val="24"/>
          <w:szCs w:val="24"/>
          <w:shd w:val="clear" w:color="auto" w:fill="FFFFFF"/>
        </w:rPr>
        <w:t>年折旧率计算）。</w:t>
      </w:r>
    </w:p>
    <w:p>
      <w:pPr>
        <w:pStyle w:val="6"/>
        <w:keepNext w:val="0"/>
        <w:keepLines w:val="0"/>
        <w:pageBreakBefore w:val="0"/>
        <w:widowControl/>
        <w:suppressLineNumbers w:val="0"/>
        <w:shd w:val="clear" w:color="auto" w:fill="FFFFFF"/>
        <w:kinsoku/>
        <w:wordWrap/>
        <w:overflowPunct/>
        <w:topLinePunct w:val="0"/>
        <w:autoSpaceDE/>
        <w:autoSpaceDN/>
        <w:bidi w:val="0"/>
        <w:adjustRightInd/>
        <w:snapToGrid/>
        <w:spacing w:before="100" w:beforeAutospacing="0" w:after="100" w:afterAutospacing="0" w:line="460" w:lineRule="exact"/>
        <w:ind w:firstLine="480" w:firstLineChars="200"/>
        <w:jc w:val="both"/>
        <w:textAlignment w:val="auto"/>
        <w:rPr>
          <w:rFonts w:hint="eastAsia" w:ascii="宋体" w:hAnsi="宋体" w:eastAsia="宋体" w:cs="宋体"/>
          <w:sz w:val="24"/>
          <w:szCs w:val="24"/>
          <w:shd w:val="clear" w:color="FFFFFF" w:fill="D9D9D9"/>
        </w:rPr>
      </w:pPr>
      <w:r>
        <w:rPr>
          <w:rFonts w:hint="eastAsia" w:ascii="宋体" w:hAnsi="宋体" w:eastAsia="宋体" w:cs="宋体"/>
          <w:color w:val="000000"/>
          <w:sz w:val="24"/>
          <w:szCs w:val="24"/>
          <w:shd w:val="clear" w:color="auto" w:fill="FFFFFF"/>
        </w:rPr>
        <w:t>（</w:t>
      </w:r>
      <w:r>
        <w:rPr>
          <w:rFonts w:hint="eastAsia" w:ascii="宋体" w:hAnsi="宋体" w:eastAsia="宋体" w:cs="宋体"/>
          <w:color w:val="000000"/>
          <w:sz w:val="24"/>
          <w:szCs w:val="24"/>
          <w:shd w:val="clear" w:color="auto" w:fill="FFFFFF"/>
          <w:lang w:val="en-US" w:eastAsia="zh-CN"/>
        </w:rPr>
        <w:t>11</w:t>
      </w:r>
      <w:r>
        <w:rPr>
          <w:rFonts w:hint="eastAsia" w:ascii="宋体" w:hAnsi="宋体" w:eastAsia="宋体" w:cs="宋体"/>
          <w:color w:val="000000"/>
          <w:sz w:val="24"/>
          <w:szCs w:val="24"/>
          <w:shd w:val="clear" w:color="auto" w:fill="FFFFFF"/>
        </w:rPr>
        <w:t>）投标人应保证不降低保洁人员工资待遇标准，必须按时支付员工工资，并严格落实《劳动法》，为员工办理相关保险（养老保险、医疗保险、失业保险、工伤保险和生育保险、雇主责任险</w:t>
      </w:r>
      <w:r>
        <w:rPr>
          <w:rFonts w:hint="eastAsia" w:ascii="宋体" w:hAnsi="宋体" w:eastAsia="宋体" w:cs="宋体"/>
          <w:color w:val="000000"/>
          <w:sz w:val="24"/>
          <w:szCs w:val="24"/>
          <w:shd w:val="clear" w:color="auto" w:fill="FFFFFF"/>
          <w:lang w:eastAsia="zh-CN"/>
        </w:rPr>
        <w:t>等</w:t>
      </w:r>
      <w:r>
        <w:rPr>
          <w:rFonts w:hint="eastAsia" w:ascii="宋体" w:hAnsi="宋体" w:eastAsia="宋体" w:cs="宋体"/>
          <w:color w:val="000000"/>
          <w:sz w:val="24"/>
          <w:szCs w:val="24"/>
          <w:shd w:val="clear" w:color="auto" w:fill="FFFFFF"/>
        </w:rPr>
        <w:t>），保障员工各项劳动权益。清扫保洁人员</w:t>
      </w:r>
      <w:r>
        <w:rPr>
          <w:rFonts w:hint="eastAsia" w:ascii="宋体" w:hAnsi="宋体" w:eastAsia="宋体" w:cs="宋体"/>
          <w:color w:val="000000"/>
          <w:sz w:val="24"/>
          <w:szCs w:val="24"/>
          <w:shd w:val="clear" w:color="auto" w:fill="auto"/>
        </w:rPr>
        <w:t>经费，原则上都要安排用于工人劳动待遇和保障。未经采购人同意自行下调或减少人员经费，按相应经费的十倍进行扣款。</w:t>
      </w:r>
    </w:p>
    <w:p>
      <w:pPr>
        <w:pStyle w:val="6"/>
        <w:keepNext w:val="0"/>
        <w:keepLines w:val="0"/>
        <w:widowControl/>
        <w:suppressLineNumbers w:val="0"/>
        <w:shd w:val="clear" w:color="auto" w:fill="FFFFFF"/>
        <w:spacing w:before="100" w:beforeAutospacing="0" w:after="100" w:afterAutospacing="0" w:line="460" w:lineRule="exact"/>
        <w:ind w:firstLine="480" w:firstLineChars="200"/>
        <w:jc w:val="both"/>
        <w:rPr>
          <w:rStyle w:val="10"/>
          <w:rFonts w:hint="eastAsia" w:ascii="宋体" w:hAnsi="宋体" w:eastAsia="宋体" w:cs="宋体"/>
          <w:b w:val="0"/>
          <w:bCs/>
          <w:color w:val="000000"/>
          <w:sz w:val="24"/>
          <w:szCs w:val="24"/>
          <w:u w:val="single"/>
          <w:shd w:val="clear" w:color="auto" w:fill="auto"/>
        </w:rPr>
      </w:pPr>
      <w:r>
        <w:rPr>
          <w:rStyle w:val="10"/>
          <w:rFonts w:hint="eastAsia" w:ascii="宋体" w:hAnsi="宋体" w:eastAsia="宋体" w:cs="宋体"/>
          <w:b w:val="0"/>
          <w:bCs/>
          <w:color w:val="000000"/>
          <w:sz w:val="24"/>
          <w:szCs w:val="24"/>
          <w:shd w:val="clear" w:color="auto" w:fill="auto"/>
        </w:rPr>
        <w:t>★</w:t>
      </w:r>
      <w:r>
        <w:rPr>
          <w:rStyle w:val="10"/>
          <w:rFonts w:hint="eastAsia" w:ascii="宋体" w:hAnsi="宋体" w:eastAsia="宋体" w:cs="宋体"/>
          <w:b w:val="0"/>
          <w:bCs/>
          <w:color w:val="000000"/>
          <w:sz w:val="24"/>
          <w:szCs w:val="24"/>
          <w:u w:val="single"/>
          <w:shd w:val="clear" w:color="auto" w:fill="auto"/>
        </w:rPr>
        <w:t>注：各投标人在投标文件中提供的投标报价中应含以上项目作业人员工资福利等要求的所有内容，并提供专项详细承诺函，否则按无效投标处理。</w:t>
      </w:r>
    </w:p>
    <w:p>
      <w:pPr>
        <w:pStyle w:val="6"/>
        <w:keepNext w:val="0"/>
        <w:keepLines w:val="0"/>
        <w:widowControl/>
        <w:suppressLineNumbers w:val="0"/>
        <w:shd w:val="clear" w:color="auto" w:fill="FFFFFF"/>
        <w:spacing w:before="100" w:beforeAutospacing="0" w:after="100" w:afterAutospacing="0" w:line="460" w:lineRule="exact"/>
        <w:ind w:firstLine="480" w:firstLineChars="200"/>
        <w:jc w:val="both"/>
        <w:rPr>
          <w:rStyle w:val="10"/>
          <w:rFonts w:hint="eastAsia" w:ascii="宋体" w:hAnsi="宋体" w:eastAsia="宋体" w:cs="宋体"/>
          <w:b w:val="0"/>
          <w:bCs/>
          <w:color w:val="000000"/>
          <w:sz w:val="24"/>
          <w:szCs w:val="24"/>
          <w:u w:val="single"/>
          <w:shd w:val="clear" w:color="auto" w:fill="auto"/>
        </w:rPr>
      </w:pPr>
      <w:r>
        <w:rPr>
          <w:rStyle w:val="10"/>
          <w:rFonts w:hint="eastAsia" w:ascii="宋体" w:hAnsi="宋体" w:eastAsia="宋体" w:cs="宋体"/>
          <w:b w:val="0"/>
          <w:bCs/>
          <w:color w:val="000000"/>
          <w:sz w:val="24"/>
          <w:szCs w:val="24"/>
          <w:shd w:val="clear" w:color="auto" w:fill="auto"/>
        </w:rPr>
        <w:t>★</w:t>
      </w:r>
      <w:r>
        <w:rPr>
          <w:rStyle w:val="10"/>
          <w:rFonts w:hint="eastAsia" w:ascii="宋体" w:hAnsi="宋体" w:eastAsia="宋体" w:cs="宋体"/>
          <w:b w:val="0"/>
          <w:bCs/>
          <w:color w:val="000000"/>
          <w:sz w:val="24"/>
          <w:szCs w:val="24"/>
          <w:u w:val="single"/>
          <w:shd w:val="clear" w:color="auto" w:fill="auto"/>
        </w:rPr>
        <w:t>注：</w:t>
      </w:r>
      <w:r>
        <w:rPr>
          <w:rStyle w:val="10"/>
          <w:rFonts w:hint="eastAsia" w:ascii="宋体" w:hAnsi="宋体" w:cs="宋体"/>
          <w:b w:val="0"/>
          <w:bCs/>
          <w:color w:val="000000"/>
          <w:sz w:val="24"/>
          <w:szCs w:val="24"/>
          <w:u w:val="single"/>
          <w:shd w:val="clear" w:color="auto" w:fill="auto"/>
          <w:lang w:eastAsia="zh-CN"/>
        </w:rPr>
        <w:t>投标人具有环卫市场化服务项目合同履约能力，近九年内不得出现因自身原因被取消中标资格或解除合同的情形。投标人需在投标文件内对本条款做专项承诺。如果出现虚假承诺，取消中标资格，并追究相关的法律责任和进行相应的赔偿。</w:t>
      </w:r>
    </w:p>
    <w:p>
      <w:pPr>
        <w:pStyle w:val="6"/>
        <w:keepNext w:val="0"/>
        <w:keepLines w:val="0"/>
        <w:widowControl/>
        <w:suppressLineNumbers w:val="0"/>
        <w:shd w:val="clear" w:color="auto" w:fill="FFFFFF"/>
        <w:spacing w:before="100" w:beforeAutospacing="0" w:after="100" w:afterAutospacing="0" w:line="460" w:lineRule="exact"/>
        <w:ind w:firstLine="482" w:firstLineChars="200"/>
        <w:jc w:val="both"/>
        <w:rPr>
          <w:rStyle w:val="10"/>
          <w:rFonts w:hint="eastAsia" w:ascii="宋体" w:hAnsi="宋体" w:eastAsia="宋体" w:cs="宋体"/>
          <w:sz w:val="24"/>
          <w:szCs w:val="24"/>
          <w:highlight w:val="none"/>
          <w:shd w:val="clear" w:color="auto" w:fill="FFFFFF"/>
          <w:lang w:val="en-US" w:eastAsia="zh-CN"/>
        </w:rPr>
      </w:pPr>
      <w:r>
        <w:rPr>
          <w:rStyle w:val="10"/>
          <w:rFonts w:hint="eastAsia" w:ascii="宋体" w:hAnsi="宋体" w:eastAsia="宋体" w:cs="宋体"/>
          <w:sz w:val="24"/>
          <w:szCs w:val="24"/>
          <w:highlight w:val="none"/>
          <w:shd w:val="clear" w:color="auto" w:fill="FFFFFF"/>
        </w:rPr>
        <w:t>★（</w:t>
      </w:r>
      <w:r>
        <w:rPr>
          <w:rStyle w:val="10"/>
          <w:rFonts w:hint="eastAsia" w:ascii="宋体" w:hAnsi="宋体" w:cs="宋体"/>
          <w:sz w:val="24"/>
          <w:szCs w:val="24"/>
          <w:highlight w:val="none"/>
          <w:shd w:val="clear" w:color="auto" w:fill="FFFFFF"/>
          <w:lang w:val="en-US" w:eastAsia="zh-CN"/>
        </w:rPr>
        <w:t>八</w:t>
      </w:r>
      <w:r>
        <w:rPr>
          <w:rStyle w:val="10"/>
          <w:rFonts w:hint="eastAsia" w:ascii="宋体" w:hAnsi="宋体" w:eastAsia="宋体" w:cs="宋体"/>
          <w:sz w:val="24"/>
          <w:szCs w:val="24"/>
          <w:highlight w:val="none"/>
          <w:shd w:val="clear" w:color="auto" w:fill="FFFFFF"/>
        </w:rPr>
        <w:t>）服务费用及支付方式</w:t>
      </w:r>
    </w:p>
    <w:p>
      <w:pPr>
        <w:pStyle w:val="6"/>
        <w:keepNext w:val="0"/>
        <w:keepLines w:val="0"/>
        <w:pageBreakBefore w:val="0"/>
        <w:widowControl/>
        <w:numPr>
          <w:ilvl w:val="0"/>
          <w:numId w:val="11"/>
        </w:numPr>
        <w:suppressLineNumbers w:val="0"/>
        <w:shd w:val="clear" w:color="auto" w:fill="FFFFFF"/>
        <w:kinsoku/>
        <w:wordWrap/>
        <w:overflowPunct/>
        <w:topLinePunct w:val="0"/>
        <w:autoSpaceDE/>
        <w:autoSpaceDN/>
        <w:bidi w:val="0"/>
        <w:adjustRightInd/>
        <w:snapToGrid/>
        <w:spacing w:before="0" w:beforeAutospacing="0" w:after="105" w:afterAutospacing="0" w:line="460" w:lineRule="exact"/>
        <w:ind w:firstLine="480" w:firstLineChars="200"/>
        <w:jc w:val="both"/>
        <w:textAlignment w:val="auto"/>
        <w:rPr>
          <w:rFonts w:hint="eastAsia" w:ascii="宋体" w:hAnsi="宋体" w:cs="宋体"/>
          <w:sz w:val="24"/>
          <w:szCs w:val="24"/>
          <w:highlight w:val="none"/>
          <w:lang w:eastAsia="zh-CN"/>
        </w:rPr>
      </w:pPr>
      <w:r>
        <w:rPr>
          <w:rFonts w:hint="eastAsia" w:ascii="宋体" w:hAnsi="宋体" w:eastAsia="宋体" w:cs="宋体"/>
          <w:sz w:val="24"/>
          <w:szCs w:val="24"/>
          <w:highlight w:val="none"/>
          <w:shd w:val="clear" w:color="auto" w:fill="FFFFFF"/>
        </w:rPr>
        <w:t>考评实施办法和考核评分标准</w:t>
      </w:r>
      <w:r>
        <w:rPr>
          <w:rFonts w:hint="eastAsia" w:ascii="宋体" w:hAnsi="宋体" w:eastAsia="宋体" w:cs="宋体"/>
          <w:sz w:val="24"/>
          <w:szCs w:val="24"/>
          <w:highlight w:val="none"/>
          <w:shd w:val="clear" w:color="auto" w:fill="FFFFFF"/>
          <w:lang w:eastAsia="zh-CN"/>
        </w:rPr>
        <w:t>：为加强环境卫生作业质量的监督管理，根据《宁化县城区环卫作业质量标准》</w:t>
      </w:r>
      <w:r>
        <w:rPr>
          <w:rFonts w:hint="eastAsia" w:ascii="宋体" w:hAnsi="宋体" w:cs="宋体"/>
          <w:sz w:val="24"/>
          <w:szCs w:val="24"/>
          <w:highlight w:val="none"/>
          <w:shd w:val="clear" w:color="auto" w:fill="FFFFFF"/>
          <w:lang w:eastAsia="zh-CN"/>
        </w:rPr>
        <w:t>，</w:t>
      </w:r>
      <w:r>
        <w:rPr>
          <w:rFonts w:hint="eastAsia" w:ascii="宋体" w:hAnsi="宋体" w:cs="宋体"/>
          <w:sz w:val="24"/>
          <w:szCs w:val="24"/>
          <w:highlight w:val="none"/>
          <w:lang w:eastAsia="zh-CN"/>
        </w:rPr>
        <w:t>制定《宁化县城区环卫作业质量考核管理办法》，对中标方作业质量进行监督、检查与考评，考核成绩作为拨付服务经费的依据。</w:t>
      </w:r>
      <w:r>
        <w:rPr>
          <w:rFonts w:hint="eastAsia" w:ascii="宋体" w:hAnsi="宋体" w:eastAsia="宋体" w:cs="宋体"/>
          <w:sz w:val="24"/>
          <w:szCs w:val="24"/>
          <w:highlight w:val="none"/>
          <w:shd w:val="clear" w:color="auto" w:fill="FFFFFF"/>
          <w:lang w:eastAsia="zh-CN"/>
        </w:rPr>
        <w:t>由业务主管部门牵头，按属地管理原则由属地相关管理部门对中标人作业质量进行监督、检查与考评，检查考核结果每月由业务主管部门汇总一次，考核成绩作为当月拨付服务经费的依据。</w:t>
      </w:r>
    </w:p>
    <w:p>
      <w:pPr>
        <w:pStyle w:val="6"/>
        <w:keepNext w:val="0"/>
        <w:keepLines w:val="0"/>
        <w:pageBreakBefore w:val="0"/>
        <w:widowControl/>
        <w:numPr>
          <w:ilvl w:val="0"/>
          <w:numId w:val="11"/>
        </w:numPr>
        <w:suppressLineNumbers w:val="0"/>
        <w:shd w:val="clear" w:color="auto" w:fill="FFFFFF"/>
        <w:kinsoku/>
        <w:wordWrap/>
        <w:overflowPunct/>
        <w:topLinePunct w:val="0"/>
        <w:autoSpaceDE/>
        <w:autoSpaceDN/>
        <w:bidi w:val="0"/>
        <w:adjustRightInd/>
        <w:snapToGrid/>
        <w:spacing w:before="0" w:beforeAutospacing="0" w:after="105" w:afterAutospacing="0" w:line="460" w:lineRule="exact"/>
        <w:ind w:left="0" w:right="0" w:firstLine="480" w:firstLineChars="200"/>
        <w:jc w:val="both"/>
        <w:textAlignment w:val="auto"/>
        <w:rPr>
          <w:rFonts w:hint="eastAsia" w:ascii="宋体" w:hAnsi="宋体" w:eastAsia="宋体" w:cs="宋体"/>
          <w:sz w:val="24"/>
          <w:szCs w:val="24"/>
          <w:highlight w:val="none"/>
          <w:shd w:val="clear" w:color="auto" w:fill="FFFFFF"/>
          <w:lang w:eastAsia="zh-CN"/>
        </w:rPr>
      </w:pPr>
      <w:r>
        <w:rPr>
          <w:rFonts w:hint="eastAsia" w:ascii="宋体" w:hAnsi="宋体" w:cs="宋体"/>
          <w:sz w:val="24"/>
          <w:szCs w:val="24"/>
          <w:highlight w:val="none"/>
          <w:lang w:eastAsia="zh-CN"/>
        </w:rPr>
        <w:t>要保障环卫工人的合法权益。县城市管理局要会同县人社局、总工会等部门，督促中标方按照合同约定及时足额兑现环卫工人的工资福利待遇，调动环卫工人的劳动积极性，保障环卫作业队伍的人员稳定。</w:t>
      </w:r>
    </w:p>
    <w:p>
      <w:pPr>
        <w:pStyle w:val="6"/>
        <w:keepNext w:val="0"/>
        <w:keepLines w:val="0"/>
        <w:pageBreakBefore w:val="0"/>
        <w:widowControl/>
        <w:numPr>
          <w:ilvl w:val="0"/>
          <w:numId w:val="11"/>
        </w:numPr>
        <w:suppressLineNumbers w:val="0"/>
        <w:shd w:val="clear" w:color="auto" w:fill="FFFFFF"/>
        <w:kinsoku/>
        <w:wordWrap/>
        <w:overflowPunct/>
        <w:topLinePunct w:val="0"/>
        <w:autoSpaceDE/>
        <w:autoSpaceDN/>
        <w:bidi w:val="0"/>
        <w:adjustRightInd/>
        <w:snapToGrid/>
        <w:spacing w:before="0" w:beforeAutospacing="0" w:after="105" w:afterAutospacing="0" w:line="460" w:lineRule="exact"/>
        <w:ind w:firstLine="480" w:firstLineChars="200"/>
        <w:jc w:val="both"/>
        <w:textAlignment w:val="auto"/>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承包费用及支付方式</w:t>
      </w:r>
    </w:p>
    <w:p>
      <w:pPr>
        <w:pStyle w:val="6"/>
        <w:keepNext w:val="0"/>
        <w:keepLines w:val="0"/>
        <w:pageBreakBefore w:val="0"/>
        <w:widowControl/>
        <w:suppressLineNumbers w:val="0"/>
        <w:shd w:val="clear" w:color="auto" w:fill="FFFFFF"/>
        <w:kinsoku/>
        <w:wordWrap/>
        <w:overflowPunct/>
        <w:topLinePunct w:val="0"/>
        <w:autoSpaceDE/>
        <w:autoSpaceDN/>
        <w:bidi w:val="0"/>
        <w:adjustRightInd/>
        <w:snapToGrid/>
        <w:spacing w:before="100" w:beforeAutospacing="0" w:after="100" w:afterAutospacing="0" w:line="460" w:lineRule="exact"/>
        <w:ind w:firstLine="480" w:firstLineChars="200"/>
        <w:jc w:val="both"/>
        <w:textAlignment w:val="auto"/>
        <w:rPr>
          <w:rStyle w:val="10"/>
          <w:rFonts w:hint="eastAsia" w:ascii="宋体" w:hAnsi="宋体" w:eastAsia="宋体" w:cs="宋体"/>
          <w:b w:val="0"/>
          <w:bCs w:val="0"/>
          <w:sz w:val="24"/>
          <w:szCs w:val="24"/>
          <w:highlight w:val="none"/>
          <w:shd w:val="clear" w:color="auto" w:fill="FFFFFF"/>
          <w:lang w:val="en-US" w:eastAsia="zh-CN"/>
        </w:rPr>
      </w:pPr>
      <w:r>
        <w:rPr>
          <w:rFonts w:hint="eastAsia" w:ascii="宋体" w:hAnsi="宋体" w:eastAsia="宋体" w:cs="宋体"/>
          <w:b w:val="0"/>
          <w:bCs w:val="0"/>
          <w:sz w:val="24"/>
          <w:szCs w:val="24"/>
          <w:highlight w:val="none"/>
          <w:lang w:eastAsia="zh-CN"/>
        </w:rPr>
        <w:t>（</w:t>
      </w:r>
      <w:r>
        <w:rPr>
          <w:rFonts w:hint="eastAsia" w:ascii="宋体" w:hAnsi="宋体" w:eastAsia="宋体" w:cs="宋体"/>
          <w:b w:val="0"/>
          <w:bCs w:val="0"/>
          <w:sz w:val="24"/>
          <w:szCs w:val="24"/>
          <w:highlight w:val="none"/>
          <w:lang w:val="en-US" w:eastAsia="zh-CN"/>
        </w:rPr>
        <w:t>1</w:t>
      </w:r>
      <w:r>
        <w:rPr>
          <w:rFonts w:hint="eastAsia" w:ascii="宋体" w:hAnsi="宋体" w:eastAsia="宋体" w:cs="宋体"/>
          <w:b w:val="0"/>
          <w:bCs w:val="0"/>
          <w:sz w:val="24"/>
          <w:szCs w:val="24"/>
          <w:highlight w:val="none"/>
          <w:lang w:eastAsia="zh-CN"/>
        </w:rPr>
        <w:t>）</w:t>
      </w:r>
      <w:r>
        <w:rPr>
          <w:rStyle w:val="10"/>
          <w:rFonts w:hint="eastAsia" w:ascii="宋体" w:hAnsi="宋体" w:eastAsia="宋体" w:cs="宋体"/>
          <w:b w:val="0"/>
          <w:bCs w:val="0"/>
          <w:sz w:val="24"/>
          <w:szCs w:val="24"/>
          <w:highlight w:val="none"/>
          <w:shd w:val="clear" w:color="auto" w:fill="FFFFFF"/>
          <w:lang w:val="en-US" w:eastAsia="zh-CN"/>
        </w:rPr>
        <w:t>项目服务经费按月支付，每月的服务经费在次月底拨付至中标人帐户。</w:t>
      </w:r>
    </w:p>
    <w:p>
      <w:pPr>
        <w:pStyle w:val="6"/>
        <w:keepNext w:val="0"/>
        <w:keepLines w:val="0"/>
        <w:pageBreakBefore w:val="0"/>
        <w:widowControl/>
        <w:suppressLineNumbers w:val="0"/>
        <w:kinsoku/>
        <w:wordWrap/>
        <w:overflowPunct/>
        <w:topLinePunct w:val="0"/>
        <w:autoSpaceDE/>
        <w:autoSpaceDN/>
        <w:bidi w:val="0"/>
        <w:adjustRightInd/>
        <w:snapToGrid/>
        <w:spacing w:before="100" w:beforeAutospacing="0" w:after="100" w:afterAutospacing="0" w:line="460" w:lineRule="exact"/>
        <w:ind w:firstLine="480" w:firstLineChars="200"/>
        <w:jc w:val="both"/>
        <w:textAlignment w:val="auto"/>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（2）发放等级：</w:t>
      </w:r>
    </w:p>
    <w:p>
      <w:pPr>
        <w:pStyle w:val="6"/>
        <w:keepNext w:val="0"/>
        <w:keepLines w:val="0"/>
        <w:pageBreakBefore w:val="0"/>
        <w:widowControl/>
        <w:suppressLineNumbers w:val="0"/>
        <w:kinsoku/>
        <w:wordWrap/>
        <w:overflowPunct/>
        <w:topLinePunct w:val="0"/>
        <w:autoSpaceDE/>
        <w:autoSpaceDN/>
        <w:bidi w:val="0"/>
        <w:adjustRightInd/>
        <w:snapToGrid/>
        <w:spacing w:before="100" w:beforeAutospacing="0" w:after="100" w:afterAutospacing="0" w:line="460" w:lineRule="exact"/>
        <w:ind w:firstLine="480" w:firstLineChars="200"/>
        <w:jc w:val="both"/>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①考评得分≥</w:t>
      </w:r>
      <w:r>
        <w:rPr>
          <w:rFonts w:hint="eastAsia" w:ascii="宋体" w:hAnsi="宋体" w:eastAsia="宋体" w:cs="宋体"/>
          <w:sz w:val="24"/>
          <w:szCs w:val="24"/>
          <w:highlight w:val="none"/>
          <w:lang w:val="en-US" w:eastAsia="zh-CN"/>
        </w:rPr>
        <w:t>85</w:t>
      </w:r>
      <w:r>
        <w:rPr>
          <w:rFonts w:hint="eastAsia" w:ascii="宋体" w:hAnsi="宋体" w:eastAsia="宋体" w:cs="宋体"/>
          <w:sz w:val="24"/>
          <w:szCs w:val="24"/>
          <w:highlight w:val="none"/>
        </w:rPr>
        <w:t>分的，全额拨付当月保洁经费；</w:t>
      </w:r>
    </w:p>
    <w:p>
      <w:pPr>
        <w:pStyle w:val="6"/>
        <w:keepNext w:val="0"/>
        <w:keepLines w:val="0"/>
        <w:pageBreakBefore w:val="0"/>
        <w:widowControl/>
        <w:suppressLineNumbers w:val="0"/>
        <w:kinsoku/>
        <w:wordWrap/>
        <w:overflowPunct/>
        <w:topLinePunct w:val="0"/>
        <w:autoSpaceDE/>
        <w:autoSpaceDN/>
        <w:bidi w:val="0"/>
        <w:adjustRightInd/>
        <w:snapToGrid/>
        <w:spacing w:before="100" w:beforeAutospacing="0" w:after="100" w:afterAutospacing="0" w:line="460" w:lineRule="exact"/>
        <w:ind w:firstLine="480" w:firstLineChars="200"/>
        <w:jc w:val="both"/>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②月度考评得分未达到85分的，则主管部门根据考评结果分别扣减该月作业服务经费。（计算公式：扣款金额=本月合同金额×[（85-本月考核得分）/100×50%]。如本月最终得分为83，就扣本月合同款的1%作为处罚）。</w:t>
      </w:r>
    </w:p>
    <w:p>
      <w:pPr>
        <w:pStyle w:val="6"/>
        <w:keepNext w:val="0"/>
        <w:keepLines w:val="0"/>
        <w:pageBreakBefore w:val="0"/>
        <w:widowControl/>
        <w:numPr>
          <w:ilvl w:val="0"/>
          <w:numId w:val="10"/>
        </w:numPr>
        <w:suppressLineNumbers w:val="0"/>
        <w:kinsoku/>
        <w:wordWrap/>
        <w:overflowPunct/>
        <w:topLinePunct w:val="0"/>
        <w:autoSpaceDE/>
        <w:autoSpaceDN/>
        <w:bidi w:val="0"/>
        <w:adjustRightInd/>
        <w:snapToGrid/>
        <w:spacing w:before="100" w:beforeAutospacing="0" w:after="100" w:afterAutospacing="0" w:line="460" w:lineRule="exact"/>
        <w:ind w:firstLine="480" w:firstLineChars="200"/>
        <w:jc w:val="both"/>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从合同实施之日起，第1-3个月为项目移交过渡期，其中，第一个月按中标价的月平均承包经费的80%拨付承包作业经费；第二个月按中标价的月平均承包经费的90%拨付承包作业经费；第三个月正常考核，并根据考核结果拨付相应的承包作业经费。</w:t>
      </w:r>
    </w:p>
    <w:p>
      <w:pPr>
        <w:pStyle w:val="6"/>
        <w:keepNext w:val="0"/>
        <w:keepLines w:val="0"/>
        <w:pageBreakBefore w:val="0"/>
        <w:widowControl/>
        <w:numPr>
          <w:ilvl w:val="0"/>
          <w:numId w:val="0"/>
        </w:numPr>
        <w:suppressLineNumbers w:val="0"/>
        <w:kinsoku/>
        <w:wordWrap/>
        <w:overflowPunct/>
        <w:topLinePunct w:val="0"/>
        <w:autoSpaceDE/>
        <w:autoSpaceDN/>
        <w:bidi w:val="0"/>
        <w:adjustRightInd/>
        <w:snapToGrid/>
        <w:spacing w:before="100" w:beforeAutospacing="0" w:after="100" w:afterAutospacing="0" w:line="460" w:lineRule="exact"/>
        <w:ind w:right="0" w:rightChars="0" w:firstLine="482" w:firstLineChars="200"/>
        <w:jc w:val="both"/>
        <w:textAlignment w:val="auto"/>
        <w:rPr>
          <w:rStyle w:val="10"/>
          <w:rFonts w:hint="eastAsia" w:ascii="宋体" w:hAnsi="宋体" w:cs="宋体"/>
          <w:sz w:val="24"/>
          <w:szCs w:val="24"/>
          <w:highlight w:val="none"/>
          <w:shd w:val="clear" w:color="auto" w:fill="FFFFFF"/>
          <w:lang w:val="en-US" w:eastAsia="zh-CN"/>
        </w:rPr>
      </w:pPr>
      <w:r>
        <w:rPr>
          <w:rStyle w:val="10"/>
          <w:rFonts w:hint="eastAsia" w:ascii="宋体" w:hAnsi="宋体" w:cs="宋体"/>
          <w:sz w:val="24"/>
          <w:szCs w:val="24"/>
          <w:highlight w:val="none"/>
          <w:shd w:val="clear" w:color="auto" w:fill="FFFFFF"/>
          <w:lang w:val="en-US" w:eastAsia="zh-CN"/>
        </w:rPr>
        <w:t>4、具体作业质量考核办法详见，附件1。</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100" w:beforeAutospacing="0" w:after="100" w:afterAutospacing="0" w:line="460" w:lineRule="exact"/>
        <w:ind w:firstLine="482" w:firstLineChars="200"/>
        <w:jc w:val="both"/>
        <w:textAlignment w:val="auto"/>
        <w:rPr>
          <w:rFonts w:hint="eastAsia" w:ascii="宋体" w:hAnsi="宋体" w:eastAsia="宋体" w:cs="宋体"/>
          <w:sz w:val="24"/>
          <w:szCs w:val="24"/>
          <w:highlight w:val="none"/>
          <w:lang w:val="en-US" w:eastAsia="zh-CN"/>
        </w:rPr>
      </w:pPr>
      <w:r>
        <w:rPr>
          <w:rFonts w:hint="eastAsia" w:ascii="宋体" w:hAnsi="宋体" w:cs="宋体"/>
          <w:b/>
          <w:bCs/>
          <w:sz w:val="24"/>
          <w:szCs w:val="24"/>
          <w:lang w:val="en-US" w:eastAsia="zh-CN"/>
        </w:rPr>
        <w:t>5、具体</w:t>
      </w:r>
      <w:r>
        <w:rPr>
          <w:rFonts w:hint="eastAsia" w:ascii="宋体" w:hAnsi="宋体" w:eastAsia="宋体" w:cs="宋体"/>
          <w:b/>
          <w:bCs/>
          <w:sz w:val="24"/>
          <w:szCs w:val="24"/>
        </w:rPr>
        <w:t>作业质量及管理量化考核细则</w:t>
      </w:r>
      <w:r>
        <w:rPr>
          <w:rFonts w:hint="eastAsia" w:ascii="宋体" w:hAnsi="宋体" w:cs="宋体"/>
          <w:b/>
          <w:bCs/>
          <w:sz w:val="24"/>
          <w:szCs w:val="24"/>
          <w:lang w:eastAsia="zh-CN"/>
        </w:rPr>
        <w:t>，</w:t>
      </w:r>
      <w:r>
        <w:rPr>
          <w:rFonts w:hint="eastAsia" w:ascii="宋体" w:hAnsi="宋体" w:cs="宋体"/>
          <w:b/>
          <w:bCs/>
          <w:sz w:val="24"/>
          <w:szCs w:val="24"/>
          <w:lang w:val="en-US" w:eastAsia="zh-CN"/>
        </w:rPr>
        <w:t>详见附件2。</w:t>
      </w:r>
    </w:p>
    <w:p>
      <w:pPr>
        <w:pStyle w:val="6"/>
        <w:keepNext w:val="0"/>
        <w:keepLines w:val="0"/>
        <w:pageBreakBefore w:val="0"/>
        <w:widowControl/>
        <w:suppressLineNumbers w:val="0"/>
        <w:kinsoku/>
        <w:wordWrap/>
        <w:overflowPunct/>
        <w:topLinePunct w:val="0"/>
        <w:autoSpaceDE/>
        <w:autoSpaceDN/>
        <w:bidi w:val="0"/>
        <w:adjustRightInd/>
        <w:snapToGrid/>
        <w:spacing w:before="100" w:beforeAutospacing="0" w:after="100" w:afterAutospacing="0" w:line="460" w:lineRule="exact"/>
        <w:ind w:firstLine="482" w:firstLineChars="200"/>
        <w:jc w:val="both"/>
        <w:textAlignment w:val="auto"/>
        <w:rPr>
          <w:rFonts w:hint="eastAsia" w:ascii="宋体" w:hAnsi="宋体" w:cs="宋体"/>
          <w:b/>
          <w:bCs w:val="0"/>
          <w:sz w:val="24"/>
          <w:szCs w:val="24"/>
          <w:highlight w:val="none"/>
          <w:lang w:eastAsia="zh-CN"/>
        </w:rPr>
      </w:pPr>
      <w:r>
        <w:rPr>
          <w:rStyle w:val="10"/>
          <w:rFonts w:hint="eastAsia" w:ascii="宋体" w:hAnsi="宋体" w:eastAsia="宋体" w:cs="宋体"/>
          <w:b/>
          <w:bCs w:val="0"/>
          <w:sz w:val="24"/>
          <w:szCs w:val="24"/>
          <w:highlight w:val="none"/>
        </w:rPr>
        <w:t>★（</w:t>
      </w:r>
      <w:r>
        <w:rPr>
          <w:rStyle w:val="10"/>
          <w:rFonts w:hint="eastAsia" w:ascii="宋体" w:hAnsi="宋体" w:cs="宋体"/>
          <w:b/>
          <w:bCs w:val="0"/>
          <w:sz w:val="24"/>
          <w:szCs w:val="24"/>
          <w:highlight w:val="none"/>
          <w:lang w:val="en-US" w:eastAsia="zh-CN"/>
        </w:rPr>
        <w:t>十</w:t>
      </w:r>
      <w:r>
        <w:rPr>
          <w:rStyle w:val="10"/>
          <w:rFonts w:hint="eastAsia" w:ascii="宋体" w:hAnsi="宋体" w:eastAsia="宋体" w:cs="宋体"/>
          <w:b/>
          <w:bCs w:val="0"/>
          <w:sz w:val="24"/>
          <w:szCs w:val="24"/>
          <w:highlight w:val="none"/>
        </w:rPr>
        <w:t>）</w:t>
      </w:r>
      <w:r>
        <w:rPr>
          <w:rFonts w:hint="eastAsia" w:ascii="宋体" w:hAnsi="宋体" w:cs="宋体"/>
          <w:b/>
          <w:bCs w:val="0"/>
          <w:sz w:val="24"/>
          <w:szCs w:val="24"/>
          <w:highlight w:val="none"/>
          <w:lang w:eastAsia="zh-CN"/>
        </w:rPr>
        <w:t>监管及退出机制</w:t>
      </w:r>
    </w:p>
    <w:p>
      <w:pPr>
        <w:pStyle w:val="6"/>
        <w:keepNext w:val="0"/>
        <w:keepLines w:val="0"/>
        <w:pageBreakBefore w:val="0"/>
        <w:widowControl/>
        <w:suppressLineNumbers w:val="0"/>
        <w:kinsoku/>
        <w:wordWrap/>
        <w:overflowPunct/>
        <w:topLinePunct w:val="0"/>
        <w:autoSpaceDE/>
        <w:autoSpaceDN/>
        <w:bidi w:val="0"/>
        <w:adjustRightInd/>
        <w:snapToGrid/>
        <w:spacing w:before="100" w:beforeAutospacing="0" w:after="100" w:afterAutospacing="0" w:line="460" w:lineRule="exact"/>
        <w:ind w:firstLine="480" w:firstLineChars="200"/>
        <w:jc w:val="both"/>
        <w:textAlignment w:val="auto"/>
        <w:rPr>
          <w:rFonts w:hint="eastAsia" w:ascii="宋体" w:hAnsi="宋体" w:cs="宋体"/>
          <w:sz w:val="24"/>
          <w:szCs w:val="24"/>
          <w:highlight w:val="none"/>
          <w:lang w:eastAsia="zh-CN"/>
        </w:rPr>
      </w:pPr>
      <w:r>
        <w:rPr>
          <w:rFonts w:hint="eastAsia" w:ascii="宋体" w:hAnsi="宋体" w:cs="宋体"/>
          <w:sz w:val="24"/>
          <w:szCs w:val="24"/>
          <w:highlight w:val="none"/>
          <w:lang w:eastAsia="zh-CN"/>
        </w:rPr>
        <w:t>县城市管理局要加强城区环卫作业质量监管，项目服务期内出现以下情况的，政府方有权解除服务合同，中标企业被列入黑名单，不得再次进入宁化县环卫作业市场。</w:t>
      </w:r>
    </w:p>
    <w:p>
      <w:pPr>
        <w:pStyle w:val="6"/>
        <w:keepNext w:val="0"/>
        <w:keepLines w:val="0"/>
        <w:pageBreakBefore w:val="0"/>
        <w:widowControl/>
        <w:suppressLineNumbers w:val="0"/>
        <w:kinsoku/>
        <w:wordWrap/>
        <w:overflowPunct/>
        <w:topLinePunct w:val="0"/>
        <w:autoSpaceDE/>
        <w:autoSpaceDN/>
        <w:bidi w:val="0"/>
        <w:adjustRightInd/>
        <w:snapToGrid/>
        <w:spacing w:before="100" w:beforeAutospacing="0" w:after="100" w:afterAutospacing="0" w:line="460" w:lineRule="exact"/>
        <w:ind w:firstLine="480" w:firstLineChars="200"/>
        <w:jc w:val="both"/>
        <w:textAlignment w:val="auto"/>
        <w:rPr>
          <w:rFonts w:hint="eastAsia" w:ascii="宋体" w:hAnsi="宋体" w:cs="宋体"/>
          <w:sz w:val="24"/>
          <w:szCs w:val="24"/>
          <w:highlight w:val="none"/>
          <w:lang w:eastAsia="zh-CN"/>
        </w:rPr>
      </w:pPr>
      <w:r>
        <w:rPr>
          <w:rFonts w:hint="eastAsia" w:ascii="宋体" w:hAnsi="宋体" w:cs="宋体"/>
          <w:sz w:val="24"/>
          <w:szCs w:val="24"/>
          <w:highlight w:val="none"/>
          <w:lang w:eastAsia="zh-CN"/>
        </w:rPr>
        <w:t>1.宁化县是“省级示范文明县城”荣誉称号因环境卫生不达标而被取消资格。</w:t>
      </w:r>
    </w:p>
    <w:p>
      <w:pPr>
        <w:pStyle w:val="6"/>
        <w:keepNext w:val="0"/>
        <w:keepLines w:val="0"/>
        <w:pageBreakBefore w:val="0"/>
        <w:widowControl/>
        <w:suppressLineNumbers w:val="0"/>
        <w:kinsoku/>
        <w:wordWrap/>
        <w:overflowPunct/>
        <w:topLinePunct w:val="0"/>
        <w:autoSpaceDE/>
        <w:autoSpaceDN/>
        <w:bidi w:val="0"/>
        <w:adjustRightInd/>
        <w:snapToGrid/>
        <w:spacing w:before="100" w:beforeAutospacing="0" w:after="100" w:afterAutospacing="0" w:line="460" w:lineRule="exact"/>
        <w:ind w:firstLine="480" w:firstLineChars="200"/>
        <w:jc w:val="both"/>
        <w:textAlignment w:val="auto"/>
        <w:rPr>
          <w:rFonts w:hint="eastAsia" w:ascii="宋体" w:hAnsi="宋体" w:cs="宋体"/>
          <w:sz w:val="24"/>
          <w:szCs w:val="24"/>
          <w:highlight w:val="none"/>
          <w:lang w:eastAsia="zh-CN"/>
        </w:rPr>
      </w:pPr>
      <w:r>
        <w:rPr>
          <w:rFonts w:hint="eastAsia" w:ascii="宋体" w:hAnsi="宋体" w:cs="宋体"/>
          <w:sz w:val="24"/>
          <w:szCs w:val="24"/>
          <w:highlight w:val="none"/>
          <w:lang w:eastAsia="zh-CN"/>
        </w:rPr>
        <w:t>2.环卫作业质量差，限期一个月整改，整改三次不达标。</w:t>
      </w:r>
    </w:p>
    <w:p>
      <w:pPr>
        <w:pStyle w:val="6"/>
        <w:keepNext w:val="0"/>
        <w:keepLines w:val="0"/>
        <w:pageBreakBefore w:val="0"/>
        <w:widowControl/>
        <w:suppressLineNumbers w:val="0"/>
        <w:kinsoku/>
        <w:wordWrap/>
        <w:overflowPunct/>
        <w:topLinePunct w:val="0"/>
        <w:autoSpaceDE/>
        <w:autoSpaceDN/>
        <w:bidi w:val="0"/>
        <w:adjustRightInd/>
        <w:snapToGrid/>
        <w:spacing w:before="100" w:beforeAutospacing="0" w:after="100" w:afterAutospacing="0" w:line="460" w:lineRule="exact"/>
        <w:ind w:firstLine="480" w:firstLineChars="200"/>
        <w:jc w:val="both"/>
        <w:textAlignment w:val="auto"/>
        <w:rPr>
          <w:rFonts w:hint="eastAsia" w:ascii="宋体" w:hAnsi="宋体" w:cs="宋体"/>
          <w:sz w:val="24"/>
          <w:szCs w:val="24"/>
          <w:highlight w:val="none"/>
          <w:lang w:eastAsia="zh-CN"/>
        </w:rPr>
      </w:pPr>
      <w:r>
        <w:rPr>
          <w:rFonts w:hint="eastAsia" w:ascii="宋体" w:hAnsi="宋体" w:cs="宋体"/>
          <w:sz w:val="24"/>
          <w:szCs w:val="24"/>
          <w:highlight w:val="none"/>
          <w:lang w:eastAsia="zh-CN"/>
        </w:rPr>
        <w:t>3.连续3个月或两年累计6次月考核不合格（低于75分）时，或在工作中发生恶性事件、重大安全生产责任事故，造成重大经济损失，严重影响宁化声誉（一年内2次以上被市以上新闻媒体曝光、或被上级领导、有关部门公开点名批评，经查实确属中标方责任）。</w:t>
      </w:r>
    </w:p>
    <w:p>
      <w:pPr>
        <w:pStyle w:val="6"/>
        <w:keepNext w:val="0"/>
        <w:keepLines w:val="0"/>
        <w:pageBreakBefore w:val="0"/>
        <w:widowControl/>
        <w:suppressLineNumbers w:val="0"/>
        <w:kinsoku/>
        <w:wordWrap/>
        <w:overflowPunct/>
        <w:topLinePunct w:val="0"/>
        <w:autoSpaceDE/>
        <w:autoSpaceDN/>
        <w:bidi w:val="0"/>
        <w:adjustRightInd/>
        <w:snapToGrid/>
        <w:spacing w:before="100" w:beforeAutospacing="0" w:after="100" w:afterAutospacing="0" w:line="460" w:lineRule="exact"/>
        <w:ind w:firstLine="480" w:firstLineChars="200"/>
        <w:jc w:val="both"/>
        <w:textAlignment w:val="auto"/>
        <w:rPr>
          <w:rFonts w:hint="eastAsia" w:ascii="宋体" w:hAnsi="宋体" w:cs="宋体"/>
          <w:sz w:val="24"/>
          <w:szCs w:val="24"/>
          <w:highlight w:val="none"/>
          <w:lang w:eastAsia="zh-CN"/>
        </w:rPr>
      </w:pPr>
      <w:r>
        <w:rPr>
          <w:rFonts w:hint="eastAsia" w:ascii="宋体" w:hAnsi="宋体" w:cs="宋体"/>
          <w:sz w:val="24"/>
          <w:szCs w:val="24"/>
          <w:highlight w:val="none"/>
          <w:lang w:eastAsia="zh-CN"/>
        </w:rPr>
        <w:t>4.中标方无正当理由停止作业。</w:t>
      </w:r>
    </w:p>
    <w:p>
      <w:pPr>
        <w:pStyle w:val="6"/>
        <w:keepNext w:val="0"/>
        <w:keepLines w:val="0"/>
        <w:pageBreakBefore w:val="0"/>
        <w:widowControl/>
        <w:suppressLineNumbers w:val="0"/>
        <w:kinsoku/>
        <w:wordWrap/>
        <w:overflowPunct/>
        <w:topLinePunct w:val="0"/>
        <w:autoSpaceDE/>
        <w:autoSpaceDN/>
        <w:bidi w:val="0"/>
        <w:adjustRightInd/>
        <w:snapToGrid/>
        <w:spacing w:before="100" w:beforeAutospacing="0" w:after="100" w:afterAutospacing="0" w:line="460" w:lineRule="exact"/>
        <w:ind w:firstLine="480" w:firstLineChars="200"/>
        <w:jc w:val="both"/>
        <w:textAlignment w:val="auto"/>
        <w:rPr>
          <w:rFonts w:hint="eastAsia" w:ascii="宋体" w:hAnsi="宋体" w:cs="宋体"/>
          <w:sz w:val="24"/>
          <w:szCs w:val="24"/>
          <w:highlight w:val="none"/>
          <w:lang w:eastAsia="zh-CN"/>
        </w:rPr>
      </w:pPr>
      <w:r>
        <w:rPr>
          <w:rFonts w:hint="eastAsia" w:ascii="宋体" w:hAnsi="宋体" w:cs="宋体"/>
          <w:sz w:val="24"/>
          <w:szCs w:val="24"/>
          <w:highlight w:val="none"/>
          <w:lang w:eastAsia="zh-CN"/>
        </w:rPr>
        <w:t>5.发生其他严重影响宁化形象的事件，经查属中标方责任的。</w:t>
      </w:r>
    </w:p>
    <w:p>
      <w:pPr>
        <w:pStyle w:val="6"/>
        <w:keepNext w:val="0"/>
        <w:keepLines w:val="0"/>
        <w:pageBreakBefore w:val="0"/>
        <w:widowControl/>
        <w:suppressLineNumbers w:val="0"/>
        <w:kinsoku/>
        <w:wordWrap/>
        <w:overflowPunct/>
        <w:topLinePunct w:val="0"/>
        <w:autoSpaceDE/>
        <w:autoSpaceDN/>
        <w:bidi w:val="0"/>
        <w:adjustRightInd/>
        <w:snapToGrid/>
        <w:spacing w:before="100" w:beforeAutospacing="0" w:after="100" w:afterAutospacing="0" w:line="460" w:lineRule="exact"/>
        <w:ind w:firstLine="482" w:firstLineChars="200"/>
        <w:jc w:val="both"/>
        <w:textAlignment w:val="auto"/>
        <w:rPr>
          <w:rFonts w:hint="eastAsia" w:ascii="宋体" w:hAnsi="宋体" w:eastAsia="宋体" w:cs="宋体"/>
          <w:b/>
          <w:bCs w:val="0"/>
          <w:sz w:val="24"/>
          <w:szCs w:val="24"/>
          <w:highlight w:val="none"/>
        </w:rPr>
      </w:pPr>
      <w:r>
        <w:rPr>
          <w:rStyle w:val="10"/>
          <w:rFonts w:hint="eastAsia" w:ascii="宋体" w:hAnsi="宋体" w:eastAsia="宋体" w:cs="宋体"/>
          <w:b/>
          <w:bCs w:val="0"/>
          <w:sz w:val="24"/>
          <w:szCs w:val="24"/>
          <w:highlight w:val="none"/>
        </w:rPr>
        <w:t>★（</w:t>
      </w:r>
      <w:r>
        <w:rPr>
          <w:rStyle w:val="10"/>
          <w:rFonts w:hint="eastAsia" w:ascii="宋体" w:hAnsi="宋体" w:cs="宋体"/>
          <w:b/>
          <w:bCs w:val="0"/>
          <w:sz w:val="24"/>
          <w:szCs w:val="24"/>
          <w:highlight w:val="none"/>
          <w:lang w:val="en-US" w:eastAsia="zh-CN"/>
        </w:rPr>
        <w:t>十一</w:t>
      </w:r>
      <w:r>
        <w:rPr>
          <w:rStyle w:val="10"/>
          <w:rFonts w:hint="eastAsia" w:ascii="宋体" w:hAnsi="宋体" w:eastAsia="宋体" w:cs="宋体"/>
          <w:b/>
          <w:bCs w:val="0"/>
          <w:sz w:val="24"/>
          <w:szCs w:val="24"/>
          <w:highlight w:val="none"/>
        </w:rPr>
        <w:t>）</w:t>
      </w:r>
      <w:r>
        <w:rPr>
          <w:rFonts w:hint="eastAsia" w:ascii="宋体" w:hAnsi="宋体" w:eastAsia="宋体" w:cs="宋体"/>
          <w:b/>
          <w:bCs w:val="0"/>
          <w:sz w:val="24"/>
          <w:szCs w:val="24"/>
          <w:highlight w:val="none"/>
          <w:lang w:eastAsia="zh-CN"/>
        </w:rPr>
        <w:t>违约责任</w:t>
      </w:r>
    </w:p>
    <w:p>
      <w:pPr>
        <w:pStyle w:val="6"/>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460" w:lineRule="exact"/>
        <w:ind w:left="165" w:right="0" w:firstLine="480" w:firstLineChars="200"/>
        <w:jc w:val="both"/>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shd w:val="clear" w:color="auto" w:fill="FFFFFF"/>
        </w:rPr>
        <w:t>1、中标后无正当理由拒不与采购人签订政府采购合同或未按照本招标文件确定的事项签订政府采购合同，没收投标保证金，给采购人造成损失的，中标人还需另行支付相应的赔偿。</w:t>
      </w:r>
    </w:p>
    <w:p>
      <w:pPr>
        <w:pStyle w:val="6"/>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460" w:lineRule="exact"/>
        <w:ind w:left="165" w:right="0" w:firstLine="480" w:firstLineChars="200"/>
        <w:jc w:val="both"/>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shd w:val="clear" w:color="auto" w:fill="FFFFFF"/>
        </w:rPr>
        <w:t>2、在签定政府采购合同之后，中标人要求解除合同的，采购人有权没收履约保证金，给采购人造成损失的，中标人需另行支付相应的赔偿。</w:t>
      </w:r>
    </w:p>
    <w:p>
      <w:pPr>
        <w:pStyle w:val="6"/>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460" w:lineRule="exact"/>
        <w:ind w:left="165" w:right="0" w:firstLine="480" w:firstLineChars="200"/>
        <w:jc w:val="both"/>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shd w:val="clear" w:color="auto" w:fill="FFFFFF"/>
        </w:rPr>
        <w:t>3、因中标人原因发生重大质量事故，自行承担赔偿责任。同时，采购人有权没收履约保证金，立即单方解除政府采购合同，并报相关行政主管部门对中标人依法进行处罚。</w:t>
      </w:r>
    </w:p>
    <w:p>
      <w:pPr>
        <w:pStyle w:val="6"/>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460" w:lineRule="exact"/>
        <w:ind w:left="165" w:right="0" w:firstLine="480" w:firstLineChars="200"/>
        <w:jc w:val="both"/>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shd w:val="clear" w:color="auto" w:fill="FFFFFF"/>
        </w:rPr>
        <w:t>4、若发生死亡、重伤、重大财产损失等重大责任事故，除按国家有关安全管理规定及招标人有关安全管理办法执行外，给招标人（采购人）造成损失的，中标人应承担赔偿责任。同时，招标人（采购人）有权没收履约保证金，立即单方解除政府采购合同，并报相关行政主管部门对中标人依法进行处罚。</w:t>
      </w:r>
    </w:p>
    <w:p>
      <w:pPr>
        <w:pStyle w:val="6"/>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460" w:lineRule="exact"/>
        <w:ind w:left="165" w:right="0" w:firstLine="480" w:firstLineChars="200"/>
        <w:jc w:val="both"/>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shd w:val="clear" w:color="auto" w:fill="FFFFFF"/>
        </w:rPr>
        <w:t>5、</w:t>
      </w:r>
      <w:r>
        <w:rPr>
          <w:rFonts w:hint="eastAsia" w:ascii="宋体" w:hAnsi="宋体" w:cs="宋体"/>
          <w:sz w:val="24"/>
          <w:szCs w:val="24"/>
          <w:highlight w:val="none"/>
          <w:shd w:val="clear" w:color="auto" w:fill="FFFFFF"/>
          <w:lang w:val="en-US" w:eastAsia="zh-CN"/>
        </w:rPr>
        <w:t>中标人</w:t>
      </w:r>
      <w:r>
        <w:rPr>
          <w:rFonts w:hint="eastAsia" w:ascii="宋体" w:hAnsi="宋体" w:eastAsia="宋体" w:cs="宋体"/>
          <w:sz w:val="24"/>
          <w:szCs w:val="24"/>
          <w:highlight w:val="none"/>
          <w:shd w:val="clear" w:color="auto" w:fill="FFFFFF"/>
        </w:rPr>
        <w:t>不得将项目分包或转包，不得将环卫资产用于资金拆借、贷款、抵押融资或者对外担保等。如有发现，采购人有权单方终止政府采购合同，没收其履约保证金，且中标人必须赔偿由此给采购人带来的一切损失。</w:t>
      </w:r>
    </w:p>
    <w:p>
      <w:pPr>
        <w:pStyle w:val="6"/>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460" w:lineRule="exact"/>
        <w:ind w:left="165" w:right="0" w:firstLine="480" w:firstLineChars="200"/>
        <w:jc w:val="both"/>
        <w:textAlignment w:val="auto"/>
        <w:rPr>
          <w:rFonts w:hint="eastAsia" w:ascii="宋体" w:hAnsi="宋体" w:eastAsia="宋体" w:cs="宋体"/>
          <w:sz w:val="24"/>
          <w:szCs w:val="24"/>
          <w:highlight w:val="none"/>
          <w:shd w:val="clear" w:color="auto" w:fill="FFFFFF"/>
        </w:rPr>
      </w:pPr>
      <w:r>
        <w:rPr>
          <w:rFonts w:hint="eastAsia" w:ascii="宋体" w:hAnsi="宋体" w:eastAsia="宋体" w:cs="宋体"/>
          <w:sz w:val="24"/>
          <w:szCs w:val="24"/>
          <w:highlight w:val="none"/>
          <w:shd w:val="clear" w:color="auto" w:fill="FFFFFF"/>
        </w:rPr>
        <w:t>6、中标后，中标人为履行本项目而在我县成立</w:t>
      </w:r>
      <w:r>
        <w:rPr>
          <w:rFonts w:hint="eastAsia" w:ascii="宋体" w:hAnsi="宋体" w:cs="宋体"/>
          <w:sz w:val="24"/>
          <w:szCs w:val="24"/>
          <w:highlight w:val="none"/>
          <w:shd w:val="clear" w:color="auto" w:fill="FFFFFF"/>
          <w:lang w:eastAsia="zh-CN"/>
        </w:rPr>
        <w:t>中标人企业宁化分公司</w:t>
      </w:r>
      <w:r>
        <w:rPr>
          <w:rFonts w:hint="eastAsia" w:ascii="宋体" w:hAnsi="宋体" w:eastAsia="宋体" w:cs="宋体"/>
          <w:sz w:val="24"/>
          <w:szCs w:val="24"/>
          <w:highlight w:val="none"/>
          <w:shd w:val="clear" w:color="auto" w:fill="FFFFFF"/>
        </w:rPr>
        <w:t>，可以代替中标人履行政府采购合同，享有中标人的权利，履行中标人的义务。但中标人须对</w:t>
      </w:r>
      <w:r>
        <w:rPr>
          <w:rFonts w:hint="eastAsia" w:ascii="宋体" w:hAnsi="宋体" w:cs="宋体"/>
          <w:sz w:val="24"/>
          <w:szCs w:val="24"/>
          <w:highlight w:val="none"/>
          <w:shd w:val="clear" w:color="auto" w:fill="FFFFFF"/>
          <w:lang w:eastAsia="zh-CN"/>
        </w:rPr>
        <w:t>中标人企业宁化分公司</w:t>
      </w:r>
      <w:r>
        <w:rPr>
          <w:rFonts w:hint="eastAsia" w:ascii="宋体" w:hAnsi="宋体" w:eastAsia="宋体" w:cs="宋体"/>
          <w:sz w:val="24"/>
          <w:szCs w:val="24"/>
          <w:highlight w:val="none"/>
          <w:shd w:val="clear" w:color="auto" w:fill="FFFFFF"/>
        </w:rPr>
        <w:t>的债务责任承担</w:t>
      </w:r>
      <w:r>
        <w:rPr>
          <w:rFonts w:hint="eastAsia" w:ascii="宋体" w:hAnsi="宋体" w:cs="宋体"/>
          <w:sz w:val="24"/>
          <w:szCs w:val="24"/>
          <w:highlight w:val="none"/>
          <w:shd w:val="clear" w:color="auto" w:fill="FFFFFF"/>
          <w:lang w:eastAsia="zh-CN"/>
        </w:rPr>
        <w:t>全部</w:t>
      </w:r>
      <w:r>
        <w:rPr>
          <w:rFonts w:hint="eastAsia" w:ascii="宋体" w:hAnsi="宋体" w:eastAsia="宋体" w:cs="宋体"/>
          <w:sz w:val="24"/>
          <w:szCs w:val="24"/>
          <w:highlight w:val="none"/>
          <w:shd w:val="clear" w:color="auto" w:fill="FFFFFF"/>
        </w:rPr>
        <w:t>责任。</w:t>
      </w:r>
    </w:p>
    <w:p>
      <w:pPr>
        <w:pStyle w:val="6"/>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460" w:lineRule="exact"/>
        <w:ind w:left="165" w:right="0" w:firstLine="480" w:firstLineChars="200"/>
        <w:jc w:val="both"/>
        <w:textAlignment w:val="auto"/>
        <w:rPr>
          <w:rFonts w:hint="eastAsia" w:ascii="宋体" w:hAnsi="宋体" w:eastAsia="宋体" w:cs="宋体"/>
          <w:sz w:val="24"/>
          <w:szCs w:val="24"/>
          <w:highlight w:val="none"/>
          <w:shd w:val="clear" w:color="auto" w:fill="FFFFFF"/>
        </w:rPr>
      </w:pPr>
      <w:r>
        <w:rPr>
          <w:rFonts w:hint="eastAsia" w:ascii="宋体" w:hAnsi="宋体" w:eastAsia="宋体" w:cs="宋体"/>
          <w:sz w:val="24"/>
          <w:szCs w:val="24"/>
          <w:highlight w:val="none"/>
          <w:shd w:val="clear" w:color="auto" w:fill="FFFFFF"/>
        </w:rPr>
        <w:t>7、在明确违约责任后，中标人应在接到书面通知书起七天内支付违约金、赔偿金等。</w:t>
      </w:r>
    </w:p>
    <w:p>
      <w:pPr>
        <w:pStyle w:val="6"/>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460" w:lineRule="exact"/>
        <w:ind w:left="165" w:right="0" w:firstLine="480" w:firstLineChars="200"/>
        <w:jc w:val="both"/>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shd w:val="clear" w:color="auto" w:fill="FFFFFF"/>
        </w:rPr>
        <w:t>8、本招标文件中由采购网后台自主生成的合同条款仅作为参考，正式的合同需由中标人与采购人共同沟通确认后按招标文件的要求及中标人的响应情况拟定详细条款后双方盖章签订。</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482" w:leftChars="0" w:right="0" w:hanging="482" w:hangingChars="200"/>
        <w:jc w:val="both"/>
        <w:textAlignment w:val="auto"/>
        <w:rPr>
          <w:rStyle w:val="10"/>
          <w:rFonts w:hint="eastAsia" w:ascii="宋体" w:hAnsi="宋体" w:eastAsia="宋体" w:cs="宋体"/>
          <w:b w:val="0"/>
          <w:bCs w:val="0"/>
          <w:spacing w:val="0"/>
          <w:sz w:val="24"/>
          <w:szCs w:val="24"/>
          <w:highlight w:val="none"/>
        </w:rPr>
      </w:pPr>
      <w:r>
        <w:rPr>
          <w:rFonts w:hint="eastAsia" w:ascii="宋体" w:hAnsi="宋体" w:eastAsia="宋体" w:cs="宋体"/>
          <w:b/>
          <w:bCs/>
          <w:spacing w:val="0"/>
          <w:sz w:val="24"/>
          <w:szCs w:val="24"/>
          <w:highlight w:val="none"/>
        </w:rPr>
        <w:t>三、商务条件</w:t>
      </w:r>
      <w:r>
        <w:rPr>
          <w:rStyle w:val="10"/>
          <w:rFonts w:hint="eastAsia" w:ascii="宋体" w:hAnsi="宋体" w:eastAsia="宋体" w:cs="宋体"/>
          <w:b/>
          <w:bCs/>
          <w:spacing w:val="0"/>
          <w:sz w:val="24"/>
          <w:szCs w:val="24"/>
          <w:highlight w:val="none"/>
        </w:rPr>
        <w:t>（以“★”标示的内容为不允许负偏离的实质性要求）</w:t>
      </w:r>
      <w:r>
        <w:rPr>
          <w:rStyle w:val="10"/>
          <w:rFonts w:hint="eastAsia" w:ascii="宋体" w:hAnsi="宋体" w:eastAsia="宋体" w:cs="宋体"/>
          <w:b w:val="0"/>
          <w:bCs w:val="0"/>
          <w:spacing w:val="0"/>
          <w:sz w:val="24"/>
          <w:szCs w:val="24"/>
          <w:highlight w:val="none"/>
        </w:rPr>
        <w:br w:type="textWrapping"/>
      </w:r>
      <w:r>
        <w:rPr>
          <w:rStyle w:val="10"/>
          <w:rFonts w:hint="eastAsia" w:ascii="宋体" w:hAnsi="宋体" w:eastAsia="宋体" w:cs="宋体"/>
          <w:b/>
          <w:bCs/>
          <w:spacing w:val="0"/>
          <w:sz w:val="24"/>
          <w:szCs w:val="24"/>
          <w:highlight w:val="none"/>
        </w:rPr>
        <w:t>1、交付地点：</w:t>
      </w:r>
      <w:r>
        <w:rPr>
          <w:rStyle w:val="10"/>
          <w:rFonts w:hint="eastAsia" w:ascii="宋体" w:hAnsi="宋体" w:cs="宋体"/>
          <w:b w:val="0"/>
          <w:bCs w:val="0"/>
          <w:spacing w:val="0"/>
          <w:sz w:val="24"/>
          <w:szCs w:val="24"/>
          <w:highlight w:val="none"/>
          <w:lang w:eastAsia="zh-CN"/>
        </w:rPr>
        <w:t>宁化县城区作业服务区域内。</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479" w:leftChars="228" w:right="0" w:firstLine="0" w:firstLineChars="0"/>
        <w:jc w:val="both"/>
        <w:textAlignment w:val="auto"/>
        <w:rPr>
          <w:rFonts w:hint="eastAsia" w:ascii="宋体" w:hAnsi="宋体" w:eastAsia="宋体" w:cs="宋体"/>
          <w:b w:val="0"/>
          <w:bCs w:val="0"/>
          <w:sz w:val="24"/>
          <w:szCs w:val="24"/>
          <w:highlight w:val="none"/>
          <w:lang w:val="en-US" w:eastAsia="zh-CN"/>
        </w:rPr>
      </w:pPr>
      <w:r>
        <w:rPr>
          <w:rStyle w:val="10"/>
          <w:rFonts w:hint="eastAsia" w:ascii="宋体" w:hAnsi="宋体" w:eastAsia="宋体" w:cs="宋体"/>
          <w:b/>
          <w:bCs/>
          <w:spacing w:val="0"/>
          <w:sz w:val="24"/>
          <w:szCs w:val="24"/>
          <w:highlight w:val="none"/>
        </w:rPr>
        <w:t>2、交付时间：</w:t>
      </w:r>
      <w:r>
        <w:rPr>
          <w:rFonts w:hint="eastAsia" w:ascii="宋体" w:hAnsi="宋体" w:eastAsia="宋体" w:cs="宋体"/>
          <w:b w:val="0"/>
          <w:bCs w:val="0"/>
          <w:sz w:val="24"/>
          <w:szCs w:val="24"/>
          <w:highlight w:val="none"/>
        </w:rPr>
        <w:t>从合同实施之日起</w:t>
      </w:r>
      <w:r>
        <w:rPr>
          <w:rFonts w:hint="eastAsia" w:ascii="宋体" w:hAnsi="宋体" w:cs="宋体"/>
          <w:b w:val="0"/>
          <w:bCs w:val="0"/>
          <w:sz w:val="24"/>
          <w:szCs w:val="24"/>
          <w:highlight w:val="none"/>
          <w:lang w:eastAsia="zh-CN"/>
        </w:rPr>
        <w:t>，具体详见招标文件。</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right="0" w:firstLine="482" w:firstLineChars="200"/>
        <w:jc w:val="both"/>
        <w:textAlignment w:val="auto"/>
        <w:rPr>
          <w:rStyle w:val="10"/>
          <w:rFonts w:hint="eastAsia" w:ascii="宋体" w:hAnsi="宋体" w:eastAsia="宋体" w:cs="宋体"/>
          <w:b w:val="0"/>
          <w:bCs w:val="0"/>
          <w:spacing w:val="0"/>
          <w:sz w:val="24"/>
          <w:szCs w:val="24"/>
          <w:highlight w:val="none"/>
          <w:lang w:eastAsia="zh-CN"/>
        </w:rPr>
      </w:pPr>
      <w:r>
        <w:rPr>
          <w:rStyle w:val="10"/>
          <w:rFonts w:hint="eastAsia" w:ascii="宋体" w:hAnsi="宋体" w:cs="宋体"/>
          <w:b/>
          <w:bCs/>
          <w:spacing w:val="0"/>
          <w:sz w:val="24"/>
          <w:szCs w:val="24"/>
          <w:highlight w:val="none"/>
          <w:lang w:val="en-US" w:eastAsia="zh-CN"/>
        </w:rPr>
        <w:t>3、</w:t>
      </w:r>
      <w:r>
        <w:rPr>
          <w:rStyle w:val="10"/>
          <w:rFonts w:hint="eastAsia" w:ascii="宋体" w:hAnsi="宋体" w:eastAsia="宋体" w:cs="宋体"/>
          <w:b/>
          <w:bCs/>
          <w:spacing w:val="0"/>
          <w:sz w:val="24"/>
          <w:szCs w:val="24"/>
          <w:highlight w:val="none"/>
        </w:rPr>
        <w:t>交付条件：</w:t>
      </w:r>
      <w:r>
        <w:rPr>
          <w:rStyle w:val="10"/>
          <w:rFonts w:hint="eastAsia" w:ascii="宋体" w:hAnsi="宋体" w:cs="宋体"/>
          <w:b w:val="0"/>
          <w:bCs w:val="0"/>
          <w:spacing w:val="0"/>
          <w:sz w:val="24"/>
          <w:szCs w:val="24"/>
          <w:highlight w:val="none"/>
          <w:lang w:eastAsia="zh-CN"/>
        </w:rPr>
        <w:t>交付验收合格</w:t>
      </w:r>
      <w:r>
        <w:rPr>
          <w:rStyle w:val="10"/>
          <w:rFonts w:hint="eastAsia" w:ascii="宋体" w:hAnsi="宋体" w:eastAsia="宋体" w:cs="宋体"/>
          <w:b w:val="0"/>
          <w:bCs w:val="0"/>
          <w:spacing w:val="0"/>
          <w:sz w:val="24"/>
          <w:szCs w:val="24"/>
          <w:highlight w:val="none"/>
          <w:lang w:eastAsia="zh-CN"/>
        </w:rPr>
        <w:t>。</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right="0" w:firstLine="482" w:firstLineChars="200"/>
        <w:jc w:val="both"/>
        <w:textAlignment w:val="auto"/>
        <w:rPr>
          <w:rStyle w:val="10"/>
          <w:rFonts w:hint="eastAsia" w:ascii="宋体" w:hAnsi="宋体" w:eastAsia="宋体" w:cs="宋体"/>
          <w:b w:val="0"/>
          <w:bCs w:val="0"/>
          <w:color w:val="000000"/>
          <w:spacing w:val="0"/>
          <w:sz w:val="24"/>
          <w:szCs w:val="24"/>
          <w:highlight w:val="none"/>
        </w:rPr>
      </w:pPr>
      <w:r>
        <w:rPr>
          <w:rStyle w:val="10"/>
          <w:rFonts w:hint="eastAsia" w:ascii="宋体" w:hAnsi="宋体" w:eastAsia="宋体" w:cs="宋体"/>
          <w:b/>
          <w:bCs/>
          <w:color w:val="000000"/>
          <w:spacing w:val="0"/>
          <w:sz w:val="24"/>
          <w:szCs w:val="24"/>
          <w:highlight w:val="none"/>
        </w:rPr>
        <w:t xml:space="preserve">4、是否收取履约保证金： </w:t>
      </w:r>
      <w:r>
        <w:rPr>
          <w:rStyle w:val="10"/>
          <w:rFonts w:hint="eastAsia" w:ascii="宋体" w:hAnsi="宋体" w:eastAsia="宋体" w:cs="宋体"/>
          <w:b w:val="0"/>
          <w:bCs w:val="0"/>
          <w:color w:val="000000"/>
          <w:spacing w:val="0"/>
          <w:sz w:val="24"/>
          <w:szCs w:val="24"/>
          <w:highlight w:val="none"/>
        </w:rPr>
        <w:t>是。履约保证金百分比：</w:t>
      </w:r>
      <w:r>
        <w:rPr>
          <w:rStyle w:val="10"/>
          <w:rFonts w:hint="eastAsia" w:ascii="宋体" w:hAnsi="宋体" w:eastAsia="宋体" w:cs="宋体"/>
          <w:b w:val="0"/>
          <w:bCs w:val="0"/>
          <w:color w:val="000000"/>
          <w:spacing w:val="0"/>
          <w:sz w:val="24"/>
          <w:szCs w:val="24"/>
          <w:highlight w:val="none"/>
          <w:lang w:val="en-US" w:eastAsia="zh-CN"/>
        </w:rPr>
        <w:t>2</w:t>
      </w:r>
      <w:r>
        <w:rPr>
          <w:rStyle w:val="10"/>
          <w:rFonts w:hint="eastAsia" w:ascii="宋体" w:hAnsi="宋体" w:eastAsia="宋体" w:cs="宋体"/>
          <w:b w:val="0"/>
          <w:bCs w:val="0"/>
          <w:color w:val="000000"/>
          <w:spacing w:val="0"/>
          <w:sz w:val="24"/>
          <w:szCs w:val="24"/>
          <w:highlight w:val="none"/>
        </w:rPr>
        <w:t>%。说明：中标人在签订政府采购合同前三日内应向采购人缴纳</w:t>
      </w:r>
      <w:r>
        <w:rPr>
          <w:rStyle w:val="10"/>
          <w:rFonts w:hint="eastAsia" w:ascii="宋体" w:hAnsi="宋体" w:eastAsia="宋体" w:cs="宋体"/>
          <w:b w:val="0"/>
          <w:bCs w:val="0"/>
          <w:color w:val="000000"/>
          <w:spacing w:val="0"/>
          <w:sz w:val="24"/>
          <w:szCs w:val="24"/>
          <w:highlight w:val="none"/>
          <w:lang w:eastAsia="zh-CN"/>
        </w:rPr>
        <w:t>九</w:t>
      </w:r>
      <w:r>
        <w:rPr>
          <w:rStyle w:val="10"/>
          <w:rFonts w:hint="eastAsia" w:ascii="宋体" w:hAnsi="宋体" w:eastAsia="宋体" w:cs="宋体"/>
          <w:b w:val="0"/>
          <w:bCs w:val="0"/>
          <w:color w:val="000000"/>
          <w:spacing w:val="0"/>
          <w:sz w:val="24"/>
          <w:szCs w:val="24"/>
          <w:highlight w:val="none"/>
        </w:rPr>
        <w:t>年合同总金额</w:t>
      </w:r>
      <w:r>
        <w:rPr>
          <w:rStyle w:val="10"/>
          <w:rFonts w:hint="eastAsia" w:ascii="宋体" w:hAnsi="宋体" w:eastAsia="宋体" w:cs="宋体"/>
          <w:b w:val="0"/>
          <w:bCs w:val="0"/>
          <w:color w:val="000000"/>
          <w:spacing w:val="0"/>
          <w:sz w:val="24"/>
          <w:szCs w:val="24"/>
          <w:highlight w:val="none"/>
          <w:lang w:val="en-US" w:eastAsia="zh-CN"/>
        </w:rPr>
        <w:t>2</w:t>
      </w:r>
      <w:r>
        <w:rPr>
          <w:rStyle w:val="10"/>
          <w:rFonts w:hint="eastAsia" w:ascii="宋体" w:hAnsi="宋体" w:eastAsia="宋体" w:cs="宋体"/>
          <w:b w:val="0"/>
          <w:bCs w:val="0"/>
          <w:color w:val="000000"/>
          <w:spacing w:val="0"/>
          <w:sz w:val="24"/>
          <w:szCs w:val="24"/>
          <w:highlight w:val="none"/>
        </w:rPr>
        <w:t>%的履约保证金。在机械设备、人员均到位且在合同履行6个月后，经考核合格无息退还50%，合同期满，履约正常，无违约行为，全额无息退还余款。</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479" w:leftChars="228" w:right="0" w:firstLine="0" w:firstLineChars="0"/>
        <w:jc w:val="both"/>
        <w:textAlignment w:val="auto"/>
        <w:rPr>
          <w:rFonts w:hint="eastAsia" w:ascii="宋体" w:hAnsi="宋体" w:eastAsia="宋体" w:cs="宋体"/>
          <w:b/>
          <w:bCs/>
          <w:sz w:val="24"/>
          <w:szCs w:val="24"/>
          <w:highlight w:val="none"/>
        </w:rPr>
      </w:pPr>
      <w:r>
        <w:rPr>
          <w:rStyle w:val="10"/>
          <w:rFonts w:hint="eastAsia" w:ascii="宋体" w:hAnsi="宋体" w:eastAsia="宋体" w:cs="宋体"/>
          <w:b/>
          <w:bCs/>
          <w:spacing w:val="0"/>
          <w:sz w:val="24"/>
          <w:szCs w:val="24"/>
          <w:highlight w:val="none"/>
        </w:rPr>
        <w:t>5、是否邀请投标人参与验收：</w:t>
      </w:r>
      <w:r>
        <w:rPr>
          <w:rStyle w:val="10"/>
          <w:rFonts w:hint="eastAsia" w:ascii="宋体" w:hAnsi="宋体" w:cs="宋体"/>
          <w:b w:val="0"/>
          <w:bCs w:val="0"/>
          <w:spacing w:val="0"/>
          <w:sz w:val="24"/>
          <w:szCs w:val="24"/>
          <w:highlight w:val="none"/>
          <w:lang w:eastAsia="zh-CN"/>
        </w:rPr>
        <w:t>否。</w:t>
      </w:r>
      <w:r>
        <w:rPr>
          <w:rStyle w:val="10"/>
          <w:rFonts w:hint="eastAsia" w:ascii="宋体" w:hAnsi="宋体" w:eastAsia="宋体" w:cs="宋体"/>
          <w:b w:val="0"/>
          <w:bCs w:val="0"/>
          <w:spacing w:val="0"/>
          <w:sz w:val="24"/>
          <w:szCs w:val="24"/>
          <w:highlight w:val="none"/>
        </w:rPr>
        <w:br w:type="textWrapping"/>
      </w:r>
      <w:r>
        <w:rPr>
          <w:rStyle w:val="10"/>
          <w:rFonts w:hint="eastAsia" w:ascii="宋体" w:hAnsi="宋体" w:eastAsia="宋体" w:cs="宋体"/>
          <w:b/>
          <w:bCs/>
          <w:spacing w:val="0"/>
          <w:sz w:val="24"/>
          <w:szCs w:val="24"/>
          <w:highlight w:val="none"/>
        </w:rPr>
        <w:t xml:space="preserve">6、验收方式数据表格 </w:t>
      </w:r>
    </w:p>
    <w:tbl>
      <w:tblPr>
        <w:tblStyle w:val="7"/>
        <w:tblW w:w="8336" w:type="dxa"/>
        <w:tblCellSpacing w:w="0"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667"/>
        <w:gridCol w:w="66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Header/>
          <w:tblCellSpacing w:w="0" w:type="dxa"/>
        </w:trPr>
        <w:tc>
          <w:tcPr>
            <w:tcW w:w="166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firstLine="480" w:firstLineChars="200"/>
              <w:jc w:val="both"/>
              <w:textAlignment w:val="auto"/>
              <w:rPr>
                <w:rFonts w:hint="eastAsia" w:ascii="宋体" w:hAnsi="宋体" w:eastAsia="宋体" w:cs="宋体"/>
                <w:b w:val="0"/>
                <w:bCs w:val="0"/>
                <w:sz w:val="24"/>
                <w:szCs w:val="24"/>
                <w:highlight w:val="none"/>
              </w:rPr>
            </w:pPr>
            <w:r>
              <w:rPr>
                <w:rFonts w:hint="eastAsia" w:ascii="宋体" w:hAnsi="宋体" w:eastAsia="宋体" w:cs="宋体"/>
                <w:b w:val="0"/>
                <w:bCs w:val="0"/>
                <w:kern w:val="0"/>
                <w:sz w:val="24"/>
                <w:szCs w:val="24"/>
                <w:highlight w:val="none"/>
                <w:lang w:val="en-US" w:eastAsia="zh-CN" w:bidi="ar"/>
              </w:rPr>
              <w:t>验收期次</w:t>
            </w:r>
          </w:p>
        </w:tc>
        <w:tc>
          <w:tcPr>
            <w:tcW w:w="666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firstLine="480" w:firstLineChars="200"/>
              <w:jc w:val="both"/>
              <w:textAlignment w:val="auto"/>
              <w:rPr>
                <w:rFonts w:hint="eastAsia" w:ascii="宋体" w:hAnsi="宋体" w:eastAsia="宋体" w:cs="宋体"/>
                <w:b w:val="0"/>
                <w:bCs w:val="0"/>
                <w:sz w:val="24"/>
                <w:szCs w:val="24"/>
                <w:highlight w:val="none"/>
              </w:rPr>
            </w:pPr>
            <w:r>
              <w:rPr>
                <w:rFonts w:hint="eastAsia" w:ascii="宋体" w:hAnsi="宋体" w:eastAsia="宋体" w:cs="宋体"/>
                <w:b w:val="0"/>
                <w:bCs w:val="0"/>
                <w:kern w:val="0"/>
                <w:sz w:val="24"/>
                <w:szCs w:val="24"/>
                <w:highlight w:val="none"/>
                <w:lang w:val="en-US" w:eastAsia="zh-CN" w:bidi="ar"/>
              </w:rPr>
              <w:t>验收期次说明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166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firstLine="480" w:firstLineChars="200"/>
              <w:jc w:val="both"/>
              <w:textAlignment w:val="auto"/>
              <w:rPr>
                <w:rFonts w:hint="eastAsia" w:ascii="宋体" w:hAnsi="宋体" w:eastAsia="宋体" w:cs="宋体"/>
                <w:b w:val="0"/>
                <w:bCs w:val="0"/>
                <w:sz w:val="24"/>
                <w:szCs w:val="24"/>
                <w:highlight w:val="none"/>
              </w:rPr>
            </w:pPr>
            <w:r>
              <w:rPr>
                <w:rFonts w:hint="eastAsia" w:ascii="宋体" w:hAnsi="宋体" w:eastAsia="宋体" w:cs="宋体"/>
                <w:b w:val="0"/>
                <w:bCs w:val="0"/>
                <w:kern w:val="0"/>
                <w:sz w:val="24"/>
                <w:szCs w:val="24"/>
                <w:highlight w:val="none"/>
                <w:lang w:val="en-US" w:eastAsia="zh-CN" w:bidi="ar"/>
              </w:rPr>
              <w:t>1</w:t>
            </w:r>
          </w:p>
        </w:tc>
        <w:tc>
          <w:tcPr>
            <w:tcW w:w="666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auto"/>
              <w:rPr>
                <w:rFonts w:hint="default" w:ascii="宋体" w:hAnsi="宋体" w:eastAsia="宋体" w:cs="宋体"/>
                <w:b w:val="0"/>
                <w:bCs w:val="0"/>
                <w:sz w:val="24"/>
                <w:szCs w:val="24"/>
                <w:highlight w:val="none"/>
                <w:lang w:val="en-US" w:eastAsia="zh-CN"/>
              </w:rPr>
            </w:pPr>
            <w:r>
              <w:rPr>
                <w:rFonts w:hint="eastAsia" w:ascii="宋体" w:hAnsi="宋体" w:cs="宋体"/>
                <w:sz w:val="24"/>
                <w:szCs w:val="24"/>
                <w:highlight w:val="none"/>
                <w:shd w:val="clear" w:color="auto" w:fill="FFFFFF"/>
                <w:lang w:val="en-US" w:eastAsia="zh-CN"/>
              </w:rPr>
              <w:t>按招标文件</w:t>
            </w:r>
            <w:r>
              <w:rPr>
                <w:rFonts w:hint="eastAsia" w:ascii="宋体" w:hAnsi="宋体" w:eastAsia="宋体" w:cs="宋体"/>
                <w:sz w:val="24"/>
                <w:szCs w:val="24"/>
                <w:highlight w:val="none"/>
                <w:shd w:val="clear" w:color="auto" w:fill="FFFFFF"/>
              </w:rPr>
              <w:t>考评实施办法和考核评分标准</w:t>
            </w:r>
            <w:r>
              <w:rPr>
                <w:rFonts w:hint="eastAsia" w:ascii="宋体" w:hAnsi="宋体" w:cs="宋体"/>
                <w:sz w:val="24"/>
                <w:szCs w:val="24"/>
                <w:highlight w:val="none"/>
                <w:shd w:val="clear" w:color="auto" w:fill="FFFFFF"/>
                <w:lang w:val="en-US" w:eastAsia="zh-CN"/>
              </w:rPr>
              <w:t>进行验收。</w:t>
            </w:r>
          </w:p>
        </w:tc>
      </w:tr>
    </w:tbl>
    <w:p>
      <w:pPr>
        <w:pStyle w:val="6"/>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60" w:lineRule="exact"/>
        <w:ind w:left="0" w:right="0" w:firstLine="480" w:firstLineChars="200"/>
        <w:jc w:val="both"/>
        <w:textAlignment w:val="auto"/>
        <w:rPr>
          <w:rFonts w:hint="eastAsia" w:ascii="宋体" w:hAnsi="宋体" w:eastAsia="宋体" w:cs="宋体"/>
          <w:b w:val="0"/>
          <w:bCs w:val="0"/>
          <w:sz w:val="24"/>
          <w:szCs w:val="24"/>
          <w:highlight w:val="none"/>
        </w:rPr>
      </w:pPr>
      <w:r>
        <w:rPr>
          <w:rStyle w:val="10"/>
          <w:rFonts w:hint="eastAsia" w:ascii="宋体" w:hAnsi="宋体" w:eastAsia="宋体" w:cs="宋体"/>
          <w:b w:val="0"/>
          <w:bCs w:val="0"/>
          <w:sz w:val="24"/>
          <w:szCs w:val="24"/>
          <w:highlight w:val="none"/>
        </w:rPr>
        <w:t xml:space="preserve">7、支付方式数据表格 </w:t>
      </w:r>
    </w:p>
    <w:tbl>
      <w:tblPr>
        <w:tblStyle w:val="7"/>
        <w:tblW w:w="8336" w:type="dxa"/>
        <w:tblCellSpacing w:w="0"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667"/>
        <w:gridCol w:w="1857"/>
        <w:gridCol w:w="4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Header/>
          <w:tblCellSpacing w:w="0" w:type="dxa"/>
        </w:trPr>
        <w:tc>
          <w:tcPr>
            <w:tcW w:w="166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firstLine="480" w:firstLineChars="200"/>
              <w:jc w:val="both"/>
              <w:textAlignment w:val="auto"/>
              <w:rPr>
                <w:rFonts w:hint="eastAsia" w:ascii="宋体" w:hAnsi="宋体" w:eastAsia="宋体" w:cs="宋体"/>
                <w:b w:val="0"/>
                <w:bCs w:val="0"/>
                <w:sz w:val="24"/>
                <w:szCs w:val="24"/>
                <w:highlight w:val="none"/>
              </w:rPr>
            </w:pPr>
            <w:r>
              <w:rPr>
                <w:rFonts w:hint="eastAsia" w:ascii="宋体" w:hAnsi="宋体" w:eastAsia="宋体" w:cs="宋体"/>
                <w:b w:val="0"/>
                <w:bCs w:val="0"/>
                <w:kern w:val="0"/>
                <w:sz w:val="24"/>
                <w:szCs w:val="24"/>
                <w:highlight w:val="none"/>
                <w:lang w:val="en-US" w:eastAsia="zh-CN" w:bidi="ar"/>
              </w:rPr>
              <w:t>支付期次</w:t>
            </w:r>
          </w:p>
        </w:tc>
        <w:tc>
          <w:tcPr>
            <w:tcW w:w="185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firstLine="480" w:firstLineChars="200"/>
              <w:jc w:val="both"/>
              <w:textAlignment w:val="auto"/>
              <w:rPr>
                <w:rFonts w:hint="eastAsia" w:ascii="宋体" w:hAnsi="宋体" w:eastAsia="宋体" w:cs="宋体"/>
                <w:b w:val="0"/>
                <w:bCs w:val="0"/>
                <w:sz w:val="24"/>
                <w:szCs w:val="24"/>
                <w:highlight w:val="none"/>
              </w:rPr>
            </w:pPr>
            <w:r>
              <w:rPr>
                <w:rFonts w:hint="eastAsia" w:ascii="宋体" w:hAnsi="宋体" w:eastAsia="宋体" w:cs="宋体"/>
                <w:b w:val="0"/>
                <w:bCs w:val="0"/>
                <w:kern w:val="0"/>
                <w:sz w:val="24"/>
                <w:szCs w:val="24"/>
                <w:highlight w:val="none"/>
                <w:lang w:val="en-US" w:eastAsia="zh-CN" w:bidi="ar"/>
              </w:rPr>
              <w:t>支付比例(%)</w:t>
            </w:r>
          </w:p>
        </w:tc>
        <w:tc>
          <w:tcPr>
            <w:tcW w:w="48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firstLine="480" w:firstLineChars="200"/>
              <w:jc w:val="both"/>
              <w:textAlignment w:val="auto"/>
              <w:rPr>
                <w:rFonts w:hint="eastAsia" w:ascii="宋体" w:hAnsi="宋体" w:eastAsia="宋体" w:cs="宋体"/>
                <w:b w:val="0"/>
                <w:bCs w:val="0"/>
                <w:sz w:val="24"/>
                <w:szCs w:val="24"/>
                <w:highlight w:val="none"/>
              </w:rPr>
            </w:pPr>
            <w:r>
              <w:rPr>
                <w:rFonts w:hint="eastAsia" w:ascii="宋体" w:hAnsi="宋体" w:eastAsia="宋体" w:cs="宋体"/>
                <w:b w:val="0"/>
                <w:bCs w:val="0"/>
                <w:kern w:val="0"/>
                <w:sz w:val="24"/>
                <w:szCs w:val="24"/>
                <w:highlight w:val="none"/>
                <w:lang w:val="en-US" w:eastAsia="zh-CN" w:bidi="ar"/>
              </w:rPr>
              <w:t>支付期次说明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43" w:hRule="atLeast"/>
          <w:tblCellSpacing w:w="0" w:type="dxa"/>
        </w:trPr>
        <w:tc>
          <w:tcPr>
            <w:tcW w:w="166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firstLine="480" w:firstLineChars="200"/>
              <w:jc w:val="both"/>
              <w:textAlignment w:val="auto"/>
              <w:rPr>
                <w:rFonts w:hint="eastAsia" w:ascii="宋体" w:hAnsi="宋体" w:eastAsia="宋体" w:cs="宋体"/>
                <w:b w:val="0"/>
                <w:bCs w:val="0"/>
                <w:sz w:val="24"/>
                <w:szCs w:val="24"/>
                <w:highlight w:val="none"/>
              </w:rPr>
            </w:pPr>
            <w:r>
              <w:rPr>
                <w:rFonts w:hint="eastAsia" w:ascii="宋体" w:hAnsi="宋体" w:eastAsia="宋体" w:cs="宋体"/>
                <w:b w:val="0"/>
                <w:bCs w:val="0"/>
                <w:kern w:val="0"/>
                <w:sz w:val="24"/>
                <w:szCs w:val="24"/>
                <w:highlight w:val="none"/>
                <w:lang w:val="en-US" w:eastAsia="zh-CN" w:bidi="ar"/>
              </w:rPr>
              <w:t>1</w:t>
            </w:r>
          </w:p>
        </w:tc>
        <w:tc>
          <w:tcPr>
            <w:tcW w:w="185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firstLine="480" w:firstLineChars="200"/>
              <w:jc w:val="both"/>
              <w:textAlignment w:val="auto"/>
              <w:rPr>
                <w:rFonts w:hint="eastAsia" w:ascii="宋体" w:hAnsi="宋体" w:eastAsia="宋体" w:cs="宋体"/>
                <w:b w:val="0"/>
                <w:bCs w:val="0"/>
                <w:sz w:val="24"/>
                <w:szCs w:val="24"/>
                <w:highlight w:val="none"/>
              </w:rPr>
            </w:pPr>
            <w:r>
              <w:rPr>
                <w:rFonts w:hint="eastAsia" w:ascii="宋体" w:hAnsi="宋体" w:eastAsia="宋体" w:cs="宋体"/>
                <w:b w:val="0"/>
                <w:bCs w:val="0"/>
                <w:kern w:val="0"/>
                <w:sz w:val="24"/>
                <w:szCs w:val="24"/>
                <w:highlight w:val="none"/>
                <w:lang w:val="en-US" w:eastAsia="zh-CN" w:bidi="ar"/>
              </w:rPr>
              <w:t>100</w:t>
            </w:r>
          </w:p>
        </w:tc>
        <w:tc>
          <w:tcPr>
            <w:tcW w:w="48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both"/>
              <w:textAlignment w:val="auto"/>
              <w:rPr>
                <w:rFonts w:hint="default" w:ascii="宋体" w:hAnsi="宋体" w:eastAsia="宋体" w:cs="宋体"/>
                <w:b w:val="0"/>
                <w:bCs w:val="0"/>
                <w:sz w:val="24"/>
                <w:szCs w:val="24"/>
                <w:highlight w:val="none"/>
                <w:lang w:val="en-US" w:eastAsia="zh-CN"/>
              </w:rPr>
            </w:pPr>
            <w:r>
              <w:rPr>
                <w:rFonts w:hint="eastAsia" w:ascii="宋体" w:hAnsi="宋体" w:cs="宋体"/>
                <w:b w:val="0"/>
                <w:bCs w:val="0"/>
                <w:sz w:val="24"/>
                <w:szCs w:val="24"/>
                <w:highlight w:val="none"/>
                <w:lang w:val="en-US" w:eastAsia="zh-CN"/>
              </w:rPr>
              <w:t>根据月度考评得分情况，按先作业后支付的方式进行支付。</w:t>
            </w:r>
          </w:p>
        </w:tc>
      </w:tr>
    </w:tbl>
    <w:p>
      <w:pPr>
        <w:pStyle w:val="6"/>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60" w:lineRule="exact"/>
        <w:ind w:right="0" w:firstLine="480" w:firstLineChars="200"/>
        <w:jc w:val="both"/>
        <w:textAlignment w:val="auto"/>
        <w:rPr>
          <w:rFonts w:hint="eastAsia" w:ascii="宋体" w:hAnsi="宋体" w:eastAsia="宋体" w:cs="宋体"/>
          <w:b w:val="0"/>
          <w:bCs w:val="0"/>
          <w:sz w:val="24"/>
          <w:szCs w:val="24"/>
          <w:highlight w:val="none"/>
        </w:rPr>
      </w:pPr>
      <w:r>
        <w:rPr>
          <w:rFonts w:hint="eastAsia" w:ascii="宋体" w:hAnsi="宋体" w:eastAsia="宋体" w:cs="宋体"/>
          <w:b w:val="0"/>
          <w:bCs w:val="0"/>
          <w:spacing w:val="0"/>
          <w:sz w:val="24"/>
          <w:szCs w:val="24"/>
          <w:highlight w:val="none"/>
        </w:rPr>
        <w:t>四、其他事项</w:t>
      </w:r>
    </w:p>
    <w:p>
      <w:pPr>
        <w:pStyle w:val="6"/>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60" w:lineRule="exact"/>
        <w:ind w:left="0" w:right="0" w:firstLine="480" w:firstLineChars="200"/>
        <w:jc w:val="both"/>
        <w:textAlignment w:val="auto"/>
        <w:rPr>
          <w:rFonts w:hint="eastAsia" w:ascii="宋体" w:hAnsi="宋体" w:eastAsia="宋体" w:cs="宋体"/>
          <w:b w:val="0"/>
          <w:bCs w:val="0"/>
          <w:sz w:val="24"/>
          <w:szCs w:val="24"/>
          <w:highlight w:val="none"/>
        </w:rPr>
      </w:pPr>
      <w:r>
        <w:rPr>
          <w:rFonts w:hint="eastAsia" w:ascii="宋体" w:hAnsi="宋体" w:eastAsia="宋体" w:cs="宋体"/>
          <w:b w:val="0"/>
          <w:bCs w:val="0"/>
          <w:spacing w:val="0"/>
          <w:sz w:val="24"/>
          <w:szCs w:val="24"/>
          <w:highlight w:val="none"/>
        </w:rPr>
        <w:t>1、除招标文件另有规定外，若出现有关法律、法规和规章有强制性规定但招标文件未列明的情形，则投标人应按照有关法律、法规和规章强制性规定执行。</w:t>
      </w:r>
    </w:p>
    <w:p>
      <w:pPr>
        <w:pStyle w:val="6"/>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60" w:lineRule="exact"/>
        <w:ind w:left="0" w:right="0" w:firstLine="480" w:firstLineChars="200"/>
        <w:jc w:val="both"/>
        <w:textAlignment w:val="auto"/>
        <w:rPr>
          <w:rFonts w:hint="eastAsia" w:ascii="宋体" w:hAnsi="宋体" w:eastAsia="宋体" w:cs="宋体"/>
          <w:b w:val="0"/>
          <w:bCs w:val="0"/>
          <w:spacing w:val="0"/>
          <w:sz w:val="24"/>
          <w:szCs w:val="24"/>
          <w:highlight w:val="none"/>
        </w:rPr>
      </w:pPr>
      <w:r>
        <w:rPr>
          <w:rFonts w:hint="eastAsia" w:ascii="宋体" w:hAnsi="宋体" w:eastAsia="宋体" w:cs="宋体"/>
          <w:b w:val="0"/>
          <w:bCs w:val="0"/>
          <w:spacing w:val="0"/>
          <w:sz w:val="24"/>
          <w:szCs w:val="24"/>
          <w:highlight w:val="none"/>
        </w:rPr>
        <w:t>2、其他：</w:t>
      </w:r>
    </w:p>
    <w:p>
      <w:pPr>
        <w:pStyle w:val="6"/>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60" w:lineRule="exact"/>
        <w:ind w:left="0" w:right="0" w:firstLine="480" w:firstLineChars="200"/>
        <w:jc w:val="both"/>
        <w:textAlignment w:val="auto"/>
        <w:rPr>
          <w:rFonts w:hint="eastAsia" w:ascii="宋体" w:hAnsi="宋体" w:eastAsia="宋体" w:cs="宋体"/>
          <w:b w:val="0"/>
          <w:bCs w:val="0"/>
          <w:spacing w:val="0"/>
          <w:sz w:val="24"/>
          <w:szCs w:val="24"/>
          <w:highlight w:val="none"/>
        </w:rPr>
      </w:pPr>
    </w:p>
    <w:p>
      <w:pPr>
        <w:pStyle w:val="6"/>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80" w:lineRule="exact"/>
        <w:ind w:left="0" w:right="0" w:firstLine="482" w:firstLineChars="200"/>
        <w:jc w:val="both"/>
        <w:textAlignment w:val="auto"/>
        <w:rPr>
          <w:rFonts w:hint="eastAsia" w:ascii="宋体" w:hAnsi="宋体" w:cs="宋体"/>
          <w:b/>
          <w:bCs/>
          <w:spacing w:val="0"/>
          <w:sz w:val="24"/>
          <w:szCs w:val="24"/>
          <w:highlight w:val="none"/>
          <w:lang w:val="en-US" w:eastAsia="zh-CN"/>
        </w:rPr>
      </w:pPr>
      <w:r>
        <w:rPr>
          <w:rFonts w:hint="eastAsia" w:ascii="宋体" w:hAnsi="宋体" w:cs="宋体"/>
          <w:b/>
          <w:bCs/>
          <w:spacing w:val="0"/>
          <w:sz w:val="24"/>
          <w:szCs w:val="24"/>
          <w:highlight w:val="none"/>
          <w:lang w:val="en-US" w:eastAsia="zh-CN"/>
        </w:rPr>
        <w:t>2.1项目经费调价机制事项</w:t>
      </w:r>
    </w:p>
    <w:p>
      <w:pPr>
        <w:pStyle w:val="6"/>
        <w:keepNext w:val="0"/>
        <w:keepLines w:val="0"/>
        <w:pageBreakBefore w:val="0"/>
        <w:widowControl/>
        <w:numPr>
          <w:ilvl w:val="0"/>
          <w:numId w:val="12"/>
        </w:numPr>
        <w:suppressLineNumbers w:val="0"/>
        <w:kinsoku/>
        <w:wordWrap/>
        <w:overflowPunct/>
        <w:topLinePunct w:val="0"/>
        <w:autoSpaceDE/>
        <w:autoSpaceDN/>
        <w:bidi w:val="0"/>
        <w:adjustRightInd/>
        <w:snapToGrid/>
        <w:spacing w:before="75" w:beforeAutospacing="0" w:after="75" w:afterAutospacing="0" w:line="480" w:lineRule="exact"/>
        <w:ind w:left="0" w:right="0" w:firstLine="480" w:firstLineChars="200"/>
        <w:jc w:val="both"/>
        <w:textAlignment w:val="auto"/>
        <w:rPr>
          <w:rFonts w:hint="eastAsia" w:ascii="宋体" w:hAnsi="宋体" w:cs="宋体"/>
          <w:b w:val="0"/>
          <w:bCs w:val="0"/>
          <w:spacing w:val="0"/>
          <w:sz w:val="24"/>
          <w:szCs w:val="24"/>
          <w:highlight w:val="none"/>
          <w:lang w:val="en-US" w:eastAsia="zh-CN"/>
        </w:rPr>
      </w:pPr>
      <w:r>
        <w:rPr>
          <w:rFonts w:hint="eastAsia" w:ascii="宋体" w:hAnsi="宋体" w:cs="宋体"/>
          <w:b w:val="0"/>
          <w:bCs w:val="0"/>
          <w:spacing w:val="0"/>
          <w:sz w:val="24"/>
          <w:szCs w:val="24"/>
          <w:highlight w:val="none"/>
          <w:lang w:val="en-US" w:eastAsia="zh-CN"/>
        </w:rPr>
        <w:t>项目合同期内，受人口增长、油价及维修成本上涨、消费水平上涨等因素影响，同意每三年按照项目运行服务费用的6%上浮服务经费。</w:t>
      </w:r>
    </w:p>
    <w:p>
      <w:pPr>
        <w:pStyle w:val="6"/>
        <w:keepNext w:val="0"/>
        <w:keepLines w:val="0"/>
        <w:pageBreakBefore w:val="0"/>
        <w:widowControl/>
        <w:numPr>
          <w:ilvl w:val="0"/>
          <w:numId w:val="12"/>
        </w:numPr>
        <w:suppressLineNumbers w:val="0"/>
        <w:kinsoku/>
        <w:wordWrap/>
        <w:overflowPunct/>
        <w:topLinePunct w:val="0"/>
        <w:autoSpaceDE/>
        <w:autoSpaceDN/>
        <w:bidi w:val="0"/>
        <w:adjustRightInd/>
        <w:snapToGrid/>
        <w:spacing w:before="75" w:beforeAutospacing="0" w:after="75" w:afterAutospacing="0" w:line="480" w:lineRule="exact"/>
        <w:ind w:left="0" w:right="0" w:firstLine="480" w:firstLineChars="200"/>
        <w:jc w:val="both"/>
        <w:textAlignment w:val="auto"/>
        <w:rPr>
          <w:rFonts w:hint="eastAsia" w:ascii="宋体" w:hAnsi="宋体" w:cs="宋体"/>
          <w:b w:val="0"/>
          <w:bCs w:val="0"/>
          <w:spacing w:val="0"/>
          <w:sz w:val="24"/>
          <w:szCs w:val="24"/>
          <w:highlight w:val="none"/>
          <w:lang w:val="en-US" w:eastAsia="zh-CN"/>
        </w:rPr>
      </w:pPr>
      <w:r>
        <w:rPr>
          <w:rFonts w:hint="eastAsia" w:ascii="宋体" w:hAnsi="宋体" w:cs="宋体"/>
          <w:b w:val="0"/>
          <w:bCs w:val="0"/>
          <w:spacing w:val="0"/>
          <w:sz w:val="24"/>
          <w:szCs w:val="24"/>
          <w:highlight w:val="none"/>
          <w:lang w:val="en-US" w:eastAsia="zh-CN"/>
        </w:rPr>
        <w:t>因国家政策变化（如最低工资标准、福利待遇补贴标准等政策变化）影响，同意相应调整环卫工人工资福利待遇等相关经费标准，由县城市管理局商财政局、人社局等部门确定后予以追加。</w:t>
      </w:r>
    </w:p>
    <w:p>
      <w:pPr>
        <w:pStyle w:val="6"/>
        <w:keepNext w:val="0"/>
        <w:keepLines w:val="0"/>
        <w:pageBreakBefore w:val="0"/>
        <w:widowControl/>
        <w:numPr>
          <w:ilvl w:val="0"/>
          <w:numId w:val="12"/>
        </w:numPr>
        <w:suppressLineNumbers w:val="0"/>
        <w:kinsoku/>
        <w:wordWrap/>
        <w:overflowPunct/>
        <w:topLinePunct w:val="0"/>
        <w:autoSpaceDE/>
        <w:autoSpaceDN/>
        <w:bidi w:val="0"/>
        <w:adjustRightInd/>
        <w:snapToGrid/>
        <w:spacing w:before="75" w:beforeAutospacing="0" w:after="75" w:afterAutospacing="0" w:line="480" w:lineRule="exact"/>
        <w:ind w:left="0" w:right="0" w:firstLine="480" w:firstLineChars="200"/>
        <w:jc w:val="both"/>
        <w:textAlignment w:val="auto"/>
        <w:rPr>
          <w:rFonts w:hint="eastAsia" w:ascii="宋体" w:hAnsi="宋体" w:cs="宋体"/>
          <w:b w:val="0"/>
          <w:bCs w:val="0"/>
          <w:spacing w:val="0"/>
          <w:sz w:val="24"/>
          <w:szCs w:val="24"/>
          <w:highlight w:val="none"/>
          <w:lang w:val="en-US" w:eastAsia="zh-CN"/>
        </w:rPr>
      </w:pPr>
      <w:r>
        <w:rPr>
          <w:rFonts w:hint="eastAsia" w:ascii="宋体" w:hAnsi="宋体" w:cs="宋体"/>
          <w:b w:val="0"/>
          <w:bCs w:val="0"/>
          <w:spacing w:val="0"/>
          <w:sz w:val="24"/>
          <w:szCs w:val="24"/>
          <w:highlight w:val="none"/>
          <w:lang w:val="en-US" w:eastAsia="zh-CN"/>
        </w:rPr>
        <w:t>在本次城区环卫一体化确定的作业区域外，今后需新建、新增环卫固定基础设施、设备由县政府负责，产权归县政府所有；运行的管理费用由县城市管理局商财政局、人社局等部门和乡（镇）按照实际作业量进行测算增加，项目管理单位相应增加作业人员及设备。</w:t>
      </w:r>
    </w:p>
    <w:p>
      <w:pPr>
        <w:pStyle w:val="6"/>
        <w:keepNext w:val="0"/>
        <w:keepLines w:val="0"/>
        <w:pageBreakBefore w:val="0"/>
        <w:widowControl/>
        <w:numPr>
          <w:ilvl w:val="0"/>
          <w:numId w:val="12"/>
        </w:numPr>
        <w:suppressLineNumbers w:val="0"/>
        <w:kinsoku/>
        <w:wordWrap/>
        <w:overflowPunct/>
        <w:topLinePunct w:val="0"/>
        <w:autoSpaceDE/>
        <w:autoSpaceDN/>
        <w:bidi w:val="0"/>
        <w:adjustRightInd/>
        <w:snapToGrid/>
        <w:spacing w:before="75" w:beforeAutospacing="0" w:after="75" w:afterAutospacing="0" w:line="480" w:lineRule="exact"/>
        <w:ind w:left="0" w:right="0" w:firstLine="480" w:firstLineChars="200"/>
        <w:jc w:val="both"/>
        <w:textAlignment w:val="auto"/>
        <w:rPr>
          <w:rFonts w:hint="eastAsia" w:ascii="宋体" w:hAnsi="宋体" w:cs="宋体"/>
          <w:b w:val="0"/>
          <w:bCs w:val="0"/>
          <w:spacing w:val="0"/>
          <w:sz w:val="24"/>
          <w:szCs w:val="24"/>
          <w:highlight w:val="none"/>
          <w:lang w:val="en-US" w:eastAsia="zh-CN"/>
        </w:rPr>
      </w:pPr>
      <w:r>
        <w:rPr>
          <w:rFonts w:hint="eastAsia" w:ascii="宋体" w:hAnsi="宋体" w:cs="宋体"/>
          <w:b w:val="0"/>
          <w:bCs w:val="0"/>
          <w:spacing w:val="0"/>
          <w:sz w:val="24"/>
          <w:szCs w:val="24"/>
          <w:highlight w:val="none"/>
          <w:lang w:val="en-US" w:eastAsia="zh-CN"/>
        </w:rPr>
        <w:t>在本次城区环卫一体化确定的作业区域内，因城市建设或垃圾分类工作要求需要新建、改建、新增的环卫固定设施、设备（不含垃圾桶等易耗品，下同）由县政府负责，设施设备产权归县政府所有；新建、新增设施、设备运行经费纳入本次一体化项目的费用不另行增加。因城市建设需要拆除、合并环卫固定基础设施、设备及道路施工封闭期间，可能引起的工作量增减问题，其原核定的运行和管理经费不予增减。垃圾桶等易耗品由中标人负责。</w:t>
      </w:r>
    </w:p>
    <w:p>
      <w:pPr>
        <w:keepNext w:val="0"/>
        <w:keepLines w:val="0"/>
        <w:pageBreakBefore w:val="0"/>
        <w:widowControl w:val="0"/>
        <w:suppressLineNumbers w:val="0"/>
        <w:kinsoku/>
        <w:wordWrap/>
        <w:overflowPunct/>
        <w:topLinePunct w:val="0"/>
        <w:autoSpaceDE/>
        <w:autoSpaceDN/>
        <w:bidi w:val="0"/>
        <w:adjustRightInd/>
        <w:snapToGrid/>
        <w:spacing w:before="75" w:beforeAutospacing="0" w:after="75" w:afterAutospacing="0" w:line="480" w:lineRule="exact"/>
        <w:ind w:left="0" w:right="0" w:firstLine="480" w:firstLineChars="200"/>
        <w:jc w:val="both"/>
        <w:textAlignment w:val="auto"/>
        <w:rPr>
          <w:rFonts w:hint="eastAsia" w:ascii="宋体" w:hAnsi="宋体" w:cs="宋体"/>
          <w:sz w:val="24"/>
          <w:szCs w:val="24"/>
          <w:lang w:eastAsia="zh-CN"/>
        </w:rPr>
      </w:pPr>
      <w:r>
        <w:rPr>
          <w:rFonts w:hint="eastAsia" w:ascii="宋体" w:hAnsi="宋体" w:cs="宋体"/>
          <w:b w:val="0"/>
          <w:bCs w:val="0"/>
          <w:spacing w:val="0"/>
          <w:sz w:val="24"/>
          <w:szCs w:val="24"/>
          <w:highlight w:val="none"/>
          <w:lang w:val="en-US" w:eastAsia="zh-CN"/>
        </w:rPr>
        <w:t>2.2 本项目中标人若为</w:t>
      </w:r>
      <w:r>
        <w:rPr>
          <w:rFonts w:hint="eastAsia" w:ascii="宋体" w:hAnsi="宋体" w:eastAsia="宋体" w:cs="宋体"/>
          <w:sz w:val="24"/>
          <w:szCs w:val="24"/>
        </w:rPr>
        <w:t>省外</w:t>
      </w:r>
      <w:r>
        <w:rPr>
          <w:rFonts w:hint="eastAsia" w:ascii="宋体" w:hAnsi="宋体" w:cs="宋体"/>
          <w:sz w:val="24"/>
          <w:szCs w:val="24"/>
          <w:lang w:eastAsia="zh-CN"/>
        </w:rPr>
        <w:t>企业，在中标通知书发布之日起三十个日内，需按照</w:t>
      </w:r>
      <w:r>
        <w:rPr>
          <w:rFonts w:hint="eastAsia" w:ascii="宋体" w:hAnsi="宋体" w:eastAsia="宋体" w:cs="宋体"/>
          <w:sz w:val="24"/>
          <w:szCs w:val="24"/>
        </w:rPr>
        <w:t>福建省城市建设协会关于印发《福建省 环境卫生作业资信等级认定办法》的通知</w:t>
      </w:r>
      <w:r>
        <w:rPr>
          <w:rFonts w:hint="eastAsia" w:ascii="宋体" w:hAnsi="宋体" w:cs="宋体"/>
          <w:sz w:val="24"/>
          <w:szCs w:val="24"/>
          <w:lang w:eastAsia="zh-CN"/>
        </w:rPr>
        <w:t>（</w:t>
      </w:r>
      <w:r>
        <w:rPr>
          <w:rFonts w:hint="eastAsia" w:ascii="宋体" w:hAnsi="宋体" w:eastAsia="宋体" w:cs="宋体"/>
          <w:sz w:val="24"/>
          <w:szCs w:val="24"/>
        </w:rPr>
        <w:t>闽城协环【2015】7号</w:t>
      </w:r>
      <w:r>
        <w:rPr>
          <w:rFonts w:hint="eastAsia" w:ascii="宋体" w:hAnsi="宋体" w:cs="宋体"/>
          <w:sz w:val="24"/>
          <w:szCs w:val="24"/>
          <w:lang w:eastAsia="zh-CN"/>
        </w:rPr>
        <w:t>）相关规定，向有关部门进行</w:t>
      </w:r>
      <w:r>
        <w:rPr>
          <w:rFonts w:hint="eastAsia" w:ascii="宋体" w:hAnsi="宋体" w:eastAsia="宋体" w:cs="宋体"/>
          <w:sz w:val="24"/>
          <w:szCs w:val="24"/>
        </w:rPr>
        <w:t>备案</w:t>
      </w:r>
      <w:r>
        <w:rPr>
          <w:rFonts w:hint="eastAsia" w:ascii="宋体" w:hAnsi="宋体" w:cs="宋体"/>
          <w:sz w:val="24"/>
          <w:szCs w:val="24"/>
          <w:lang w:eastAsia="zh-CN"/>
        </w:rPr>
        <w:t>。</w:t>
      </w:r>
    </w:p>
    <w:p>
      <w:pPr>
        <w:keepNext w:val="0"/>
        <w:keepLines w:val="0"/>
        <w:pageBreakBefore w:val="0"/>
        <w:widowControl w:val="0"/>
        <w:numPr>
          <w:ilvl w:val="0"/>
          <w:numId w:val="13"/>
        </w:numPr>
        <w:suppressLineNumbers w:val="0"/>
        <w:shd w:val="clear" w:color="auto" w:fill="FFFFFF"/>
        <w:kinsoku/>
        <w:wordWrap/>
        <w:overflowPunct/>
        <w:topLinePunct w:val="0"/>
        <w:autoSpaceDE/>
        <w:autoSpaceDN/>
        <w:bidi w:val="0"/>
        <w:adjustRightInd/>
        <w:snapToGrid/>
        <w:spacing w:line="480" w:lineRule="exact"/>
        <w:ind w:right="0" w:rightChars="0" w:firstLine="480" w:firstLineChars="200"/>
        <w:jc w:val="both"/>
        <w:textAlignment w:val="auto"/>
        <w:rPr>
          <w:rFonts w:hint="eastAsia" w:ascii="宋体" w:hAnsi="宋体" w:eastAsia="宋体" w:cs="宋体"/>
          <w:spacing w:val="0"/>
          <w:sz w:val="24"/>
          <w:szCs w:val="24"/>
          <w:highlight w:val="none"/>
        </w:rPr>
      </w:pPr>
      <w:r>
        <w:rPr>
          <w:rFonts w:hint="eastAsia" w:ascii="宋体" w:hAnsi="宋体" w:cs="宋体"/>
          <w:sz w:val="24"/>
          <w:szCs w:val="24"/>
          <w:highlight w:val="none"/>
          <w:shd w:val="clear" w:color="auto" w:fill="FFFFFF"/>
          <w:lang w:val="en-US" w:eastAsia="zh-CN"/>
        </w:rPr>
        <w:t>2.3</w:t>
      </w:r>
      <w:r>
        <w:rPr>
          <w:rFonts w:hint="eastAsia" w:ascii="宋体" w:hAnsi="宋体" w:eastAsia="宋体" w:cs="宋体"/>
          <w:sz w:val="24"/>
          <w:szCs w:val="24"/>
          <w:highlight w:val="none"/>
          <w:shd w:val="clear" w:color="auto" w:fill="FFFFFF"/>
        </w:rPr>
        <w:t>现场考察：</w:t>
      </w:r>
      <w:r>
        <w:rPr>
          <w:rFonts w:hint="eastAsia" w:ascii="宋体" w:hAnsi="宋体" w:eastAsia="宋体" w:cs="宋体"/>
          <w:spacing w:val="0"/>
          <w:sz w:val="24"/>
          <w:szCs w:val="24"/>
          <w:highlight w:val="none"/>
        </w:rPr>
        <w:t>潜在投标人应在递交投标文件前对现场进行现场考察，以便获取有关编制投标文件所涉及现场的资料，对于服务现场、服务条件、服务面积等原因造成费用增加时，各投标人应综合考虑在投标报价内。采购人对投标人现场考察后做出的任何推论、理解和结论均不负责任，踏勘现场所发生的费用及发生的意外均由潜在投标人自行承担。 联系人：</w:t>
      </w:r>
      <w:r>
        <w:rPr>
          <w:rFonts w:hint="eastAsia" w:ascii="宋体" w:hAnsi="宋体" w:eastAsia="宋体" w:cs="宋体"/>
          <w:spacing w:val="0"/>
          <w:sz w:val="24"/>
          <w:szCs w:val="24"/>
          <w:highlight w:val="none"/>
          <w:lang w:val="en-US" w:eastAsia="zh-CN"/>
        </w:rPr>
        <w:t>曹先</w:t>
      </w:r>
      <w:r>
        <w:rPr>
          <w:rFonts w:hint="eastAsia" w:ascii="宋体" w:hAnsi="宋体" w:eastAsia="宋体" w:cs="宋体"/>
          <w:color w:val="auto"/>
          <w:spacing w:val="0"/>
          <w:sz w:val="24"/>
          <w:szCs w:val="24"/>
          <w:highlight w:val="none"/>
          <w:lang w:val="en-US" w:eastAsia="zh-CN"/>
        </w:rPr>
        <w:t>生</w:t>
      </w:r>
      <w:r>
        <w:rPr>
          <w:rFonts w:hint="eastAsia" w:ascii="宋体" w:hAnsi="宋体" w:eastAsia="宋体" w:cs="宋体"/>
          <w:color w:val="auto"/>
          <w:spacing w:val="0"/>
          <w:sz w:val="24"/>
          <w:szCs w:val="24"/>
          <w:highlight w:val="none"/>
        </w:rPr>
        <w:t xml:space="preserve"> 联系电话：</w:t>
      </w:r>
      <w:r>
        <w:rPr>
          <w:rFonts w:hint="eastAsia" w:ascii="宋体" w:hAnsi="宋体" w:eastAsia="宋体" w:cs="宋体"/>
          <w:color w:val="auto"/>
          <w:spacing w:val="0"/>
          <w:sz w:val="24"/>
          <w:szCs w:val="24"/>
          <w:highlight w:val="none"/>
          <w:lang w:val="en-US" w:eastAsia="zh-CN"/>
        </w:rPr>
        <w:t>18950930386</w:t>
      </w:r>
      <w:r>
        <w:rPr>
          <w:rFonts w:hint="eastAsia" w:ascii="宋体" w:hAnsi="宋体" w:cs="宋体"/>
          <w:color w:val="auto"/>
          <w:spacing w:val="0"/>
          <w:sz w:val="24"/>
          <w:szCs w:val="24"/>
          <w:highlight w:val="none"/>
          <w:lang w:val="en-US" w:eastAsia="zh-CN"/>
        </w:rPr>
        <w:t>；</w:t>
      </w:r>
      <w:r>
        <w:rPr>
          <w:rFonts w:hint="eastAsia" w:ascii="宋体" w:hAnsi="宋体" w:eastAsia="宋体" w:cs="宋体"/>
          <w:color w:val="auto"/>
          <w:spacing w:val="0"/>
          <w:sz w:val="24"/>
          <w:szCs w:val="24"/>
          <w:highlight w:val="none"/>
        </w:rPr>
        <w:t>(2)</w:t>
      </w:r>
      <w:r>
        <w:rPr>
          <w:rFonts w:hint="eastAsia" w:ascii="宋体" w:hAnsi="宋体" w:cs="宋体"/>
          <w:color w:val="auto"/>
          <w:spacing w:val="0"/>
          <w:sz w:val="24"/>
          <w:szCs w:val="24"/>
          <w:highlight w:val="none"/>
          <w:lang w:val="en-US" w:eastAsia="zh-CN"/>
        </w:rPr>
        <w:t>时间：</w:t>
      </w:r>
      <w:r>
        <w:rPr>
          <w:rFonts w:hint="eastAsia" w:ascii="宋体" w:hAnsi="宋体" w:cs="宋体"/>
          <w:spacing w:val="0"/>
          <w:sz w:val="24"/>
          <w:szCs w:val="24"/>
          <w:highlight w:val="none"/>
          <w:lang w:val="en-US" w:eastAsia="zh-CN"/>
        </w:rPr>
        <w:t>招标公告发布之日起报名截至时间后三日内</w:t>
      </w:r>
      <w:r>
        <w:rPr>
          <w:rFonts w:hint="eastAsia" w:ascii="宋体" w:hAnsi="宋体" w:eastAsia="宋体" w:cs="宋体"/>
          <w:spacing w:val="0"/>
          <w:sz w:val="24"/>
          <w:szCs w:val="24"/>
          <w:highlight w:val="none"/>
        </w:rPr>
        <w:t>，</w:t>
      </w:r>
      <w:r>
        <w:rPr>
          <w:rFonts w:hint="eastAsia" w:ascii="宋体" w:hAnsi="宋体" w:cs="宋体"/>
          <w:spacing w:val="0"/>
          <w:sz w:val="24"/>
          <w:szCs w:val="24"/>
          <w:highlight w:val="none"/>
          <w:lang w:val="en-US" w:eastAsia="zh-CN"/>
        </w:rPr>
        <w:t>请</w:t>
      </w:r>
      <w:r>
        <w:rPr>
          <w:rFonts w:hint="eastAsia" w:ascii="宋体" w:hAnsi="宋体" w:eastAsia="宋体" w:cs="宋体"/>
          <w:spacing w:val="0"/>
          <w:sz w:val="24"/>
          <w:szCs w:val="24"/>
          <w:highlight w:val="none"/>
        </w:rPr>
        <w:t>各潜在投标人须事先和采购人约定勘查时间后前往实地考察； (3)</w:t>
      </w:r>
      <w:r>
        <w:rPr>
          <w:rFonts w:hint="eastAsia" w:ascii="宋体" w:hAnsi="宋体" w:eastAsia="宋体" w:cs="宋体"/>
          <w:spacing w:val="0"/>
          <w:sz w:val="24"/>
          <w:szCs w:val="24"/>
          <w:highlight w:val="none"/>
          <w:lang w:val="en-US" w:eastAsia="zh-CN"/>
        </w:rPr>
        <w:t>各</w:t>
      </w:r>
      <w:r>
        <w:rPr>
          <w:rFonts w:hint="eastAsia" w:ascii="宋体" w:hAnsi="宋体" w:eastAsia="宋体" w:cs="宋体"/>
          <w:spacing w:val="0"/>
          <w:sz w:val="24"/>
          <w:szCs w:val="24"/>
          <w:highlight w:val="none"/>
        </w:rPr>
        <w:t>潜在投标人进行现场考察时应</w:t>
      </w:r>
      <w:r>
        <w:rPr>
          <w:rFonts w:hint="eastAsia" w:ascii="宋体" w:hAnsi="宋体" w:eastAsia="宋体" w:cs="宋体"/>
          <w:spacing w:val="0"/>
          <w:sz w:val="24"/>
          <w:szCs w:val="24"/>
          <w:highlight w:val="none"/>
          <w:lang w:val="en-US" w:eastAsia="zh-CN"/>
        </w:rPr>
        <w:t>携带单位介绍信原件（须加盖供应商公章）、</w:t>
      </w:r>
      <w:r>
        <w:rPr>
          <w:rFonts w:hint="eastAsia" w:ascii="宋体" w:hAnsi="宋体" w:eastAsia="宋体" w:cs="宋体"/>
          <w:spacing w:val="0"/>
          <w:sz w:val="24"/>
          <w:szCs w:val="24"/>
          <w:highlight w:val="none"/>
        </w:rPr>
        <w:t>营业执照、现场考察确认书（一式叁份）</w:t>
      </w:r>
      <w:r>
        <w:rPr>
          <w:rFonts w:hint="eastAsia" w:ascii="宋体" w:hAnsi="宋体" w:eastAsia="宋体" w:cs="宋体"/>
          <w:spacing w:val="0"/>
          <w:sz w:val="24"/>
          <w:szCs w:val="24"/>
          <w:highlight w:val="none"/>
          <w:lang w:val="en-US" w:eastAsia="zh-CN"/>
        </w:rPr>
        <w:t>以及必要的考察设备并做好现场考察记录；</w:t>
      </w:r>
      <w:r>
        <w:rPr>
          <w:rFonts w:hint="eastAsia" w:ascii="宋体" w:hAnsi="宋体" w:eastAsia="宋体" w:cs="宋体"/>
          <w:spacing w:val="0"/>
          <w:sz w:val="24"/>
          <w:szCs w:val="24"/>
          <w:highlight w:val="none"/>
        </w:rPr>
        <w:t xml:space="preserve"> (4)实地考察完毕，采购人将在已考察过潜在投标人“</w:t>
      </w:r>
      <w:r>
        <w:rPr>
          <w:rFonts w:hint="eastAsia" w:ascii="宋体" w:hAnsi="宋体" w:eastAsia="宋体" w:cs="宋体"/>
          <w:spacing w:val="0"/>
          <w:sz w:val="24"/>
          <w:szCs w:val="24"/>
          <w:highlight w:val="none"/>
          <w:lang w:val="en-US" w:eastAsia="zh-CN"/>
        </w:rPr>
        <w:t>现场</w:t>
      </w:r>
      <w:r>
        <w:rPr>
          <w:rFonts w:hint="eastAsia" w:ascii="宋体" w:hAnsi="宋体" w:eastAsia="宋体" w:cs="宋体"/>
          <w:spacing w:val="0"/>
          <w:sz w:val="24"/>
          <w:szCs w:val="24"/>
          <w:highlight w:val="none"/>
        </w:rPr>
        <w:t>考察确认书”上加盖公章予以确认。采购人确认后的“</w:t>
      </w:r>
      <w:r>
        <w:rPr>
          <w:rFonts w:hint="eastAsia" w:ascii="宋体" w:hAnsi="宋体" w:eastAsia="宋体" w:cs="宋体"/>
          <w:spacing w:val="0"/>
          <w:sz w:val="24"/>
          <w:szCs w:val="24"/>
          <w:highlight w:val="none"/>
          <w:lang w:val="en-US" w:eastAsia="zh-CN"/>
        </w:rPr>
        <w:t>现场</w:t>
      </w:r>
      <w:r>
        <w:rPr>
          <w:rFonts w:hint="eastAsia" w:ascii="宋体" w:hAnsi="宋体" w:eastAsia="宋体" w:cs="宋体"/>
          <w:spacing w:val="0"/>
          <w:sz w:val="24"/>
          <w:szCs w:val="24"/>
          <w:highlight w:val="none"/>
        </w:rPr>
        <w:t>考察确认书”一份原件作为递交投标文依据之一，随同投标文件一同递交(另一份原件另需同时放入技术商务投标文件正本中一起胶装)，未考察过现场或未按上述要求提供“现场考察确认书”原件的，将不接受其投标文件或按无效投标处理。</w:t>
      </w:r>
    </w:p>
    <w:p>
      <w:pPr>
        <w:pStyle w:val="6"/>
        <w:keepNext w:val="0"/>
        <w:keepLines w:val="0"/>
        <w:pageBreakBefore w:val="0"/>
        <w:widowControl/>
        <w:numPr>
          <w:ilvl w:val="0"/>
          <w:numId w:val="0"/>
        </w:numPr>
        <w:suppressLineNumbers w:val="0"/>
        <w:shd w:val="clear" w:color="auto" w:fill="FFFFFF"/>
        <w:kinsoku/>
        <w:wordWrap/>
        <w:overflowPunct/>
        <w:topLinePunct w:val="0"/>
        <w:autoSpaceDE/>
        <w:autoSpaceDN/>
        <w:bidi w:val="0"/>
        <w:adjustRightInd/>
        <w:snapToGrid/>
        <w:spacing w:line="460" w:lineRule="exact"/>
        <w:ind w:leftChars="150" w:right="0" w:rightChars="0"/>
        <w:jc w:val="center"/>
        <w:textAlignment w:val="auto"/>
        <w:rPr>
          <w:rStyle w:val="10"/>
          <w:rFonts w:hint="eastAsia" w:ascii="宋体" w:hAnsi="宋体" w:eastAsia="宋体" w:cs="宋体"/>
          <w:sz w:val="24"/>
          <w:szCs w:val="24"/>
          <w:highlight w:val="none"/>
          <w:shd w:val="clear" w:color="auto" w:fill="FFFFFF"/>
        </w:rPr>
      </w:pPr>
      <w:r>
        <w:rPr>
          <w:rStyle w:val="10"/>
          <w:rFonts w:hint="eastAsia" w:ascii="宋体" w:hAnsi="宋体" w:eastAsia="宋体" w:cs="宋体"/>
          <w:sz w:val="24"/>
          <w:szCs w:val="24"/>
          <w:highlight w:val="none"/>
          <w:shd w:val="clear" w:color="auto" w:fill="FFFFFF"/>
        </w:rPr>
        <w:t>现场考察确认书</w:t>
      </w:r>
    </w:p>
    <w:tbl>
      <w:tblPr>
        <w:tblStyle w:val="7"/>
        <w:tblW w:w="8869" w:type="dxa"/>
        <w:tblCellSpacing w:w="15" w:type="dxa"/>
        <w:tblInd w:w="1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
      <w:tblGrid>
        <w:gridCol w:w="1467"/>
        <w:gridCol w:w="3286"/>
        <w:gridCol w:w="1286"/>
        <w:gridCol w:w="2815"/>
        <w:gridCol w:w="1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gridAfter w:val="1"/>
          <w:wAfter w:w="15" w:type="dxa"/>
          <w:trHeight w:val="555" w:hRule="atLeast"/>
          <w:tblCellSpacing w:w="15" w:type="dxa"/>
        </w:trPr>
        <w:tc>
          <w:tcPr>
            <w:tcW w:w="1422" w:type="dxa"/>
            <w:tcBorders>
              <w:top w:val="single" w:color="auto" w:sz="4" w:space="0"/>
              <w:left w:val="single" w:color="auto" w:sz="6" w:space="0"/>
              <w:bottom w:val="single" w:color="auto" w:sz="4" w:space="0"/>
              <w:right w:val="single" w:color="auto" w:sz="4" w:space="0"/>
            </w:tcBorders>
            <w:noWrap w:val="0"/>
            <w:tcMar>
              <w:top w:w="0" w:type="dxa"/>
              <w:left w:w="90" w:type="dxa"/>
              <w:bottom w:w="0" w:type="dxa"/>
              <w:right w:w="90" w:type="dxa"/>
            </w:tcMar>
            <w:vAlign w:val="top"/>
          </w:tcPr>
          <w:p>
            <w:pPr>
              <w:pStyle w:val="6"/>
              <w:keepNext w:val="0"/>
              <w:keepLines w:val="0"/>
              <w:widowControl/>
              <w:suppressLineNumbers w:val="0"/>
              <w:shd w:val="clear" w:color="auto" w:fill="FFFFFF"/>
              <w:spacing w:line="405" w:lineRule="atLeast"/>
              <w:jc w:val="left"/>
              <w:rPr>
                <w:rFonts w:hint="eastAsia" w:ascii="宋体" w:hAnsi="宋体" w:eastAsia="宋体" w:cs="宋体"/>
                <w:sz w:val="24"/>
                <w:szCs w:val="24"/>
                <w:highlight w:val="none"/>
              </w:rPr>
            </w:pPr>
            <w:r>
              <w:rPr>
                <w:rFonts w:hint="eastAsia" w:ascii="宋体" w:hAnsi="宋体" w:eastAsia="宋体" w:cs="宋体"/>
                <w:sz w:val="24"/>
                <w:szCs w:val="24"/>
                <w:highlight w:val="none"/>
                <w:shd w:val="clear" w:color="auto" w:fill="FFFFFF"/>
              </w:rPr>
              <w:t> </w:t>
            </w:r>
            <w:r>
              <w:rPr>
                <w:rFonts w:hint="eastAsia" w:ascii="宋体" w:hAnsi="宋体" w:eastAsia="宋体" w:cs="宋体"/>
                <w:color w:val="000000"/>
                <w:sz w:val="24"/>
                <w:szCs w:val="24"/>
                <w:highlight w:val="none"/>
              </w:rPr>
              <w:t>项目名 称</w:t>
            </w:r>
          </w:p>
        </w:tc>
        <w:tc>
          <w:tcPr>
            <w:tcW w:w="7342" w:type="dxa"/>
            <w:gridSpan w:val="3"/>
            <w:tcBorders>
              <w:top w:val="single" w:color="auto" w:sz="4" w:space="0"/>
              <w:left w:val="single" w:color="auto" w:sz="4" w:space="0"/>
              <w:bottom w:val="single" w:color="auto" w:sz="4" w:space="0"/>
              <w:right w:val="single" w:color="auto" w:sz="4" w:space="0"/>
            </w:tcBorders>
            <w:noWrap w:val="0"/>
            <w:tcMar>
              <w:top w:w="0" w:type="dxa"/>
              <w:left w:w="90" w:type="dxa"/>
              <w:bottom w:w="0" w:type="dxa"/>
              <w:right w:w="90" w:type="dxa"/>
            </w:tcMar>
            <w:vAlign w:val="top"/>
          </w:tcPr>
          <w:p>
            <w:pPr>
              <w:keepNext w:val="0"/>
              <w:keepLines w:val="0"/>
              <w:widowControl/>
              <w:suppressLineNumbers w:val="0"/>
              <w:jc w:val="left"/>
              <w:rPr>
                <w:rFonts w:hint="eastAsia" w:ascii="宋体" w:hAnsi="宋体" w:eastAsia="宋体" w:cs="宋体"/>
                <w:sz w:val="24"/>
                <w:szCs w:val="24"/>
                <w:highlight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gridAfter w:val="1"/>
          <w:wAfter w:w="15" w:type="dxa"/>
          <w:trHeight w:val="555" w:hRule="atLeast"/>
          <w:tblCellSpacing w:w="15" w:type="dxa"/>
        </w:trPr>
        <w:tc>
          <w:tcPr>
            <w:tcW w:w="1422" w:type="dxa"/>
            <w:tcBorders>
              <w:top w:val="single" w:color="auto" w:sz="4" w:space="0"/>
              <w:left w:val="single" w:color="auto" w:sz="4" w:space="0"/>
              <w:bottom w:val="single" w:color="auto" w:sz="4" w:space="0"/>
              <w:right w:val="single" w:color="auto" w:sz="4" w:space="0"/>
            </w:tcBorders>
            <w:noWrap w:val="0"/>
            <w:tcMar>
              <w:top w:w="0" w:type="dxa"/>
              <w:left w:w="90" w:type="dxa"/>
              <w:bottom w:w="0" w:type="dxa"/>
              <w:right w:w="90" w:type="dxa"/>
            </w:tcMar>
            <w:vAlign w:val="top"/>
          </w:tcPr>
          <w:p>
            <w:pPr>
              <w:pStyle w:val="6"/>
              <w:keepNext w:val="0"/>
              <w:keepLines w:val="0"/>
              <w:widowControl/>
              <w:suppressLineNumbers w:val="0"/>
              <w:spacing w:line="405" w:lineRule="atLeast"/>
              <w:jc w:val="center"/>
              <w:rPr>
                <w:rFonts w:hint="eastAsia" w:ascii="宋体" w:hAnsi="宋体" w:eastAsia="宋体" w:cs="宋体"/>
                <w:sz w:val="24"/>
                <w:szCs w:val="24"/>
                <w:highlight w:val="none"/>
              </w:rPr>
            </w:pPr>
            <w:r>
              <w:rPr>
                <w:rFonts w:hint="eastAsia" w:ascii="宋体" w:hAnsi="宋体" w:eastAsia="宋体" w:cs="宋体"/>
                <w:color w:val="000000"/>
                <w:sz w:val="24"/>
                <w:szCs w:val="24"/>
                <w:highlight w:val="none"/>
              </w:rPr>
              <w:t>招标编号</w:t>
            </w:r>
          </w:p>
        </w:tc>
        <w:tc>
          <w:tcPr>
            <w:tcW w:w="7342" w:type="dxa"/>
            <w:gridSpan w:val="3"/>
            <w:tcBorders>
              <w:top w:val="single" w:color="auto" w:sz="4" w:space="0"/>
              <w:left w:val="single" w:color="auto" w:sz="4" w:space="0"/>
              <w:bottom w:val="single" w:color="auto" w:sz="4" w:space="0"/>
              <w:right w:val="single" w:color="auto" w:sz="4" w:space="0"/>
            </w:tcBorders>
            <w:noWrap w:val="0"/>
            <w:tcMar>
              <w:top w:w="0" w:type="dxa"/>
              <w:left w:w="90" w:type="dxa"/>
              <w:bottom w:w="0" w:type="dxa"/>
              <w:right w:w="90" w:type="dxa"/>
            </w:tcMar>
            <w:vAlign w:val="top"/>
          </w:tcPr>
          <w:p>
            <w:pPr>
              <w:keepNext w:val="0"/>
              <w:keepLines w:val="0"/>
              <w:widowControl/>
              <w:suppressLineNumbers w:val="0"/>
              <w:jc w:val="left"/>
              <w:rPr>
                <w:rFonts w:hint="eastAsia" w:ascii="宋体" w:hAnsi="宋体" w:eastAsia="宋体" w:cs="宋体"/>
                <w:sz w:val="24"/>
                <w:szCs w:val="24"/>
                <w:highlight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gridAfter w:val="1"/>
          <w:wAfter w:w="15" w:type="dxa"/>
          <w:trHeight w:val="570" w:hRule="atLeast"/>
          <w:tblCellSpacing w:w="15" w:type="dxa"/>
        </w:trPr>
        <w:tc>
          <w:tcPr>
            <w:tcW w:w="1422" w:type="dxa"/>
            <w:tcBorders>
              <w:top w:val="single" w:color="auto" w:sz="4" w:space="0"/>
              <w:left w:val="single" w:color="auto" w:sz="4" w:space="0"/>
              <w:bottom w:val="single" w:color="auto" w:sz="4" w:space="0"/>
              <w:right w:val="single" w:color="auto" w:sz="4" w:space="0"/>
            </w:tcBorders>
            <w:noWrap w:val="0"/>
            <w:tcMar>
              <w:top w:w="0" w:type="dxa"/>
              <w:left w:w="90" w:type="dxa"/>
              <w:bottom w:w="0" w:type="dxa"/>
              <w:right w:w="90" w:type="dxa"/>
            </w:tcMar>
            <w:vAlign w:val="top"/>
          </w:tcPr>
          <w:p>
            <w:pPr>
              <w:pStyle w:val="6"/>
              <w:keepNext w:val="0"/>
              <w:keepLines w:val="0"/>
              <w:widowControl/>
              <w:suppressLineNumbers w:val="0"/>
              <w:spacing w:line="405" w:lineRule="atLeas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rPr>
              <w:t>投标</w:t>
            </w:r>
            <w:r>
              <w:rPr>
                <w:rFonts w:hint="eastAsia" w:ascii="宋体" w:hAnsi="宋体" w:cs="宋体"/>
                <w:sz w:val="24"/>
                <w:szCs w:val="24"/>
                <w:highlight w:val="none"/>
                <w:lang w:val="en-US" w:eastAsia="zh-CN"/>
              </w:rPr>
              <w:t>人名称</w:t>
            </w:r>
          </w:p>
        </w:tc>
        <w:tc>
          <w:tcPr>
            <w:tcW w:w="7342" w:type="dxa"/>
            <w:gridSpan w:val="3"/>
            <w:tcBorders>
              <w:top w:val="single" w:color="auto" w:sz="4" w:space="0"/>
              <w:left w:val="single" w:color="auto" w:sz="4" w:space="0"/>
              <w:bottom w:val="single" w:color="auto" w:sz="4" w:space="0"/>
              <w:right w:val="single" w:color="auto" w:sz="4" w:space="0"/>
            </w:tcBorders>
            <w:noWrap w:val="0"/>
            <w:tcMar>
              <w:top w:w="0" w:type="dxa"/>
              <w:left w:w="90" w:type="dxa"/>
              <w:bottom w:w="0" w:type="dxa"/>
              <w:right w:w="90" w:type="dxa"/>
            </w:tcMar>
            <w:vAlign w:val="top"/>
          </w:tcPr>
          <w:p>
            <w:pPr>
              <w:keepNext w:val="0"/>
              <w:keepLines w:val="0"/>
              <w:widowControl/>
              <w:suppressLineNumbers w:val="0"/>
              <w:jc w:val="left"/>
              <w:rPr>
                <w:rFonts w:hint="eastAsia" w:ascii="宋体" w:hAnsi="宋体" w:eastAsia="宋体" w:cs="宋体"/>
                <w:sz w:val="24"/>
                <w:szCs w:val="24"/>
                <w:highlight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gridAfter w:val="1"/>
          <w:wAfter w:w="15" w:type="dxa"/>
          <w:trHeight w:val="540" w:hRule="atLeast"/>
          <w:tblCellSpacing w:w="15" w:type="dxa"/>
        </w:trPr>
        <w:tc>
          <w:tcPr>
            <w:tcW w:w="1422" w:type="dxa"/>
            <w:tcBorders>
              <w:top w:val="single" w:color="auto" w:sz="4" w:space="0"/>
              <w:left w:val="single" w:color="auto" w:sz="4" w:space="0"/>
              <w:bottom w:val="single" w:color="auto" w:sz="4" w:space="0"/>
              <w:right w:val="single" w:color="auto" w:sz="4" w:space="0"/>
            </w:tcBorders>
            <w:noWrap w:val="0"/>
            <w:tcMar>
              <w:top w:w="0" w:type="dxa"/>
              <w:left w:w="90" w:type="dxa"/>
              <w:bottom w:w="0" w:type="dxa"/>
              <w:right w:w="90" w:type="dxa"/>
            </w:tcMar>
            <w:vAlign w:val="top"/>
          </w:tcPr>
          <w:p>
            <w:pPr>
              <w:pStyle w:val="6"/>
              <w:keepNext w:val="0"/>
              <w:keepLines w:val="0"/>
              <w:widowControl/>
              <w:suppressLineNumbers w:val="0"/>
              <w:spacing w:line="405" w:lineRule="atLeas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投标代表</w:t>
            </w:r>
          </w:p>
        </w:tc>
        <w:tc>
          <w:tcPr>
            <w:tcW w:w="3256" w:type="dxa"/>
            <w:tcBorders>
              <w:top w:val="single" w:color="auto" w:sz="4" w:space="0"/>
              <w:left w:val="single" w:color="auto" w:sz="4" w:space="0"/>
              <w:bottom w:val="single" w:color="auto" w:sz="4" w:space="0"/>
              <w:right w:val="single" w:color="auto" w:sz="4" w:space="0"/>
            </w:tcBorders>
            <w:noWrap w:val="0"/>
            <w:tcMar>
              <w:top w:w="0" w:type="dxa"/>
              <w:left w:w="90" w:type="dxa"/>
              <w:bottom w:w="0" w:type="dxa"/>
              <w:right w:w="90" w:type="dxa"/>
            </w:tcMar>
            <w:vAlign w:val="top"/>
          </w:tcPr>
          <w:p>
            <w:pPr>
              <w:keepNext w:val="0"/>
              <w:keepLines w:val="0"/>
              <w:widowControl/>
              <w:suppressLineNumbers w:val="0"/>
              <w:jc w:val="left"/>
              <w:rPr>
                <w:rFonts w:hint="eastAsia" w:ascii="宋体" w:hAnsi="宋体" w:eastAsia="宋体" w:cs="宋体"/>
                <w:sz w:val="24"/>
                <w:szCs w:val="24"/>
                <w:highlight w:val="none"/>
              </w:rPr>
            </w:pPr>
          </w:p>
        </w:tc>
        <w:tc>
          <w:tcPr>
            <w:tcW w:w="1256" w:type="dxa"/>
            <w:tcBorders>
              <w:top w:val="single" w:color="auto" w:sz="4" w:space="0"/>
              <w:left w:val="single" w:color="auto" w:sz="4" w:space="0"/>
              <w:bottom w:val="single" w:color="auto" w:sz="4" w:space="0"/>
              <w:right w:val="single" w:color="auto" w:sz="4" w:space="0"/>
            </w:tcBorders>
            <w:noWrap w:val="0"/>
            <w:tcMar>
              <w:top w:w="0" w:type="dxa"/>
              <w:left w:w="90" w:type="dxa"/>
              <w:bottom w:w="0" w:type="dxa"/>
              <w:right w:w="90" w:type="dxa"/>
            </w:tcMar>
            <w:vAlign w:val="top"/>
          </w:tcPr>
          <w:p>
            <w:pPr>
              <w:pStyle w:val="6"/>
              <w:keepNext w:val="0"/>
              <w:keepLines w:val="0"/>
              <w:widowControl/>
              <w:suppressLineNumbers w:val="0"/>
              <w:spacing w:line="405" w:lineRule="atLeas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联系方式</w:t>
            </w:r>
          </w:p>
        </w:tc>
        <w:tc>
          <w:tcPr>
            <w:tcW w:w="2770" w:type="dxa"/>
            <w:tcBorders>
              <w:top w:val="single" w:color="auto" w:sz="4" w:space="0"/>
              <w:left w:val="single" w:color="auto" w:sz="4" w:space="0"/>
              <w:bottom w:val="single" w:color="auto" w:sz="4" w:space="0"/>
              <w:right w:val="single" w:color="auto" w:sz="4" w:space="0"/>
            </w:tcBorders>
            <w:noWrap w:val="0"/>
            <w:tcMar>
              <w:top w:w="0" w:type="dxa"/>
              <w:left w:w="90" w:type="dxa"/>
              <w:bottom w:w="0" w:type="dxa"/>
              <w:right w:w="90" w:type="dxa"/>
            </w:tcMar>
            <w:vAlign w:val="top"/>
          </w:tcPr>
          <w:p>
            <w:pPr>
              <w:keepNext w:val="0"/>
              <w:keepLines w:val="0"/>
              <w:widowControl/>
              <w:suppressLineNumbers w:val="0"/>
              <w:jc w:val="left"/>
              <w:rPr>
                <w:rFonts w:hint="eastAsia" w:ascii="宋体" w:hAnsi="宋体" w:eastAsia="宋体" w:cs="宋体"/>
                <w:sz w:val="24"/>
                <w:szCs w:val="24"/>
                <w:highlight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gridAfter w:val="1"/>
          <w:wAfter w:w="15" w:type="dxa"/>
          <w:trHeight w:val="555" w:hRule="atLeast"/>
          <w:tblCellSpacing w:w="15" w:type="dxa"/>
        </w:trPr>
        <w:tc>
          <w:tcPr>
            <w:tcW w:w="1422" w:type="dxa"/>
            <w:tcBorders>
              <w:top w:val="single" w:color="auto" w:sz="4" w:space="0"/>
              <w:left w:val="single" w:color="auto" w:sz="4" w:space="0"/>
              <w:bottom w:val="single" w:color="auto" w:sz="4" w:space="0"/>
              <w:right w:val="single" w:color="auto" w:sz="4" w:space="0"/>
            </w:tcBorders>
            <w:noWrap w:val="0"/>
            <w:tcMar>
              <w:top w:w="0" w:type="dxa"/>
              <w:left w:w="90" w:type="dxa"/>
              <w:bottom w:w="0" w:type="dxa"/>
              <w:right w:w="90" w:type="dxa"/>
            </w:tcMar>
            <w:vAlign w:val="top"/>
          </w:tcPr>
          <w:p>
            <w:pPr>
              <w:pStyle w:val="6"/>
              <w:keepNext w:val="0"/>
              <w:keepLines w:val="0"/>
              <w:widowControl/>
              <w:suppressLineNumbers w:val="0"/>
              <w:spacing w:line="405" w:lineRule="atLeas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考察时间</w:t>
            </w:r>
          </w:p>
        </w:tc>
        <w:tc>
          <w:tcPr>
            <w:tcW w:w="7342" w:type="dxa"/>
            <w:gridSpan w:val="3"/>
            <w:tcBorders>
              <w:top w:val="single" w:color="auto" w:sz="4" w:space="0"/>
              <w:left w:val="single" w:color="auto" w:sz="4" w:space="0"/>
              <w:bottom w:val="single" w:color="auto" w:sz="4" w:space="0"/>
              <w:right w:val="single" w:color="auto" w:sz="4" w:space="0"/>
            </w:tcBorders>
            <w:noWrap w:val="0"/>
            <w:tcMar>
              <w:top w:w="0" w:type="dxa"/>
              <w:left w:w="90" w:type="dxa"/>
              <w:bottom w:w="0" w:type="dxa"/>
              <w:right w:w="90" w:type="dxa"/>
            </w:tcMar>
            <w:vAlign w:val="top"/>
          </w:tcPr>
          <w:p>
            <w:pPr>
              <w:keepNext w:val="0"/>
              <w:keepLines w:val="0"/>
              <w:widowControl/>
              <w:suppressLineNumbers w:val="0"/>
              <w:jc w:val="left"/>
              <w:rPr>
                <w:rFonts w:hint="eastAsia" w:ascii="宋体" w:hAnsi="宋体" w:eastAsia="宋体" w:cs="宋体"/>
                <w:sz w:val="24"/>
                <w:szCs w:val="24"/>
                <w:highlight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1560" w:hRule="atLeast"/>
          <w:tblCellSpacing w:w="15" w:type="dxa"/>
        </w:trPr>
        <w:tc>
          <w:tcPr>
            <w:tcW w:w="8809" w:type="dxa"/>
            <w:gridSpan w:val="5"/>
            <w:tcBorders>
              <w:top w:val="single" w:color="auto" w:sz="4" w:space="0"/>
              <w:left w:val="single" w:color="auto" w:sz="4" w:space="0"/>
              <w:bottom w:val="single" w:color="auto" w:sz="4" w:space="0"/>
              <w:right w:val="single" w:color="auto" w:sz="4" w:space="0"/>
            </w:tcBorders>
            <w:noWrap w:val="0"/>
            <w:tcMar>
              <w:top w:w="0" w:type="dxa"/>
              <w:left w:w="90" w:type="dxa"/>
              <w:bottom w:w="0" w:type="dxa"/>
              <w:right w:w="90" w:type="dxa"/>
            </w:tcMar>
            <w:vAlign w:val="top"/>
          </w:tcPr>
          <w:p>
            <w:pPr>
              <w:pStyle w:val="6"/>
              <w:keepNext w:val="0"/>
              <w:keepLines w:val="0"/>
              <w:widowControl/>
              <w:suppressLineNumbers w:val="0"/>
              <w:spacing w:line="405" w:lineRule="atLeast"/>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投标人现场考察确认：</w:t>
            </w:r>
          </w:p>
          <w:p>
            <w:pPr>
              <w:pStyle w:val="6"/>
              <w:keepNext w:val="0"/>
              <w:keepLines w:val="0"/>
              <w:widowControl/>
              <w:suppressLineNumbers w:val="0"/>
              <w:spacing w:line="405" w:lineRule="atLeast"/>
              <w:ind w:firstLine="480" w:firstLineChars="200"/>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本人代表本公司对本次项目的服务现场、服务条件、服务面积进行现场考察，投标报价时将充分考虑项目现场因素与招标文件预估内容的差异，如有幸中标将承担该差异所带来的所有风险。</w:t>
            </w:r>
          </w:p>
          <w:p>
            <w:pPr>
              <w:pStyle w:val="6"/>
              <w:keepNext w:val="0"/>
              <w:keepLines w:val="0"/>
              <w:widowControl/>
              <w:suppressLineNumbers w:val="0"/>
              <w:spacing w:line="405" w:lineRule="atLeas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rPr>
              <w:t>  </w:t>
            </w:r>
            <w:r>
              <w:rPr>
                <w:rFonts w:hint="eastAsia" w:ascii="宋体" w:hAnsi="宋体" w:cs="宋体"/>
                <w:sz w:val="24"/>
                <w:szCs w:val="24"/>
                <w:highlight w:val="none"/>
                <w:lang w:val="en-US" w:eastAsia="zh-CN"/>
              </w:rPr>
              <w:t xml:space="preserve">                              投标人代表签字：</w:t>
            </w:r>
          </w:p>
          <w:p>
            <w:pPr>
              <w:pStyle w:val="6"/>
              <w:keepNext w:val="0"/>
              <w:keepLines w:val="0"/>
              <w:widowControl/>
              <w:suppressLineNumbers w:val="0"/>
              <w:spacing w:line="405" w:lineRule="atLeas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              日期：</w:t>
            </w:r>
            <w:r>
              <w:rPr>
                <w:rFonts w:hint="eastAsia" w:ascii="宋体" w:hAnsi="宋体" w:eastAsia="宋体" w:cs="宋体"/>
                <w:sz w:val="24"/>
                <w:szCs w:val="24"/>
                <w:highlight w:val="none"/>
                <w:u w:val="single"/>
              </w:rPr>
              <w:t>201</w:t>
            </w:r>
            <w:r>
              <w:rPr>
                <w:rFonts w:hint="eastAsia" w:ascii="宋体" w:hAnsi="宋体" w:eastAsia="宋体" w:cs="宋体"/>
                <w:sz w:val="24"/>
                <w:szCs w:val="24"/>
                <w:highlight w:val="none"/>
                <w:u w:val="single"/>
                <w:lang w:val="en-US" w:eastAsia="zh-CN"/>
              </w:rPr>
              <w:t>9</w:t>
            </w:r>
            <w:r>
              <w:rPr>
                <w:rFonts w:hint="eastAsia" w:ascii="宋体" w:hAnsi="宋体" w:eastAsia="宋体" w:cs="宋体"/>
                <w:sz w:val="24"/>
                <w:szCs w:val="24"/>
                <w:highlight w:val="none"/>
              </w:rPr>
              <w:t>年</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月</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1635" w:hRule="atLeast"/>
          <w:tblCellSpacing w:w="15" w:type="dxa"/>
        </w:trPr>
        <w:tc>
          <w:tcPr>
            <w:tcW w:w="8809" w:type="dxa"/>
            <w:gridSpan w:val="5"/>
            <w:tcBorders>
              <w:top w:val="single" w:color="auto" w:sz="4" w:space="0"/>
              <w:left w:val="single" w:color="auto" w:sz="4" w:space="0"/>
              <w:bottom w:val="single" w:color="auto" w:sz="4" w:space="0"/>
              <w:right w:val="single" w:color="auto" w:sz="4" w:space="0"/>
            </w:tcBorders>
            <w:noWrap w:val="0"/>
            <w:tcMar>
              <w:top w:w="0" w:type="dxa"/>
              <w:left w:w="90" w:type="dxa"/>
              <w:bottom w:w="0" w:type="dxa"/>
              <w:right w:w="90" w:type="dxa"/>
            </w:tcMar>
            <w:vAlign w:val="top"/>
          </w:tcPr>
          <w:p>
            <w:pPr>
              <w:pStyle w:val="6"/>
              <w:keepNext w:val="0"/>
              <w:keepLines w:val="0"/>
              <w:widowControl/>
              <w:suppressLineNumbers w:val="0"/>
              <w:spacing w:line="405" w:lineRule="atLeast"/>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采购人确认(公章)：</w:t>
            </w:r>
          </w:p>
          <w:p>
            <w:pPr>
              <w:pStyle w:val="6"/>
              <w:keepNext w:val="0"/>
              <w:keepLines w:val="0"/>
              <w:widowControl/>
              <w:suppressLineNumbers w:val="0"/>
              <w:spacing w:line="405" w:lineRule="atLeast"/>
              <w:ind w:left="0" w:firstLine="2505"/>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 </w:t>
            </w:r>
            <w:r>
              <w:rPr>
                <w:rFonts w:hint="eastAsia" w:ascii="宋体" w:hAnsi="宋体" w:cs="宋体"/>
                <w:sz w:val="24"/>
                <w:szCs w:val="24"/>
                <w:highlight w:val="none"/>
                <w:lang w:val="en-US" w:eastAsia="zh-CN"/>
              </w:rPr>
              <w:t xml:space="preserve">         </w:t>
            </w:r>
            <w:r>
              <w:rPr>
                <w:rFonts w:hint="eastAsia" w:ascii="宋体" w:hAnsi="宋体" w:eastAsia="宋体" w:cs="宋体"/>
                <w:sz w:val="24"/>
                <w:szCs w:val="24"/>
                <w:highlight w:val="none"/>
              </w:rPr>
              <w:t xml:space="preserve">  经办人(签字)：             </w:t>
            </w:r>
          </w:p>
          <w:p>
            <w:pPr>
              <w:pStyle w:val="6"/>
              <w:keepNext w:val="0"/>
              <w:keepLines w:val="0"/>
              <w:widowControl/>
              <w:suppressLineNumbers w:val="0"/>
              <w:spacing w:line="405" w:lineRule="atLeast"/>
              <w:ind w:firstLine="4320" w:firstLineChars="1800"/>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 日期：</w:t>
            </w:r>
            <w:r>
              <w:rPr>
                <w:rFonts w:hint="eastAsia" w:ascii="宋体" w:hAnsi="宋体" w:eastAsia="宋体" w:cs="宋体"/>
                <w:sz w:val="24"/>
                <w:szCs w:val="24"/>
                <w:highlight w:val="none"/>
                <w:u w:val="single"/>
              </w:rPr>
              <w:t>2018</w:t>
            </w:r>
            <w:r>
              <w:rPr>
                <w:rFonts w:hint="eastAsia" w:ascii="宋体" w:hAnsi="宋体" w:eastAsia="宋体" w:cs="宋体"/>
                <w:sz w:val="24"/>
                <w:szCs w:val="24"/>
                <w:highlight w:val="none"/>
              </w:rPr>
              <w:t>年</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月</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810" w:hRule="atLeast"/>
          <w:tblCellSpacing w:w="15" w:type="dxa"/>
        </w:trPr>
        <w:tc>
          <w:tcPr>
            <w:tcW w:w="8809" w:type="dxa"/>
            <w:gridSpan w:val="5"/>
            <w:tcBorders>
              <w:top w:val="single" w:color="auto" w:sz="4" w:space="0"/>
              <w:left w:val="single" w:color="auto" w:sz="4" w:space="0"/>
              <w:bottom w:val="single" w:color="auto" w:sz="4" w:space="0"/>
              <w:right w:val="single" w:color="auto" w:sz="4" w:space="0"/>
            </w:tcBorders>
            <w:noWrap w:val="0"/>
            <w:tcMar>
              <w:top w:w="0" w:type="dxa"/>
              <w:left w:w="90" w:type="dxa"/>
              <w:bottom w:w="0" w:type="dxa"/>
              <w:right w:w="90" w:type="dxa"/>
            </w:tcMar>
            <w:vAlign w:val="top"/>
          </w:tcPr>
          <w:p>
            <w:pPr>
              <w:pStyle w:val="6"/>
              <w:keepNext w:val="0"/>
              <w:keepLines w:val="0"/>
              <w:widowControl/>
              <w:suppressLineNumbers w:val="0"/>
              <w:spacing w:line="405" w:lineRule="atLeast"/>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备注：</w:t>
            </w:r>
            <w:r>
              <w:rPr>
                <w:rFonts w:hint="eastAsia" w:ascii="宋体" w:hAnsi="宋体" w:eastAsia="宋体" w:cs="宋体"/>
                <w:color w:val="000000"/>
                <w:sz w:val="24"/>
                <w:szCs w:val="24"/>
                <w:highlight w:val="none"/>
              </w:rPr>
              <w:t>本现场考察确认书作为现场情况确认凭证一式三份，采购人持一份，投标人持二份：（</w:t>
            </w:r>
            <w:r>
              <w:rPr>
                <w:rFonts w:hint="eastAsia" w:ascii="宋体" w:hAnsi="宋体" w:eastAsia="宋体" w:cs="宋体"/>
                <w:sz w:val="24"/>
                <w:szCs w:val="24"/>
                <w:highlight w:val="none"/>
              </w:rPr>
              <w:t>一份原件作为递交投标文依据之一，随同投标文件一同递交，另一份原件另需同时放入技术商务投标文件正本中一起胶装</w:t>
            </w:r>
            <w:r>
              <w:rPr>
                <w:rFonts w:hint="eastAsia" w:ascii="宋体" w:hAnsi="宋体" w:eastAsia="宋体" w:cs="宋体"/>
                <w:color w:val="000000"/>
                <w:sz w:val="24"/>
                <w:szCs w:val="24"/>
                <w:highlight w:val="none"/>
              </w:rPr>
              <w:t>）</w:t>
            </w:r>
            <w:r>
              <w:rPr>
                <w:rFonts w:hint="eastAsia" w:ascii="宋体" w:hAnsi="宋体" w:eastAsia="宋体" w:cs="宋体"/>
                <w:sz w:val="24"/>
                <w:szCs w:val="24"/>
                <w:highlight w:val="none"/>
              </w:rPr>
              <w:t>，未勘察过现场或未按上述要求提供“现场勘察确认书”原件的，将不接受其投标文件或按无效投标处理</w:t>
            </w:r>
            <w:r>
              <w:rPr>
                <w:rFonts w:hint="eastAsia" w:ascii="宋体" w:hAnsi="宋体" w:eastAsia="宋体" w:cs="宋体"/>
                <w:color w:val="000000"/>
                <w:sz w:val="24"/>
                <w:szCs w:val="24"/>
                <w:highlight w:val="none"/>
              </w:rPr>
              <w:t>。</w:t>
            </w:r>
          </w:p>
        </w:tc>
      </w:tr>
    </w:tbl>
    <w:p>
      <w:pPr>
        <w:pStyle w:val="6"/>
        <w:keepNext w:val="0"/>
        <w:keepLines w:val="0"/>
        <w:pageBreakBefore w:val="0"/>
        <w:widowControl/>
        <w:suppressLineNumbers w:val="0"/>
        <w:pBdr>
          <w:top w:val="single" w:color="auto" w:sz="4" w:space="0"/>
          <w:left w:val="single" w:color="auto" w:sz="4" w:space="0"/>
          <w:bottom w:val="single" w:color="auto" w:sz="4" w:space="0"/>
          <w:right w:val="single" w:color="auto" w:sz="4" w:space="0"/>
        </w:pBdr>
        <w:shd w:val="clear" w:color="auto" w:fill="FFFFFF"/>
        <w:kinsoku/>
        <w:wordWrap/>
        <w:overflowPunct/>
        <w:topLinePunct w:val="0"/>
        <w:autoSpaceDE/>
        <w:autoSpaceDN/>
        <w:bidi w:val="0"/>
        <w:adjustRightInd/>
        <w:snapToGrid/>
        <w:spacing w:before="100" w:beforeAutospacing="1" w:after="100" w:afterAutospacing="1" w:line="460" w:lineRule="exact"/>
        <w:jc w:val="left"/>
        <w:textAlignment w:val="auto"/>
        <w:rPr>
          <w:rStyle w:val="10"/>
          <w:rFonts w:hint="eastAsia" w:ascii="宋体" w:hAnsi="宋体" w:eastAsia="宋体" w:cs="宋体"/>
          <w:sz w:val="24"/>
          <w:szCs w:val="24"/>
          <w:highlight w:val="none"/>
          <w:shd w:val="clear" w:color="auto" w:fill="FFFFFF"/>
          <w:lang w:eastAsia="zh-CN"/>
        </w:rPr>
      </w:pPr>
      <w:r>
        <w:rPr>
          <w:rStyle w:val="10"/>
          <w:rFonts w:hint="eastAsia" w:ascii="宋体" w:hAnsi="宋体" w:cs="宋体"/>
          <w:sz w:val="24"/>
          <w:szCs w:val="24"/>
          <w:highlight w:val="none"/>
          <w:shd w:val="clear" w:color="auto" w:fill="FFFFFF"/>
          <w:lang w:val="en-US" w:eastAsia="zh-CN"/>
        </w:rPr>
        <w:t>附件1、</w:t>
      </w:r>
      <w:r>
        <w:rPr>
          <w:rStyle w:val="10"/>
          <w:rFonts w:hint="eastAsia" w:ascii="宋体" w:hAnsi="宋体" w:eastAsia="宋体" w:cs="宋体"/>
          <w:sz w:val="24"/>
          <w:szCs w:val="24"/>
          <w:highlight w:val="none"/>
          <w:shd w:val="clear" w:color="auto" w:fill="FFFFFF"/>
          <w:lang w:eastAsia="zh-CN"/>
        </w:rPr>
        <w:t>《宁化县城区环卫作业质量考核管理办法》</w:t>
      </w:r>
    </w:p>
    <w:p>
      <w:pPr>
        <w:keepNext w:val="0"/>
        <w:keepLines w:val="0"/>
        <w:pageBreakBefore w:val="0"/>
        <w:widowControl/>
        <w:suppressLineNumbers w:val="0"/>
        <w:pBdr>
          <w:top w:val="single" w:color="auto" w:sz="4" w:space="0"/>
          <w:left w:val="single" w:color="auto" w:sz="4" w:space="0"/>
          <w:bottom w:val="single" w:color="auto" w:sz="4" w:space="0"/>
          <w:right w:val="single" w:color="auto" w:sz="4" w:space="0"/>
        </w:pBdr>
        <w:shd w:val="clear" w:color="auto" w:fill="auto"/>
        <w:kinsoku/>
        <w:wordWrap/>
        <w:overflowPunct/>
        <w:topLinePunct w:val="0"/>
        <w:autoSpaceDE/>
        <w:autoSpaceDN/>
        <w:bidi w:val="0"/>
        <w:adjustRightInd/>
        <w:snapToGrid/>
        <w:spacing w:line="540" w:lineRule="exact"/>
        <w:jc w:val="center"/>
        <w:textAlignment w:val="auto"/>
        <w:rPr>
          <w:rFonts w:hint="eastAsia" w:ascii="宋体" w:hAnsi="宋体" w:eastAsia="宋体" w:cs="宋体"/>
          <w:b/>
          <w:bCs/>
          <w:sz w:val="24"/>
          <w:szCs w:val="24"/>
        </w:rPr>
      </w:pPr>
      <w:r>
        <w:rPr>
          <w:rFonts w:hint="eastAsia" w:ascii="宋体" w:hAnsi="宋体" w:eastAsia="宋体" w:cs="宋体"/>
          <w:b/>
          <w:bCs/>
          <w:sz w:val="24"/>
          <w:szCs w:val="24"/>
        </w:rPr>
        <w:t>第一章 总则</w:t>
      </w:r>
    </w:p>
    <w:p>
      <w:pPr>
        <w:keepNext w:val="0"/>
        <w:keepLines w:val="0"/>
        <w:pageBreakBefore w:val="0"/>
        <w:widowControl/>
        <w:suppressLineNumbers w:val="0"/>
        <w:pBdr>
          <w:top w:val="single" w:color="auto" w:sz="4" w:space="0"/>
          <w:left w:val="single" w:color="auto" w:sz="4" w:space="0"/>
          <w:bottom w:val="single" w:color="auto" w:sz="4" w:space="0"/>
          <w:right w:val="single" w:color="auto" w:sz="4" w:space="0"/>
        </w:pBdr>
        <w:shd w:val="clear" w:color="auto" w:fill="auto"/>
        <w:kinsoku/>
        <w:wordWrap/>
        <w:overflowPunct/>
        <w:topLinePunct w:val="0"/>
        <w:autoSpaceDE/>
        <w:autoSpaceDN/>
        <w:bidi w:val="0"/>
        <w:adjustRightInd/>
        <w:snapToGrid/>
        <w:spacing w:line="540" w:lineRule="exact"/>
        <w:ind w:firstLine="482" w:firstLineChars="200"/>
        <w:textAlignment w:val="auto"/>
        <w:rPr>
          <w:rFonts w:hint="eastAsia" w:ascii="宋体" w:hAnsi="宋体" w:eastAsia="宋体" w:cs="宋体"/>
          <w:sz w:val="24"/>
          <w:szCs w:val="24"/>
        </w:rPr>
      </w:pPr>
      <w:r>
        <w:rPr>
          <w:rFonts w:hint="eastAsia" w:ascii="宋体" w:hAnsi="宋体" w:eastAsia="宋体" w:cs="宋体"/>
          <w:b/>
          <w:bCs/>
          <w:sz w:val="24"/>
          <w:szCs w:val="24"/>
        </w:rPr>
        <w:t>第一条</w:t>
      </w:r>
      <w:r>
        <w:rPr>
          <w:rFonts w:hint="eastAsia" w:ascii="宋体" w:hAnsi="宋体" w:eastAsia="宋体" w:cs="宋体"/>
          <w:sz w:val="24"/>
          <w:szCs w:val="24"/>
        </w:rPr>
        <w:t xml:space="preserve"> 为加强环境卫生作业质量的监督管理，特制定本考核办法。</w:t>
      </w:r>
    </w:p>
    <w:p>
      <w:pPr>
        <w:keepNext w:val="0"/>
        <w:keepLines w:val="0"/>
        <w:pageBreakBefore w:val="0"/>
        <w:widowControl/>
        <w:suppressLineNumbers w:val="0"/>
        <w:pBdr>
          <w:top w:val="single" w:color="auto" w:sz="4" w:space="0"/>
          <w:left w:val="single" w:color="auto" w:sz="4" w:space="0"/>
          <w:bottom w:val="single" w:color="auto" w:sz="4" w:space="0"/>
          <w:right w:val="single" w:color="auto" w:sz="4" w:space="0"/>
        </w:pBdr>
        <w:shd w:val="clear" w:color="auto" w:fill="auto"/>
        <w:kinsoku/>
        <w:wordWrap/>
        <w:overflowPunct/>
        <w:topLinePunct w:val="0"/>
        <w:autoSpaceDE/>
        <w:autoSpaceDN/>
        <w:bidi w:val="0"/>
        <w:adjustRightInd/>
        <w:snapToGrid/>
        <w:spacing w:line="540" w:lineRule="exact"/>
        <w:ind w:firstLine="482" w:firstLineChars="200"/>
        <w:textAlignment w:val="auto"/>
        <w:rPr>
          <w:rFonts w:hint="eastAsia" w:ascii="宋体" w:hAnsi="宋体" w:eastAsia="宋体" w:cs="宋体"/>
          <w:sz w:val="24"/>
          <w:szCs w:val="24"/>
        </w:rPr>
      </w:pPr>
      <w:r>
        <w:rPr>
          <w:rFonts w:hint="eastAsia" w:ascii="宋体" w:hAnsi="宋体" w:eastAsia="宋体" w:cs="宋体"/>
          <w:b/>
          <w:bCs/>
          <w:sz w:val="24"/>
          <w:szCs w:val="24"/>
        </w:rPr>
        <w:t>第二条</w:t>
      </w:r>
      <w:r>
        <w:rPr>
          <w:rFonts w:hint="eastAsia" w:ascii="宋体" w:hAnsi="宋体" w:eastAsia="宋体" w:cs="宋体"/>
          <w:sz w:val="24"/>
          <w:szCs w:val="24"/>
        </w:rPr>
        <w:t xml:space="preserve"> 本办法适用于城区环卫作业质量的检查考核。</w:t>
      </w:r>
    </w:p>
    <w:p>
      <w:pPr>
        <w:keepNext w:val="0"/>
        <w:keepLines w:val="0"/>
        <w:pageBreakBefore w:val="0"/>
        <w:widowControl/>
        <w:suppressLineNumbers w:val="0"/>
        <w:pBdr>
          <w:top w:val="single" w:color="auto" w:sz="4" w:space="0"/>
          <w:left w:val="single" w:color="auto" w:sz="4" w:space="0"/>
          <w:bottom w:val="single" w:color="auto" w:sz="4" w:space="0"/>
          <w:right w:val="single" w:color="auto" w:sz="4" w:space="0"/>
        </w:pBdr>
        <w:shd w:val="clear" w:color="auto" w:fill="auto"/>
        <w:kinsoku/>
        <w:wordWrap/>
        <w:overflowPunct/>
        <w:topLinePunct w:val="0"/>
        <w:autoSpaceDE/>
        <w:autoSpaceDN/>
        <w:bidi w:val="0"/>
        <w:adjustRightInd/>
        <w:snapToGrid/>
        <w:spacing w:line="540" w:lineRule="exact"/>
        <w:ind w:firstLine="482" w:firstLineChars="200"/>
        <w:textAlignment w:val="auto"/>
        <w:rPr>
          <w:rFonts w:hint="eastAsia" w:ascii="宋体" w:hAnsi="宋体" w:eastAsia="宋体" w:cs="宋体"/>
          <w:sz w:val="24"/>
          <w:szCs w:val="24"/>
        </w:rPr>
      </w:pPr>
      <w:r>
        <w:rPr>
          <w:rFonts w:hint="eastAsia" w:ascii="宋体" w:hAnsi="宋体" w:eastAsia="宋体" w:cs="宋体"/>
          <w:b/>
          <w:bCs/>
          <w:sz w:val="24"/>
          <w:szCs w:val="24"/>
        </w:rPr>
        <w:t>第三条</w:t>
      </w:r>
      <w:r>
        <w:rPr>
          <w:rFonts w:hint="eastAsia" w:ascii="宋体" w:hAnsi="宋体" w:eastAsia="宋体" w:cs="宋体"/>
          <w:sz w:val="24"/>
          <w:szCs w:val="24"/>
        </w:rPr>
        <w:t xml:space="preserve"> 城区周边环境卫生质量检查考核主体为县城管局，具体负责组织实施环卫作业质量的监督、检查与考评工作。</w:t>
      </w:r>
    </w:p>
    <w:p>
      <w:pPr>
        <w:keepNext w:val="0"/>
        <w:keepLines w:val="0"/>
        <w:pageBreakBefore w:val="0"/>
        <w:widowControl/>
        <w:suppressLineNumbers w:val="0"/>
        <w:pBdr>
          <w:top w:val="single" w:color="auto" w:sz="4" w:space="0"/>
          <w:left w:val="single" w:color="auto" w:sz="4" w:space="0"/>
          <w:bottom w:val="single" w:color="auto" w:sz="4" w:space="0"/>
          <w:right w:val="single" w:color="auto" w:sz="4" w:space="0"/>
        </w:pBdr>
        <w:shd w:val="clear" w:color="auto" w:fill="auto"/>
        <w:kinsoku/>
        <w:wordWrap/>
        <w:overflowPunct/>
        <w:topLinePunct w:val="0"/>
        <w:autoSpaceDE/>
        <w:autoSpaceDN/>
        <w:bidi w:val="0"/>
        <w:adjustRightInd/>
        <w:snapToGrid/>
        <w:spacing w:line="540" w:lineRule="exact"/>
        <w:ind w:firstLine="482" w:firstLineChars="200"/>
        <w:textAlignment w:val="auto"/>
        <w:rPr>
          <w:rFonts w:hint="eastAsia" w:ascii="宋体" w:hAnsi="宋体" w:eastAsia="宋体" w:cs="宋体"/>
          <w:sz w:val="24"/>
          <w:szCs w:val="24"/>
        </w:rPr>
      </w:pPr>
      <w:r>
        <w:rPr>
          <w:rFonts w:hint="eastAsia" w:ascii="宋体" w:hAnsi="宋体" w:eastAsia="宋体" w:cs="宋体"/>
          <w:b/>
          <w:bCs/>
          <w:sz w:val="24"/>
          <w:szCs w:val="24"/>
        </w:rPr>
        <w:t>第四条</w:t>
      </w:r>
      <w:r>
        <w:rPr>
          <w:rFonts w:hint="eastAsia" w:ascii="宋体" w:hAnsi="宋体" w:eastAsia="宋体" w:cs="宋体"/>
          <w:sz w:val="24"/>
          <w:szCs w:val="24"/>
        </w:rPr>
        <w:t xml:space="preserve"> 环卫作业服务单位应按照各项考核标准要求，认真做好环境卫生管理工作，提高整体作业质量水平。</w:t>
      </w:r>
    </w:p>
    <w:p>
      <w:pPr>
        <w:keepNext w:val="0"/>
        <w:keepLines w:val="0"/>
        <w:pageBreakBefore w:val="0"/>
        <w:widowControl/>
        <w:suppressLineNumbers w:val="0"/>
        <w:pBdr>
          <w:top w:val="single" w:color="auto" w:sz="4" w:space="0"/>
          <w:left w:val="single" w:color="auto" w:sz="4" w:space="0"/>
          <w:bottom w:val="single" w:color="auto" w:sz="4" w:space="0"/>
          <w:right w:val="single" w:color="auto" w:sz="4" w:space="0"/>
        </w:pBdr>
        <w:shd w:val="clear" w:color="auto" w:fill="auto"/>
        <w:kinsoku/>
        <w:wordWrap/>
        <w:overflowPunct/>
        <w:topLinePunct w:val="0"/>
        <w:autoSpaceDE/>
        <w:autoSpaceDN/>
        <w:bidi w:val="0"/>
        <w:adjustRightInd/>
        <w:snapToGrid/>
        <w:spacing w:line="540" w:lineRule="exact"/>
        <w:ind w:firstLine="482" w:firstLineChars="200"/>
        <w:jc w:val="center"/>
        <w:textAlignment w:val="auto"/>
        <w:rPr>
          <w:rFonts w:hint="eastAsia" w:ascii="宋体" w:hAnsi="宋体" w:eastAsia="宋体" w:cs="宋体"/>
          <w:b/>
          <w:bCs/>
          <w:sz w:val="24"/>
          <w:szCs w:val="24"/>
        </w:rPr>
      </w:pPr>
      <w:r>
        <w:rPr>
          <w:rFonts w:hint="eastAsia" w:ascii="宋体" w:hAnsi="宋体" w:eastAsia="宋体" w:cs="宋体"/>
          <w:b/>
          <w:bCs/>
          <w:sz w:val="24"/>
          <w:szCs w:val="24"/>
        </w:rPr>
        <w:t>第二章 考核内容</w:t>
      </w:r>
    </w:p>
    <w:p>
      <w:pPr>
        <w:keepNext w:val="0"/>
        <w:keepLines w:val="0"/>
        <w:pageBreakBefore w:val="0"/>
        <w:widowControl/>
        <w:suppressLineNumbers w:val="0"/>
        <w:pBdr>
          <w:top w:val="single" w:color="auto" w:sz="4" w:space="0"/>
          <w:left w:val="single" w:color="auto" w:sz="4" w:space="0"/>
          <w:bottom w:val="single" w:color="auto" w:sz="4" w:space="0"/>
          <w:right w:val="single" w:color="auto" w:sz="4" w:space="0"/>
        </w:pBdr>
        <w:shd w:val="clear" w:color="auto" w:fill="auto"/>
        <w:kinsoku/>
        <w:wordWrap/>
        <w:overflowPunct/>
        <w:topLinePunct w:val="0"/>
        <w:autoSpaceDE/>
        <w:autoSpaceDN/>
        <w:bidi w:val="0"/>
        <w:adjustRightInd/>
        <w:snapToGrid/>
        <w:spacing w:line="540" w:lineRule="exact"/>
        <w:ind w:firstLine="482" w:firstLineChars="200"/>
        <w:textAlignment w:val="auto"/>
        <w:rPr>
          <w:rFonts w:hint="eastAsia" w:ascii="宋体" w:hAnsi="宋体" w:eastAsia="宋体" w:cs="宋体"/>
          <w:sz w:val="24"/>
          <w:szCs w:val="24"/>
        </w:rPr>
      </w:pPr>
      <w:r>
        <w:rPr>
          <w:rFonts w:hint="eastAsia" w:ascii="宋体" w:hAnsi="宋体" w:eastAsia="宋体" w:cs="宋体"/>
          <w:b/>
          <w:bCs/>
          <w:sz w:val="24"/>
          <w:szCs w:val="24"/>
        </w:rPr>
        <w:t xml:space="preserve">第五条 </w:t>
      </w:r>
      <w:r>
        <w:rPr>
          <w:rFonts w:hint="eastAsia" w:ascii="宋体" w:hAnsi="宋体" w:eastAsia="宋体" w:cs="宋体"/>
          <w:sz w:val="24"/>
          <w:szCs w:val="24"/>
        </w:rPr>
        <w:t>环卫作业质量考核内容主要包括：</w:t>
      </w:r>
    </w:p>
    <w:p>
      <w:pPr>
        <w:keepNext w:val="0"/>
        <w:keepLines w:val="0"/>
        <w:pageBreakBefore w:val="0"/>
        <w:widowControl/>
        <w:suppressLineNumbers w:val="0"/>
        <w:pBdr>
          <w:top w:val="single" w:color="auto" w:sz="4" w:space="0"/>
          <w:left w:val="single" w:color="auto" w:sz="4" w:space="0"/>
          <w:bottom w:val="single" w:color="auto" w:sz="4" w:space="0"/>
          <w:right w:val="single" w:color="auto" w:sz="4" w:space="0"/>
        </w:pBdr>
        <w:shd w:val="clear" w:color="auto" w:fill="auto"/>
        <w:kinsoku/>
        <w:wordWrap/>
        <w:overflowPunct/>
        <w:topLinePunct w:val="0"/>
        <w:autoSpaceDE/>
        <w:autoSpaceDN/>
        <w:bidi w:val="0"/>
        <w:adjustRightInd/>
        <w:snapToGrid/>
        <w:spacing w:line="5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（一）城区道路、小街小巷、人行道、绿化带、地下通道、所涉范围内公共场所的清扫保洁。</w:t>
      </w:r>
    </w:p>
    <w:p>
      <w:pPr>
        <w:keepNext w:val="0"/>
        <w:keepLines w:val="0"/>
        <w:pageBreakBefore w:val="0"/>
        <w:widowControl/>
        <w:suppressLineNumbers w:val="0"/>
        <w:pBdr>
          <w:top w:val="single" w:color="auto" w:sz="4" w:space="0"/>
          <w:left w:val="single" w:color="auto" w:sz="4" w:space="0"/>
          <w:bottom w:val="single" w:color="auto" w:sz="4" w:space="0"/>
          <w:right w:val="single" w:color="auto" w:sz="4" w:space="0"/>
        </w:pBdr>
        <w:shd w:val="clear" w:color="auto" w:fill="auto"/>
        <w:kinsoku/>
        <w:wordWrap/>
        <w:overflowPunct/>
        <w:topLinePunct w:val="0"/>
        <w:autoSpaceDE/>
        <w:autoSpaceDN/>
        <w:bidi w:val="0"/>
        <w:adjustRightInd/>
        <w:snapToGrid/>
        <w:spacing w:line="5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（二）生活垃圾收集容器，转运点、果皮箱的设置与管理。</w:t>
      </w:r>
    </w:p>
    <w:p>
      <w:pPr>
        <w:keepNext w:val="0"/>
        <w:keepLines w:val="0"/>
        <w:pageBreakBefore w:val="0"/>
        <w:widowControl/>
        <w:suppressLineNumbers w:val="0"/>
        <w:pBdr>
          <w:top w:val="single" w:color="auto" w:sz="4" w:space="0"/>
          <w:left w:val="single" w:color="auto" w:sz="4" w:space="0"/>
          <w:bottom w:val="single" w:color="auto" w:sz="4" w:space="0"/>
          <w:right w:val="single" w:color="auto" w:sz="4" w:space="0"/>
        </w:pBdr>
        <w:shd w:val="clear" w:color="auto" w:fill="auto"/>
        <w:kinsoku/>
        <w:wordWrap/>
        <w:overflowPunct/>
        <w:topLinePunct w:val="0"/>
        <w:autoSpaceDE/>
        <w:autoSpaceDN/>
        <w:bidi w:val="0"/>
        <w:adjustRightInd/>
        <w:snapToGrid/>
        <w:spacing w:line="5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（三）城区生活垃圾的收集、运输。</w:t>
      </w:r>
    </w:p>
    <w:p>
      <w:pPr>
        <w:keepNext w:val="0"/>
        <w:keepLines w:val="0"/>
        <w:pageBreakBefore w:val="0"/>
        <w:widowControl/>
        <w:suppressLineNumbers w:val="0"/>
        <w:pBdr>
          <w:top w:val="single" w:color="auto" w:sz="4" w:space="0"/>
          <w:left w:val="single" w:color="auto" w:sz="4" w:space="0"/>
          <w:bottom w:val="single" w:color="auto" w:sz="4" w:space="0"/>
          <w:right w:val="single" w:color="auto" w:sz="4" w:space="0"/>
        </w:pBdr>
        <w:shd w:val="clear" w:color="auto" w:fill="auto"/>
        <w:kinsoku/>
        <w:wordWrap/>
        <w:overflowPunct/>
        <w:topLinePunct w:val="0"/>
        <w:autoSpaceDE/>
        <w:autoSpaceDN/>
        <w:bidi w:val="0"/>
        <w:adjustRightInd/>
        <w:snapToGrid/>
        <w:spacing w:line="5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（四）生活垃圾转运及转运站的管理。</w:t>
      </w:r>
    </w:p>
    <w:p>
      <w:pPr>
        <w:keepNext w:val="0"/>
        <w:keepLines w:val="0"/>
        <w:pageBreakBefore w:val="0"/>
        <w:widowControl/>
        <w:suppressLineNumbers w:val="0"/>
        <w:pBdr>
          <w:top w:val="single" w:color="auto" w:sz="4" w:space="0"/>
          <w:left w:val="single" w:color="auto" w:sz="4" w:space="0"/>
          <w:bottom w:val="single" w:color="auto" w:sz="4" w:space="0"/>
          <w:right w:val="single" w:color="auto" w:sz="4" w:space="0"/>
        </w:pBdr>
        <w:shd w:val="clear" w:color="auto" w:fill="auto"/>
        <w:kinsoku/>
        <w:wordWrap/>
        <w:overflowPunct/>
        <w:topLinePunct w:val="0"/>
        <w:autoSpaceDE/>
        <w:autoSpaceDN/>
        <w:bidi w:val="0"/>
        <w:adjustRightInd/>
        <w:snapToGrid/>
        <w:spacing w:line="5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（五）公共厕所的管理。</w:t>
      </w:r>
    </w:p>
    <w:p>
      <w:pPr>
        <w:keepNext w:val="0"/>
        <w:keepLines w:val="0"/>
        <w:pageBreakBefore w:val="0"/>
        <w:widowControl/>
        <w:suppressLineNumbers w:val="0"/>
        <w:pBdr>
          <w:top w:val="single" w:color="auto" w:sz="4" w:space="0"/>
          <w:left w:val="single" w:color="auto" w:sz="4" w:space="0"/>
          <w:bottom w:val="single" w:color="auto" w:sz="4" w:space="0"/>
          <w:right w:val="single" w:color="auto" w:sz="4" w:space="0"/>
        </w:pBdr>
        <w:shd w:val="clear" w:color="auto" w:fill="auto"/>
        <w:kinsoku/>
        <w:wordWrap/>
        <w:overflowPunct/>
        <w:topLinePunct w:val="0"/>
        <w:autoSpaceDE/>
        <w:autoSpaceDN/>
        <w:bidi w:val="0"/>
        <w:adjustRightInd/>
        <w:snapToGrid/>
        <w:spacing w:line="5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（六）城区无主垃圾的清理。</w:t>
      </w:r>
    </w:p>
    <w:p>
      <w:pPr>
        <w:keepNext w:val="0"/>
        <w:keepLines w:val="0"/>
        <w:pageBreakBefore w:val="0"/>
        <w:widowControl/>
        <w:suppressLineNumbers w:val="0"/>
        <w:pBdr>
          <w:top w:val="single" w:color="auto" w:sz="4" w:space="0"/>
          <w:left w:val="single" w:color="auto" w:sz="4" w:space="0"/>
          <w:bottom w:val="single" w:color="auto" w:sz="4" w:space="0"/>
          <w:right w:val="single" w:color="auto" w:sz="4" w:space="0"/>
        </w:pBdr>
        <w:shd w:val="clear" w:color="auto" w:fill="auto"/>
        <w:kinsoku/>
        <w:wordWrap/>
        <w:overflowPunct/>
        <w:topLinePunct w:val="0"/>
        <w:autoSpaceDE/>
        <w:autoSpaceDN/>
        <w:bidi w:val="0"/>
        <w:adjustRightInd/>
        <w:snapToGrid/>
        <w:spacing w:line="5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（七）城区环卫应急保障。</w:t>
      </w:r>
    </w:p>
    <w:p>
      <w:pPr>
        <w:keepNext w:val="0"/>
        <w:keepLines w:val="0"/>
        <w:pageBreakBefore w:val="0"/>
        <w:widowControl/>
        <w:suppressLineNumbers w:val="0"/>
        <w:pBdr>
          <w:top w:val="single" w:color="auto" w:sz="4" w:space="0"/>
          <w:left w:val="single" w:color="auto" w:sz="4" w:space="0"/>
          <w:bottom w:val="single" w:color="auto" w:sz="4" w:space="0"/>
          <w:right w:val="single" w:color="auto" w:sz="4" w:space="0"/>
        </w:pBdr>
        <w:shd w:val="clear" w:color="auto" w:fill="auto"/>
        <w:kinsoku/>
        <w:wordWrap/>
        <w:overflowPunct/>
        <w:topLinePunct w:val="0"/>
        <w:autoSpaceDE/>
        <w:autoSpaceDN/>
        <w:bidi w:val="0"/>
        <w:adjustRightInd/>
        <w:snapToGrid/>
        <w:spacing w:line="5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（八）环卫作业安全生产。</w:t>
      </w:r>
    </w:p>
    <w:p>
      <w:pPr>
        <w:keepNext w:val="0"/>
        <w:keepLines w:val="0"/>
        <w:pageBreakBefore w:val="0"/>
        <w:widowControl/>
        <w:suppressLineNumbers w:val="0"/>
        <w:pBdr>
          <w:top w:val="single" w:color="auto" w:sz="4" w:space="0"/>
          <w:left w:val="single" w:color="auto" w:sz="4" w:space="0"/>
          <w:bottom w:val="single" w:color="auto" w:sz="4" w:space="0"/>
          <w:right w:val="single" w:color="auto" w:sz="4" w:space="0"/>
        </w:pBdr>
        <w:shd w:val="clear" w:color="auto" w:fill="auto"/>
        <w:kinsoku/>
        <w:wordWrap/>
        <w:overflowPunct/>
        <w:topLinePunct w:val="0"/>
        <w:autoSpaceDE/>
        <w:autoSpaceDN/>
        <w:bidi w:val="0"/>
        <w:adjustRightInd/>
        <w:snapToGrid/>
        <w:spacing w:line="5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（九）智慧环卫信息平台管理。</w:t>
      </w:r>
    </w:p>
    <w:p>
      <w:pPr>
        <w:keepNext w:val="0"/>
        <w:keepLines w:val="0"/>
        <w:pageBreakBefore w:val="0"/>
        <w:widowControl/>
        <w:suppressLineNumbers w:val="0"/>
        <w:pBdr>
          <w:top w:val="single" w:color="auto" w:sz="4" w:space="0"/>
          <w:left w:val="single" w:color="auto" w:sz="4" w:space="0"/>
          <w:bottom w:val="single" w:color="auto" w:sz="4" w:space="0"/>
          <w:right w:val="single" w:color="auto" w:sz="4" w:space="0"/>
        </w:pBdr>
        <w:shd w:val="clear" w:color="auto" w:fill="auto"/>
        <w:kinsoku/>
        <w:wordWrap/>
        <w:overflowPunct/>
        <w:topLinePunct w:val="0"/>
        <w:autoSpaceDE/>
        <w:autoSpaceDN/>
        <w:bidi w:val="0"/>
        <w:adjustRightInd/>
        <w:snapToGrid/>
        <w:spacing w:line="540" w:lineRule="exact"/>
        <w:ind w:firstLine="482" w:firstLineChars="200"/>
        <w:textAlignment w:val="auto"/>
        <w:rPr>
          <w:rFonts w:hint="eastAsia" w:ascii="宋体" w:hAnsi="宋体" w:eastAsia="宋体" w:cs="宋体"/>
          <w:sz w:val="24"/>
          <w:szCs w:val="24"/>
        </w:rPr>
      </w:pPr>
      <w:r>
        <w:rPr>
          <w:rFonts w:hint="eastAsia" w:ascii="宋体" w:hAnsi="宋体" w:eastAsia="宋体" w:cs="宋体"/>
          <w:b/>
          <w:bCs/>
          <w:sz w:val="24"/>
          <w:szCs w:val="24"/>
        </w:rPr>
        <w:t>第六条</w:t>
      </w:r>
      <w:r>
        <w:rPr>
          <w:rFonts w:hint="eastAsia" w:ascii="宋体" w:hAnsi="宋体" w:eastAsia="宋体" w:cs="宋体"/>
          <w:sz w:val="24"/>
          <w:szCs w:val="24"/>
        </w:rPr>
        <w:t xml:space="preserve"> 为发挥社会监督作用，把公众举报、新闻媒体曝光、以及重大活动保障、突发事件的应急处置、上级主管部门交办事项的响应等一并列入检查考核内容。</w:t>
      </w:r>
    </w:p>
    <w:p>
      <w:pPr>
        <w:keepNext w:val="0"/>
        <w:keepLines w:val="0"/>
        <w:pageBreakBefore w:val="0"/>
        <w:widowControl/>
        <w:suppressLineNumbers w:val="0"/>
        <w:pBdr>
          <w:top w:val="single" w:color="auto" w:sz="4" w:space="0"/>
          <w:left w:val="single" w:color="auto" w:sz="4" w:space="0"/>
          <w:bottom w:val="single" w:color="auto" w:sz="4" w:space="0"/>
          <w:right w:val="single" w:color="auto" w:sz="4" w:space="0"/>
        </w:pBdr>
        <w:shd w:val="clear" w:color="auto" w:fill="auto"/>
        <w:kinsoku/>
        <w:wordWrap/>
        <w:overflowPunct/>
        <w:topLinePunct w:val="0"/>
        <w:autoSpaceDE/>
        <w:autoSpaceDN/>
        <w:bidi w:val="0"/>
        <w:adjustRightInd/>
        <w:snapToGrid/>
        <w:spacing w:line="540" w:lineRule="exact"/>
        <w:jc w:val="center"/>
        <w:textAlignment w:val="auto"/>
        <w:rPr>
          <w:rFonts w:hint="eastAsia" w:ascii="宋体" w:hAnsi="宋体" w:eastAsia="宋体" w:cs="宋体"/>
          <w:b/>
          <w:bCs/>
          <w:sz w:val="24"/>
          <w:szCs w:val="24"/>
        </w:rPr>
      </w:pPr>
      <w:r>
        <w:rPr>
          <w:rFonts w:hint="eastAsia" w:ascii="宋体" w:hAnsi="宋体" w:eastAsia="宋体" w:cs="宋体"/>
          <w:b/>
          <w:bCs/>
          <w:sz w:val="24"/>
          <w:szCs w:val="24"/>
        </w:rPr>
        <w:t>第三章 考核方式</w:t>
      </w:r>
    </w:p>
    <w:p>
      <w:pPr>
        <w:keepNext w:val="0"/>
        <w:keepLines w:val="0"/>
        <w:pageBreakBefore w:val="0"/>
        <w:widowControl/>
        <w:suppressLineNumbers w:val="0"/>
        <w:pBdr>
          <w:top w:val="single" w:color="auto" w:sz="4" w:space="0"/>
          <w:left w:val="single" w:color="auto" w:sz="4" w:space="0"/>
          <w:bottom w:val="single" w:color="auto" w:sz="4" w:space="0"/>
          <w:right w:val="single" w:color="auto" w:sz="4" w:space="0"/>
        </w:pBdr>
        <w:shd w:val="clear" w:color="auto" w:fill="auto"/>
        <w:kinsoku/>
        <w:wordWrap/>
        <w:overflowPunct/>
        <w:topLinePunct w:val="0"/>
        <w:autoSpaceDE/>
        <w:autoSpaceDN/>
        <w:bidi w:val="0"/>
        <w:adjustRightInd/>
        <w:snapToGrid/>
        <w:spacing w:line="540" w:lineRule="exact"/>
        <w:ind w:firstLine="482" w:firstLineChars="200"/>
        <w:textAlignment w:val="auto"/>
        <w:rPr>
          <w:rFonts w:hint="eastAsia" w:ascii="宋体" w:hAnsi="宋体" w:eastAsia="宋体" w:cs="宋体"/>
          <w:sz w:val="24"/>
          <w:szCs w:val="24"/>
        </w:rPr>
      </w:pPr>
      <w:r>
        <w:rPr>
          <w:rFonts w:hint="eastAsia" w:ascii="宋体" w:hAnsi="宋体" w:eastAsia="宋体" w:cs="宋体"/>
          <w:b/>
          <w:bCs/>
          <w:sz w:val="24"/>
          <w:szCs w:val="24"/>
        </w:rPr>
        <w:t>第七条</w:t>
      </w:r>
      <w:r>
        <w:rPr>
          <w:rFonts w:hint="eastAsia" w:ascii="宋体" w:hAnsi="宋体" w:eastAsia="宋体" w:cs="宋体"/>
          <w:sz w:val="24"/>
          <w:szCs w:val="24"/>
        </w:rPr>
        <w:t xml:space="preserve"> 由县城管局按照考核类别分别组成清扫保洁、垃圾收集转运、公厕管理、垃圾中转站管理等检查考核小组，实施城区环卫作业质量的检查考核工作。</w:t>
      </w:r>
    </w:p>
    <w:p>
      <w:pPr>
        <w:keepNext w:val="0"/>
        <w:keepLines w:val="0"/>
        <w:pageBreakBefore w:val="0"/>
        <w:widowControl/>
        <w:suppressLineNumbers w:val="0"/>
        <w:pBdr>
          <w:top w:val="single" w:color="auto" w:sz="4" w:space="0"/>
          <w:left w:val="single" w:color="auto" w:sz="4" w:space="0"/>
          <w:bottom w:val="single" w:color="auto" w:sz="4" w:space="0"/>
          <w:right w:val="single" w:color="auto" w:sz="4" w:space="0"/>
        </w:pBdr>
        <w:shd w:val="clear" w:color="auto" w:fill="auto"/>
        <w:kinsoku/>
        <w:wordWrap/>
        <w:overflowPunct/>
        <w:topLinePunct w:val="0"/>
        <w:autoSpaceDE/>
        <w:autoSpaceDN/>
        <w:bidi w:val="0"/>
        <w:adjustRightInd/>
        <w:snapToGrid/>
        <w:spacing w:line="540" w:lineRule="exact"/>
        <w:ind w:firstLine="482" w:firstLineChars="200"/>
        <w:textAlignment w:val="auto"/>
        <w:rPr>
          <w:rFonts w:hint="eastAsia" w:ascii="宋体" w:hAnsi="宋体" w:eastAsia="宋体" w:cs="宋体"/>
          <w:sz w:val="24"/>
          <w:szCs w:val="24"/>
        </w:rPr>
      </w:pPr>
      <w:r>
        <w:rPr>
          <w:rFonts w:hint="eastAsia" w:ascii="宋体" w:hAnsi="宋体" w:eastAsia="宋体" w:cs="宋体"/>
          <w:b/>
          <w:bCs/>
          <w:sz w:val="24"/>
          <w:szCs w:val="24"/>
        </w:rPr>
        <w:t>第八条</w:t>
      </w:r>
      <w:r>
        <w:rPr>
          <w:rFonts w:hint="eastAsia" w:ascii="宋体" w:hAnsi="宋体" w:eastAsia="宋体" w:cs="宋体"/>
          <w:sz w:val="24"/>
          <w:szCs w:val="24"/>
        </w:rPr>
        <w:t xml:space="preserve"> 县城管局对环卫作业质量实行周检查制度，清扫保洁、垃圾分类及生活垃圾清运每周检查2次，其中1次为量分考核检查。公共厕所、垃圾转运站和其他考核内容每周检查1次并量分。周检查量分权重占总考核分数的20%。</w:t>
      </w:r>
    </w:p>
    <w:p>
      <w:pPr>
        <w:keepNext w:val="0"/>
        <w:keepLines w:val="0"/>
        <w:pageBreakBefore w:val="0"/>
        <w:widowControl/>
        <w:suppressLineNumbers w:val="0"/>
        <w:pBdr>
          <w:top w:val="single" w:color="auto" w:sz="4" w:space="0"/>
          <w:left w:val="single" w:color="auto" w:sz="4" w:space="0"/>
          <w:bottom w:val="single" w:color="auto" w:sz="4" w:space="0"/>
          <w:right w:val="single" w:color="auto" w:sz="4" w:space="0"/>
        </w:pBdr>
        <w:shd w:val="clear" w:color="auto" w:fill="auto"/>
        <w:kinsoku/>
        <w:wordWrap/>
        <w:overflowPunct/>
        <w:topLinePunct w:val="0"/>
        <w:autoSpaceDE/>
        <w:autoSpaceDN/>
        <w:bidi w:val="0"/>
        <w:adjustRightInd/>
        <w:snapToGrid/>
        <w:spacing w:line="540" w:lineRule="exact"/>
        <w:ind w:firstLine="482" w:firstLineChars="200"/>
        <w:textAlignment w:val="auto"/>
        <w:rPr>
          <w:rFonts w:hint="eastAsia" w:ascii="宋体" w:hAnsi="宋体" w:eastAsia="宋体" w:cs="宋体"/>
          <w:sz w:val="24"/>
          <w:szCs w:val="24"/>
        </w:rPr>
      </w:pPr>
      <w:r>
        <w:rPr>
          <w:rFonts w:hint="eastAsia" w:ascii="宋体" w:hAnsi="宋体" w:eastAsia="宋体" w:cs="宋体"/>
          <w:b/>
          <w:bCs/>
          <w:sz w:val="24"/>
          <w:szCs w:val="24"/>
        </w:rPr>
        <w:t>第九条</w:t>
      </w:r>
      <w:r>
        <w:rPr>
          <w:rFonts w:hint="eastAsia" w:ascii="宋体" w:hAnsi="宋体" w:eastAsia="宋体" w:cs="宋体"/>
          <w:sz w:val="24"/>
          <w:szCs w:val="24"/>
        </w:rPr>
        <w:t xml:space="preserve"> 各考核组分别对清扫保洁、垃圾收集转运、公厕管理、垃圾中转站管理实行日检查制度，其中每周2次为量分考核检查，考核组量分权重占总考核分数80%。各类作业考核按照清扫保洁35%、垃圾收集转运25%、公厕管理20%、垃圾中转站管理10%、大件垃圾处置、“牛皮廯”清理等其他10%的权重计入总分。</w:t>
      </w:r>
    </w:p>
    <w:p>
      <w:pPr>
        <w:keepNext w:val="0"/>
        <w:keepLines w:val="0"/>
        <w:pageBreakBefore w:val="0"/>
        <w:widowControl/>
        <w:suppressLineNumbers w:val="0"/>
        <w:pBdr>
          <w:top w:val="single" w:color="auto" w:sz="4" w:space="0"/>
          <w:left w:val="single" w:color="auto" w:sz="4" w:space="0"/>
          <w:bottom w:val="single" w:color="auto" w:sz="4" w:space="0"/>
          <w:right w:val="single" w:color="auto" w:sz="4" w:space="0"/>
        </w:pBdr>
        <w:shd w:val="clear" w:color="auto" w:fill="auto"/>
        <w:kinsoku/>
        <w:wordWrap/>
        <w:overflowPunct/>
        <w:topLinePunct w:val="0"/>
        <w:autoSpaceDE/>
        <w:autoSpaceDN/>
        <w:bidi w:val="0"/>
        <w:adjustRightInd/>
        <w:snapToGrid/>
        <w:spacing w:line="540" w:lineRule="exact"/>
        <w:ind w:firstLine="482" w:firstLineChars="200"/>
        <w:textAlignment w:val="auto"/>
        <w:rPr>
          <w:rFonts w:hint="eastAsia" w:ascii="宋体" w:hAnsi="宋体" w:eastAsia="宋体" w:cs="宋体"/>
          <w:sz w:val="24"/>
          <w:szCs w:val="24"/>
        </w:rPr>
      </w:pPr>
      <w:r>
        <w:rPr>
          <w:rFonts w:hint="eastAsia" w:ascii="宋体" w:hAnsi="宋体" w:eastAsia="宋体" w:cs="宋体"/>
          <w:b/>
          <w:bCs/>
          <w:sz w:val="24"/>
          <w:szCs w:val="24"/>
        </w:rPr>
        <w:t>第十条</w:t>
      </w:r>
      <w:r>
        <w:rPr>
          <w:rFonts w:hint="eastAsia" w:ascii="宋体" w:hAnsi="宋体" w:eastAsia="宋体" w:cs="宋体"/>
          <w:sz w:val="24"/>
          <w:szCs w:val="24"/>
        </w:rPr>
        <w:t xml:space="preserve"> 量分的考核检查要对存在问题的扣分点拍照取证，不能拍照取证的要有被考核单位指定的人员在场签名确认否则扣分无效。</w:t>
      </w:r>
    </w:p>
    <w:p>
      <w:pPr>
        <w:keepNext w:val="0"/>
        <w:keepLines w:val="0"/>
        <w:pageBreakBefore w:val="0"/>
        <w:widowControl/>
        <w:suppressLineNumbers w:val="0"/>
        <w:pBdr>
          <w:top w:val="single" w:color="auto" w:sz="4" w:space="0"/>
          <w:left w:val="single" w:color="auto" w:sz="4" w:space="0"/>
          <w:bottom w:val="single" w:color="auto" w:sz="4" w:space="0"/>
          <w:right w:val="single" w:color="auto" w:sz="4" w:space="0"/>
        </w:pBdr>
        <w:shd w:val="clear" w:color="auto" w:fill="auto"/>
        <w:kinsoku/>
        <w:wordWrap/>
        <w:overflowPunct/>
        <w:topLinePunct w:val="0"/>
        <w:autoSpaceDE/>
        <w:autoSpaceDN/>
        <w:bidi w:val="0"/>
        <w:adjustRightInd/>
        <w:snapToGrid/>
        <w:spacing w:line="540" w:lineRule="exact"/>
        <w:ind w:firstLine="482" w:firstLineChars="200"/>
        <w:textAlignment w:val="auto"/>
        <w:rPr>
          <w:rFonts w:hint="eastAsia" w:ascii="宋体" w:hAnsi="宋体" w:eastAsia="宋体" w:cs="宋体"/>
          <w:sz w:val="24"/>
          <w:szCs w:val="24"/>
        </w:rPr>
      </w:pPr>
      <w:r>
        <w:rPr>
          <w:rFonts w:hint="eastAsia" w:ascii="宋体" w:hAnsi="宋体" w:eastAsia="宋体" w:cs="宋体"/>
          <w:b/>
          <w:bCs/>
          <w:sz w:val="24"/>
          <w:szCs w:val="24"/>
        </w:rPr>
        <w:t>第十一条</w:t>
      </w:r>
      <w:r>
        <w:rPr>
          <w:rFonts w:hint="eastAsia" w:ascii="宋体" w:hAnsi="宋体" w:eastAsia="宋体" w:cs="宋体"/>
          <w:sz w:val="24"/>
          <w:szCs w:val="24"/>
        </w:rPr>
        <w:t xml:space="preserve"> 环卫作业服务单位要指定专人具体负责配合检查考核工作，以便与考核单位的沟通协调。</w:t>
      </w:r>
    </w:p>
    <w:p>
      <w:pPr>
        <w:keepNext w:val="0"/>
        <w:keepLines w:val="0"/>
        <w:pageBreakBefore w:val="0"/>
        <w:widowControl/>
        <w:suppressLineNumbers w:val="0"/>
        <w:pBdr>
          <w:top w:val="single" w:color="auto" w:sz="4" w:space="0"/>
          <w:left w:val="single" w:color="auto" w:sz="4" w:space="0"/>
          <w:bottom w:val="single" w:color="auto" w:sz="4" w:space="0"/>
          <w:right w:val="single" w:color="auto" w:sz="4" w:space="0"/>
        </w:pBdr>
        <w:shd w:val="clear" w:color="auto" w:fill="auto"/>
        <w:kinsoku/>
        <w:wordWrap/>
        <w:overflowPunct/>
        <w:topLinePunct w:val="0"/>
        <w:autoSpaceDE/>
        <w:autoSpaceDN/>
        <w:bidi w:val="0"/>
        <w:adjustRightInd/>
        <w:snapToGrid/>
        <w:spacing w:line="540" w:lineRule="exact"/>
        <w:jc w:val="center"/>
        <w:textAlignment w:val="auto"/>
        <w:rPr>
          <w:rFonts w:hint="eastAsia" w:ascii="宋体" w:hAnsi="宋体" w:eastAsia="宋体" w:cs="宋体"/>
          <w:b/>
          <w:bCs/>
          <w:sz w:val="24"/>
          <w:szCs w:val="24"/>
        </w:rPr>
      </w:pPr>
      <w:r>
        <w:rPr>
          <w:rFonts w:hint="eastAsia" w:ascii="宋体" w:hAnsi="宋体" w:eastAsia="宋体" w:cs="宋体"/>
          <w:b/>
          <w:bCs/>
          <w:sz w:val="24"/>
          <w:szCs w:val="24"/>
        </w:rPr>
        <w:t>第四章 评分办法</w:t>
      </w:r>
    </w:p>
    <w:p>
      <w:pPr>
        <w:keepNext w:val="0"/>
        <w:keepLines w:val="0"/>
        <w:pageBreakBefore w:val="0"/>
        <w:widowControl/>
        <w:suppressLineNumbers w:val="0"/>
        <w:pBdr>
          <w:top w:val="single" w:color="auto" w:sz="4" w:space="0"/>
          <w:left w:val="single" w:color="auto" w:sz="4" w:space="0"/>
          <w:bottom w:val="single" w:color="auto" w:sz="4" w:space="0"/>
          <w:right w:val="single" w:color="auto" w:sz="4" w:space="0"/>
        </w:pBdr>
        <w:shd w:val="clear" w:color="auto" w:fill="auto"/>
        <w:kinsoku/>
        <w:wordWrap/>
        <w:overflowPunct/>
        <w:topLinePunct w:val="0"/>
        <w:autoSpaceDE/>
        <w:autoSpaceDN/>
        <w:bidi w:val="0"/>
        <w:adjustRightInd/>
        <w:snapToGrid/>
        <w:spacing w:line="540" w:lineRule="exact"/>
        <w:ind w:firstLine="482" w:firstLineChars="200"/>
        <w:textAlignment w:val="auto"/>
        <w:rPr>
          <w:rFonts w:hint="eastAsia" w:ascii="宋体" w:hAnsi="宋体" w:eastAsia="宋体" w:cs="宋体"/>
          <w:sz w:val="24"/>
          <w:szCs w:val="24"/>
        </w:rPr>
      </w:pPr>
      <w:r>
        <w:rPr>
          <w:rFonts w:hint="eastAsia" w:ascii="宋体" w:hAnsi="宋体" w:eastAsia="宋体" w:cs="宋体"/>
          <w:b/>
          <w:bCs/>
          <w:sz w:val="24"/>
          <w:szCs w:val="24"/>
        </w:rPr>
        <w:t>第十二条</w:t>
      </w:r>
      <w:r>
        <w:rPr>
          <w:rFonts w:hint="eastAsia" w:ascii="宋体" w:hAnsi="宋体" w:eastAsia="宋体" w:cs="宋体"/>
          <w:sz w:val="24"/>
          <w:szCs w:val="24"/>
        </w:rPr>
        <w:t xml:space="preserve"> 检查考核实行100分量化评分制。检查考核按照各类作业考核细则的规定进行具体量分。考核细则见附件。月作业质量考核评分权重设置为：</w:t>
      </w:r>
    </w:p>
    <w:p>
      <w:pPr>
        <w:keepNext w:val="0"/>
        <w:keepLines w:val="0"/>
        <w:pageBreakBefore w:val="0"/>
        <w:widowControl/>
        <w:suppressLineNumbers w:val="0"/>
        <w:pBdr>
          <w:top w:val="single" w:color="auto" w:sz="4" w:space="0"/>
          <w:left w:val="single" w:color="auto" w:sz="4" w:space="0"/>
          <w:bottom w:val="single" w:color="auto" w:sz="4" w:space="0"/>
          <w:right w:val="single" w:color="auto" w:sz="4" w:space="0"/>
        </w:pBdr>
        <w:shd w:val="clear" w:color="auto" w:fill="auto"/>
        <w:kinsoku/>
        <w:wordWrap/>
        <w:overflowPunct/>
        <w:topLinePunct w:val="0"/>
        <w:autoSpaceDE/>
        <w:autoSpaceDN/>
        <w:bidi w:val="0"/>
        <w:adjustRightInd/>
        <w:snapToGrid/>
        <w:spacing w:line="5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1、城区考核100%；</w:t>
      </w:r>
    </w:p>
    <w:p>
      <w:pPr>
        <w:keepNext w:val="0"/>
        <w:keepLines w:val="0"/>
        <w:pageBreakBefore w:val="0"/>
        <w:widowControl/>
        <w:suppressLineNumbers w:val="0"/>
        <w:pBdr>
          <w:top w:val="single" w:color="auto" w:sz="4" w:space="0"/>
          <w:left w:val="single" w:color="auto" w:sz="4" w:space="0"/>
          <w:bottom w:val="single" w:color="auto" w:sz="4" w:space="0"/>
          <w:right w:val="single" w:color="auto" w:sz="4" w:space="0"/>
        </w:pBdr>
        <w:shd w:val="clear" w:color="auto" w:fill="auto"/>
        <w:kinsoku/>
        <w:wordWrap/>
        <w:overflowPunct/>
        <w:topLinePunct w:val="0"/>
        <w:autoSpaceDE/>
        <w:autoSpaceDN/>
        <w:bidi w:val="0"/>
        <w:adjustRightInd/>
        <w:snapToGrid/>
        <w:spacing w:line="5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月考核实际得分=城区考核100%。</w:t>
      </w:r>
    </w:p>
    <w:p>
      <w:pPr>
        <w:keepNext w:val="0"/>
        <w:keepLines w:val="0"/>
        <w:pageBreakBefore w:val="0"/>
        <w:widowControl/>
        <w:suppressLineNumbers w:val="0"/>
        <w:pBdr>
          <w:top w:val="single" w:color="auto" w:sz="4" w:space="0"/>
          <w:left w:val="single" w:color="auto" w:sz="4" w:space="0"/>
          <w:bottom w:val="single" w:color="auto" w:sz="4" w:space="0"/>
          <w:right w:val="single" w:color="auto" w:sz="4" w:space="0"/>
        </w:pBdr>
        <w:shd w:val="clear" w:color="auto" w:fill="auto"/>
        <w:kinsoku/>
        <w:wordWrap/>
        <w:overflowPunct/>
        <w:topLinePunct w:val="0"/>
        <w:autoSpaceDE/>
        <w:autoSpaceDN/>
        <w:bidi w:val="0"/>
        <w:adjustRightInd/>
        <w:snapToGrid/>
        <w:spacing w:line="5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检查考核结果每月一次汇总，每季度进行小结，年终进行总结。季度量化标准为本季度各月分数的平均值，年终量化标准为本年度各季度分数的平均值。各主管部门要在次月初5个工作日内，汇总检查考核情况，并向被考核单位通报考评情况。</w:t>
      </w:r>
    </w:p>
    <w:p>
      <w:pPr>
        <w:keepNext w:val="0"/>
        <w:keepLines w:val="0"/>
        <w:pageBreakBefore w:val="0"/>
        <w:widowControl/>
        <w:suppressLineNumbers w:val="0"/>
        <w:pBdr>
          <w:top w:val="single" w:color="auto" w:sz="4" w:space="0"/>
          <w:left w:val="single" w:color="auto" w:sz="4" w:space="0"/>
          <w:bottom w:val="single" w:color="auto" w:sz="4" w:space="0"/>
          <w:right w:val="single" w:color="auto" w:sz="4" w:space="0"/>
        </w:pBdr>
        <w:shd w:val="clear" w:color="auto" w:fill="auto"/>
        <w:kinsoku/>
        <w:wordWrap/>
        <w:overflowPunct/>
        <w:topLinePunct w:val="0"/>
        <w:autoSpaceDE/>
        <w:autoSpaceDN/>
        <w:bidi w:val="0"/>
        <w:adjustRightInd/>
        <w:snapToGrid/>
        <w:spacing w:line="540" w:lineRule="exact"/>
        <w:ind w:firstLine="482" w:firstLineChars="200"/>
        <w:textAlignment w:val="auto"/>
        <w:rPr>
          <w:rFonts w:hint="eastAsia" w:ascii="宋体" w:hAnsi="宋体" w:eastAsia="宋体" w:cs="宋体"/>
          <w:sz w:val="24"/>
          <w:szCs w:val="24"/>
        </w:rPr>
      </w:pPr>
      <w:r>
        <w:rPr>
          <w:rFonts w:hint="eastAsia" w:ascii="宋体" w:hAnsi="宋体" w:eastAsia="宋体" w:cs="宋体"/>
          <w:b/>
          <w:bCs/>
          <w:sz w:val="24"/>
          <w:szCs w:val="24"/>
        </w:rPr>
        <w:t>第十三条</w:t>
      </w:r>
      <w:r>
        <w:rPr>
          <w:rFonts w:hint="eastAsia" w:ascii="宋体" w:hAnsi="宋体" w:eastAsia="宋体" w:cs="宋体"/>
          <w:sz w:val="24"/>
          <w:szCs w:val="24"/>
        </w:rPr>
        <w:t xml:space="preserve"> 检查考核中发现存在的问题，要及时通知作业服务单位整改。作业服务单位要在第一时间进行整改处置，拖延或不予整改的加倍扣分。</w:t>
      </w:r>
    </w:p>
    <w:p>
      <w:pPr>
        <w:keepNext w:val="0"/>
        <w:keepLines w:val="0"/>
        <w:pageBreakBefore w:val="0"/>
        <w:widowControl/>
        <w:suppressLineNumbers w:val="0"/>
        <w:pBdr>
          <w:top w:val="single" w:color="auto" w:sz="4" w:space="0"/>
          <w:left w:val="single" w:color="auto" w:sz="4" w:space="0"/>
          <w:bottom w:val="single" w:color="auto" w:sz="4" w:space="0"/>
          <w:right w:val="single" w:color="auto" w:sz="4" w:space="0"/>
        </w:pBdr>
        <w:shd w:val="clear" w:color="auto" w:fill="auto"/>
        <w:kinsoku/>
        <w:wordWrap/>
        <w:overflowPunct/>
        <w:topLinePunct w:val="0"/>
        <w:autoSpaceDE/>
        <w:autoSpaceDN/>
        <w:bidi w:val="0"/>
        <w:adjustRightInd/>
        <w:snapToGrid/>
        <w:spacing w:line="540" w:lineRule="exact"/>
        <w:jc w:val="center"/>
        <w:textAlignment w:val="auto"/>
        <w:rPr>
          <w:rFonts w:hint="eastAsia" w:ascii="宋体" w:hAnsi="宋体" w:eastAsia="宋体" w:cs="宋体"/>
          <w:b/>
          <w:bCs/>
          <w:sz w:val="24"/>
          <w:szCs w:val="24"/>
        </w:rPr>
      </w:pPr>
      <w:r>
        <w:rPr>
          <w:rFonts w:hint="eastAsia" w:ascii="宋体" w:hAnsi="宋体" w:eastAsia="宋体" w:cs="宋体"/>
          <w:b/>
          <w:bCs/>
          <w:sz w:val="24"/>
          <w:szCs w:val="24"/>
        </w:rPr>
        <w:t>第五章 处罚机制</w:t>
      </w:r>
    </w:p>
    <w:p>
      <w:pPr>
        <w:keepNext w:val="0"/>
        <w:keepLines w:val="0"/>
        <w:pageBreakBefore w:val="0"/>
        <w:widowControl/>
        <w:suppressLineNumbers w:val="0"/>
        <w:pBdr>
          <w:top w:val="single" w:color="auto" w:sz="4" w:space="0"/>
          <w:left w:val="single" w:color="auto" w:sz="4" w:space="0"/>
          <w:bottom w:val="single" w:color="auto" w:sz="4" w:space="0"/>
          <w:right w:val="single" w:color="auto" w:sz="4" w:space="0"/>
        </w:pBdr>
        <w:shd w:val="clear" w:color="auto" w:fill="auto"/>
        <w:kinsoku/>
        <w:wordWrap/>
        <w:overflowPunct/>
        <w:topLinePunct w:val="0"/>
        <w:autoSpaceDE/>
        <w:autoSpaceDN/>
        <w:bidi w:val="0"/>
        <w:adjustRightInd/>
        <w:snapToGrid/>
        <w:spacing w:line="540" w:lineRule="exact"/>
        <w:ind w:firstLine="482" w:firstLineChars="200"/>
        <w:textAlignment w:val="auto"/>
        <w:rPr>
          <w:rFonts w:hint="eastAsia" w:ascii="宋体" w:hAnsi="宋体" w:eastAsia="宋体" w:cs="宋体"/>
          <w:sz w:val="24"/>
          <w:szCs w:val="24"/>
          <w:highlight w:val="none"/>
        </w:rPr>
      </w:pPr>
      <w:r>
        <w:rPr>
          <w:rFonts w:hint="eastAsia" w:ascii="宋体" w:hAnsi="宋体" w:eastAsia="宋体" w:cs="宋体"/>
          <w:b/>
          <w:bCs/>
          <w:sz w:val="24"/>
          <w:szCs w:val="24"/>
          <w:highlight w:val="none"/>
        </w:rPr>
        <w:t>第十四条</w:t>
      </w:r>
      <w:r>
        <w:rPr>
          <w:rFonts w:hint="eastAsia" w:ascii="宋体" w:hAnsi="宋体" w:eastAsia="宋体" w:cs="宋体"/>
          <w:sz w:val="24"/>
          <w:szCs w:val="24"/>
          <w:highlight w:val="none"/>
        </w:rPr>
        <w:t xml:space="preserve"> 作业质量月度考评得分达到85(含85分）以上，则不扣减该月作业服务经费；月度考评得分未达到85分的，则主管部门根据考评结果分别扣减该月作业服务经费。（计算公式：扣款金额=本月合同金额×[（85-本月考核得分）/100×50%]。如本月最终得分为83，就扣本月合同款的1%作为处罚）。</w:t>
      </w:r>
    </w:p>
    <w:p>
      <w:pPr>
        <w:keepNext w:val="0"/>
        <w:keepLines w:val="0"/>
        <w:pageBreakBefore w:val="0"/>
        <w:widowControl/>
        <w:suppressLineNumbers w:val="0"/>
        <w:pBdr>
          <w:top w:val="single" w:color="auto" w:sz="4" w:space="0"/>
          <w:left w:val="single" w:color="auto" w:sz="4" w:space="0"/>
          <w:bottom w:val="single" w:color="auto" w:sz="4" w:space="0"/>
          <w:right w:val="single" w:color="auto" w:sz="4" w:space="0"/>
        </w:pBdr>
        <w:shd w:val="clear" w:color="auto" w:fill="auto"/>
        <w:kinsoku/>
        <w:wordWrap/>
        <w:overflowPunct/>
        <w:topLinePunct w:val="0"/>
        <w:autoSpaceDE/>
        <w:autoSpaceDN/>
        <w:bidi w:val="0"/>
        <w:adjustRightInd/>
        <w:snapToGrid/>
        <w:spacing w:line="5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本条款规定之外的其他方面处罚，按照合同约定执行。</w:t>
      </w:r>
    </w:p>
    <w:p>
      <w:pPr>
        <w:keepNext w:val="0"/>
        <w:keepLines w:val="0"/>
        <w:pageBreakBefore w:val="0"/>
        <w:widowControl/>
        <w:suppressLineNumbers w:val="0"/>
        <w:pBdr>
          <w:top w:val="single" w:color="auto" w:sz="4" w:space="0"/>
          <w:left w:val="single" w:color="auto" w:sz="4" w:space="0"/>
          <w:bottom w:val="single" w:color="auto" w:sz="4" w:space="0"/>
          <w:right w:val="single" w:color="auto" w:sz="4" w:space="0"/>
        </w:pBdr>
        <w:shd w:val="clear" w:color="auto" w:fill="auto"/>
        <w:kinsoku/>
        <w:wordWrap/>
        <w:overflowPunct/>
        <w:topLinePunct w:val="0"/>
        <w:autoSpaceDE/>
        <w:autoSpaceDN/>
        <w:bidi w:val="0"/>
        <w:adjustRightInd/>
        <w:snapToGrid/>
        <w:spacing w:line="540" w:lineRule="exact"/>
        <w:ind w:firstLine="0" w:firstLineChars="0"/>
        <w:jc w:val="center"/>
        <w:textAlignment w:val="auto"/>
        <w:rPr>
          <w:rFonts w:hint="eastAsia" w:ascii="宋体" w:hAnsi="宋体" w:eastAsia="宋体" w:cs="宋体"/>
          <w:b/>
          <w:bCs/>
          <w:sz w:val="24"/>
          <w:szCs w:val="24"/>
        </w:rPr>
      </w:pPr>
      <w:r>
        <w:rPr>
          <w:rFonts w:hint="eastAsia" w:ascii="宋体" w:hAnsi="宋体" w:eastAsia="宋体" w:cs="宋体"/>
          <w:b/>
          <w:bCs/>
          <w:sz w:val="24"/>
          <w:szCs w:val="24"/>
        </w:rPr>
        <w:t>第六章 附则</w:t>
      </w:r>
    </w:p>
    <w:p>
      <w:pPr>
        <w:pStyle w:val="2"/>
        <w:keepNext w:val="0"/>
        <w:keepLines w:val="0"/>
        <w:pageBreakBefore w:val="0"/>
        <w:widowControl/>
        <w:suppressLineNumbers w:val="0"/>
        <w:pBdr>
          <w:top w:val="single" w:color="auto" w:sz="4" w:space="0"/>
          <w:left w:val="single" w:color="auto" w:sz="4" w:space="0"/>
          <w:bottom w:val="single" w:color="auto" w:sz="4" w:space="0"/>
          <w:right w:val="single" w:color="auto" w:sz="4" w:space="0"/>
        </w:pBdr>
        <w:shd w:val="clear" w:color="auto" w:fill="auto"/>
        <w:kinsoku/>
        <w:wordWrap/>
        <w:overflowPunct/>
        <w:topLinePunct w:val="0"/>
        <w:autoSpaceDE/>
        <w:autoSpaceDN/>
        <w:bidi w:val="0"/>
        <w:adjustRightInd/>
        <w:snapToGrid/>
        <w:textAlignment w:val="auto"/>
        <w:rPr>
          <w:rFonts w:hint="eastAsia" w:ascii="宋体" w:hAnsi="宋体" w:eastAsia="宋体" w:cs="宋体"/>
          <w:b/>
          <w:bCs/>
          <w:sz w:val="24"/>
          <w:szCs w:val="24"/>
        </w:rPr>
      </w:pPr>
      <w:r>
        <w:rPr>
          <w:rFonts w:hint="eastAsia" w:ascii="宋体" w:hAnsi="宋体" w:eastAsia="宋体" w:cs="宋体"/>
          <w:b/>
          <w:bCs/>
          <w:sz w:val="24"/>
          <w:szCs w:val="24"/>
        </w:rPr>
        <w:t>第十五条</w:t>
      </w:r>
      <w:r>
        <w:rPr>
          <w:rFonts w:hint="eastAsia" w:ascii="宋体" w:hAnsi="宋体" w:eastAsia="宋体" w:cs="宋体"/>
          <w:sz w:val="24"/>
          <w:szCs w:val="24"/>
        </w:rPr>
        <w:t xml:space="preserve"> 本办法由县城市管理局负责解释。</w:t>
      </w:r>
    </w:p>
    <w:p>
      <w:pPr>
        <w:numPr>
          <w:ilvl w:val="0"/>
          <w:numId w:val="0"/>
        </w:numPr>
        <w:pBdr>
          <w:top w:val="none" w:color="auto" w:sz="0" w:space="0"/>
          <w:left w:val="none" w:color="auto" w:sz="0" w:space="0"/>
          <w:bottom w:val="none" w:color="auto" w:sz="0" w:space="0"/>
          <w:right w:val="none" w:color="auto" w:sz="0" w:space="0"/>
          <w:between w:val="none" w:color="auto" w:sz="0" w:space="0"/>
        </w:pBdr>
        <w:spacing w:line="600" w:lineRule="exact"/>
        <w:jc w:val="both"/>
        <w:rPr>
          <w:rFonts w:hint="eastAsia" w:ascii="宋体" w:hAnsi="宋体" w:cs="宋体"/>
          <w:b/>
          <w:bCs/>
          <w:sz w:val="24"/>
          <w:szCs w:val="24"/>
          <w:lang w:val="en-US" w:eastAsia="zh-CN"/>
        </w:rPr>
      </w:pPr>
    </w:p>
    <w:p>
      <w:pPr>
        <w:numPr>
          <w:ilvl w:val="0"/>
          <w:numId w:val="0"/>
        </w:numPr>
        <w:pBdr>
          <w:top w:val="none" w:color="auto" w:sz="0" w:space="0"/>
          <w:left w:val="none" w:color="auto" w:sz="0" w:space="0"/>
          <w:bottom w:val="none" w:color="auto" w:sz="0" w:space="0"/>
          <w:right w:val="none" w:color="auto" w:sz="0" w:space="0"/>
          <w:between w:val="none" w:color="auto" w:sz="0" w:space="0"/>
        </w:pBdr>
        <w:spacing w:line="600" w:lineRule="exact"/>
        <w:jc w:val="both"/>
        <w:rPr>
          <w:rFonts w:hint="eastAsia" w:ascii="宋体" w:hAnsi="宋体" w:cs="宋体"/>
          <w:b/>
          <w:bCs/>
          <w:sz w:val="24"/>
          <w:szCs w:val="24"/>
          <w:lang w:val="en-US" w:eastAsia="zh-CN"/>
        </w:rPr>
      </w:pPr>
    </w:p>
    <w:p>
      <w:pPr>
        <w:numPr>
          <w:ilvl w:val="0"/>
          <w:numId w:val="0"/>
        </w:numPr>
        <w:pBdr>
          <w:top w:val="none" w:color="auto" w:sz="0" w:space="0"/>
          <w:left w:val="none" w:color="auto" w:sz="0" w:space="0"/>
          <w:bottom w:val="none" w:color="auto" w:sz="0" w:space="0"/>
          <w:right w:val="none" w:color="auto" w:sz="0" w:space="0"/>
          <w:between w:val="none" w:color="auto" w:sz="0" w:space="0"/>
        </w:pBdr>
        <w:spacing w:line="600" w:lineRule="exact"/>
        <w:jc w:val="both"/>
        <w:rPr>
          <w:rFonts w:hint="eastAsia" w:ascii="宋体" w:hAnsi="宋体" w:cs="宋体"/>
          <w:b/>
          <w:bCs/>
          <w:sz w:val="24"/>
          <w:szCs w:val="24"/>
          <w:lang w:val="en-US" w:eastAsia="zh-CN"/>
        </w:rPr>
      </w:pPr>
    </w:p>
    <w:p>
      <w:pPr>
        <w:numPr>
          <w:ilvl w:val="0"/>
          <w:numId w:val="0"/>
        </w:numPr>
        <w:pBdr>
          <w:top w:val="none" w:color="auto" w:sz="0" w:space="0"/>
          <w:left w:val="none" w:color="auto" w:sz="0" w:space="0"/>
          <w:bottom w:val="none" w:color="auto" w:sz="0" w:space="0"/>
          <w:right w:val="none" w:color="auto" w:sz="0" w:space="0"/>
          <w:between w:val="none" w:color="auto" w:sz="0" w:space="0"/>
        </w:pBdr>
        <w:spacing w:line="600" w:lineRule="exact"/>
        <w:jc w:val="both"/>
        <w:rPr>
          <w:rFonts w:hint="eastAsia" w:ascii="宋体" w:hAnsi="宋体" w:cs="宋体"/>
          <w:b/>
          <w:bCs/>
          <w:sz w:val="24"/>
          <w:szCs w:val="24"/>
          <w:lang w:val="en-US" w:eastAsia="zh-CN"/>
        </w:rPr>
      </w:pPr>
    </w:p>
    <w:p>
      <w:pPr>
        <w:numPr>
          <w:ilvl w:val="0"/>
          <w:numId w:val="0"/>
        </w:numPr>
        <w:pBdr>
          <w:top w:val="none" w:color="auto" w:sz="0" w:space="0"/>
          <w:left w:val="none" w:color="auto" w:sz="0" w:space="0"/>
          <w:bottom w:val="none" w:color="auto" w:sz="0" w:space="0"/>
          <w:right w:val="none" w:color="auto" w:sz="0" w:space="0"/>
          <w:between w:val="none" w:color="auto" w:sz="0" w:space="0"/>
        </w:pBdr>
        <w:spacing w:line="600" w:lineRule="exact"/>
        <w:jc w:val="both"/>
        <w:rPr>
          <w:rFonts w:hint="eastAsia" w:ascii="宋体" w:hAnsi="宋体" w:cs="宋体"/>
          <w:b/>
          <w:bCs/>
          <w:sz w:val="24"/>
          <w:szCs w:val="24"/>
          <w:lang w:val="en-US" w:eastAsia="zh-CN"/>
        </w:rPr>
      </w:pPr>
    </w:p>
    <w:p>
      <w:pPr>
        <w:numPr>
          <w:ilvl w:val="0"/>
          <w:numId w:val="0"/>
        </w:numPr>
        <w:pBdr>
          <w:top w:val="none" w:color="auto" w:sz="0" w:space="0"/>
          <w:left w:val="none" w:color="auto" w:sz="0" w:space="0"/>
          <w:bottom w:val="none" w:color="auto" w:sz="0" w:space="0"/>
          <w:right w:val="none" w:color="auto" w:sz="0" w:space="0"/>
          <w:between w:val="none" w:color="auto" w:sz="0" w:space="0"/>
        </w:pBdr>
        <w:spacing w:line="600" w:lineRule="exact"/>
        <w:jc w:val="both"/>
        <w:rPr>
          <w:rFonts w:hint="eastAsia" w:ascii="宋体" w:hAnsi="宋体" w:cs="宋体"/>
          <w:b/>
          <w:bCs/>
          <w:sz w:val="24"/>
          <w:szCs w:val="24"/>
          <w:lang w:val="en-US" w:eastAsia="zh-CN"/>
        </w:rPr>
      </w:pPr>
    </w:p>
    <w:p>
      <w:pPr>
        <w:numPr>
          <w:ilvl w:val="0"/>
          <w:numId w:val="0"/>
        </w:numPr>
        <w:pBdr>
          <w:top w:val="none" w:color="auto" w:sz="0" w:space="0"/>
          <w:left w:val="none" w:color="auto" w:sz="0" w:space="0"/>
          <w:bottom w:val="none" w:color="auto" w:sz="0" w:space="0"/>
          <w:right w:val="none" w:color="auto" w:sz="0" w:space="0"/>
          <w:between w:val="none" w:color="auto" w:sz="0" w:space="0"/>
        </w:pBdr>
        <w:spacing w:line="600" w:lineRule="exact"/>
        <w:jc w:val="both"/>
        <w:rPr>
          <w:rFonts w:hint="eastAsia" w:ascii="宋体" w:hAnsi="宋体" w:cs="宋体"/>
          <w:b/>
          <w:bCs/>
          <w:sz w:val="24"/>
          <w:szCs w:val="24"/>
          <w:lang w:val="en-US" w:eastAsia="zh-CN"/>
        </w:rPr>
      </w:pPr>
    </w:p>
    <w:p>
      <w:pPr>
        <w:numPr>
          <w:ilvl w:val="0"/>
          <w:numId w:val="0"/>
        </w:numPr>
        <w:pBdr>
          <w:top w:val="none" w:color="auto" w:sz="0" w:space="0"/>
          <w:left w:val="none" w:color="auto" w:sz="0" w:space="0"/>
          <w:bottom w:val="none" w:color="auto" w:sz="0" w:space="0"/>
          <w:right w:val="none" w:color="auto" w:sz="0" w:space="0"/>
          <w:between w:val="none" w:color="auto" w:sz="0" w:space="0"/>
        </w:pBdr>
        <w:spacing w:line="600" w:lineRule="exact"/>
        <w:jc w:val="both"/>
        <w:rPr>
          <w:rFonts w:hint="eastAsia" w:ascii="宋体" w:hAnsi="宋体" w:cs="宋体"/>
          <w:b/>
          <w:bCs/>
          <w:sz w:val="24"/>
          <w:szCs w:val="24"/>
          <w:lang w:val="en-US" w:eastAsia="zh-CN"/>
        </w:rPr>
      </w:pPr>
    </w:p>
    <w:p>
      <w:pPr>
        <w:numPr>
          <w:ilvl w:val="0"/>
          <w:numId w:val="0"/>
        </w:numPr>
        <w:pBdr>
          <w:top w:val="none" w:color="auto" w:sz="0" w:space="0"/>
          <w:left w:val="none" w:color="auto" w:sz="0" w:space="0"/>
          <w:bottom w:val="none" w:color="auto" w:sz="0" w:space="0"/>
          <w:right w:val="none" w:color="auto" w:sz="0" w:space="0"/>
          <w:between w:val="none" w:color="auto" w:sz="0" w:space="0"/>
        </w:pBdr>
        <w:spacing w:line="600" w:lineRule="exact"/>
        <w:jc w:val="both"/>
        <w:rPr>
          <w:rFonts w:hint="eastAsia" w:ascii="宋体" w:hAnsi="宋体" w:cs="宋体"/>
          <w:b/>
          <w:bCs/>
          <w:sz w:val="24"/>
          <w:szCs w:val="24"/>
          <w:lang w:val="en-US" w:eastAsia="zh-CN"/>
        </w:rPr>
      </w:pPr>
    </w:p>
    <w:p>
      <w:pPr>
        <w:numPr>
          <w:ilvl w:val="0"/>
          <w:numId w:val="0"/>
        </w:numPr>
        <w:pBdr>
          <w:top w:val="single" w:color="auto" w:sz="4" w:space="0"/>
          <w:left w:val="single" w:color="auto" w:sz="4" w:space="0"/>
          <w:bottom w:val="single" w:color="auto" w:sz="4" w:space="0"/>
          <w:right w:val="single" w:color="auto" w:sz="4" w:space="0"/>
          <w:between w:val="none" w:color="auto" w:sz="0" w:space="0"/>
        </w:pBdr>
        <w:spacing w:line="600" w:lineRule="exact"/>
        <w:jc w:val="both"/>
        <w:rPr>
          <w:rFonts w:hint="eastAsia" w:ascii="宋体" w:hAnsi="宋体" w:eastAsia="宋体" w:cs="宋体"/>
          <w:b/>
          <w:bCs/>
          <w:sz w:val="24"/>
          <w:szCs w:val="24"/>
        </w:rPr>
      </w:pPr>
      <w:r>
        <w:rPr>
          <w:rFonts w:hint="eastAsia" w:ascii="宋体" w:hAnsi="宋体" w:cs="宋体"/>
          <w:b/>
          <w:bCs/>
          <w:sz w:val="24"/>
          <w:szCs w:val="24"/>
          <w:lang w:val="en-US" w:eastAsia="zh-CN"/>
        </w:rPr>
        <w:t>附件2、</w:t>
      </w:r>
      <w:r>
        <w:rPr>
          <w:rFonts w:hint="eastAsia" w:ascii="宋体" w:hAnsi="宋体" w:eastAsia="宋体" w:cs="宋体"/>
          <w:b/>
          <w:bCs/>
          <w:sz w:val="24"/>
          <w:szCs w:val="24"/>
          <w:lang w:val="en-US" w:eastAsia="zh-CN"/>
        </w:rPr>
        <w:t>《</w:t>
      </w:r>
      <w:r>
        <w:rPr>
          <w:rFonts w:hint="eastAsia" w:ascii="宋体" w:hAnsi="宋体" w:eastAsia="宋体" w:cs="宋体"/>
          <w:b/>
          <w:bCs/>
          <w:sz w:val="24"/>
          <w:szCs w:val="24"/>
        </w:rPr>
        <w:t>宁化县城区环卫作业质量及管理量化考核细则</w:t>
      </w:r>
      <w:r>
        <w:rPr>
          <w:rFonts w:hint="eastAsia" w:ascii="宋体" w:hAnsi="宋体" w:eastAsia="宋体" w:cs="宋体"/>
          <w:b/>
          <w:bCs/>
          <w:sz w:val="24"/>
          <w:szCs w:val="24"/>
          <w:lang w:val="en-US" w:eastAsia="zh-CN"/>
        </w:rPr>
        <w:t>》</w:t>
      </w:r>
    </w:p>
    <w:p>
      <w:pPr>
        <w:numPr>
          <w:ilvl w:val="0"/>
          <w:numId w:val="0"/>
        </w:numPr>
        <w:pBdr>
          <w:top w:val="single" w:color="auto" w:sz="4" w:space="0"/>
          <w:left w:val="single" w:color="auto" w:sz="4" w:space="0"/>
          <w:bottom w:val="single" w:color="auto" w:sz="4" w:space="0"/>
          <w:right w:val="single" w:color="auto" w:sz="4" w:space="0"/>
          <w:between w:val="none" w:color="auto" w:sz="0" w:space="0"/>
        </w:pBdr>
        <w:spacing w:line="600" w:lineRule="exact"/>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一、城区环卫作业质量及管理量化考核评分标准</w:t>
      </w:r>
    </w:p>
    <w:p>
      <w:pPr>
        <w:numPr>
          <w:ilvl w:val="0"/>
          <w:numId w:val="0"/>
        </w:numPr>
        <w:pBdr>
          <w:top w:val="single" w:color="auto" w:sz="4" w:space="0"/>
          <w:left w:val="single" w:color="auto" w:sz="4" w:space="0"/>
          <w:bottom w:val="single" w:color="auto" w:sz="4" w:space="0"/>
          <w:right w:val="single" w:color="auto" w:sz="4" w:space="0"/>
          <w:between w:val="none" w:color="auto" w:sz="0" w:space="0"/>
        </w:pBdr>
        <w:spacing w:line="600" w:lineRule="exact"/>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（一）城区环卫量化考核评分标准权重及计算方法</w:t>
      </w:r>
    </w:p>
    <w:p>
      <w:pPr>
        <w:numPr>
          <w:ilvl w:val="0"/>
          <w:numId w:val="0"/>
        </w:numPr>
        <w:pBdr>
          <w:top w:val="single" w:color="auto" w:sz="4" w:space="0"/>
          <w:left w:val="single" w:color="auto" w:sz="4" w:space="0"/>
          <w:bottom w:val="single" w:color="auto" w:sz="4" w:space="0"/>
          <w:right w:val="single" w:color="auto" w:sz="4" w:space="0"/>
          <w:between w:val="none" w:color="auto" w:sz="0" w:space="0"/>
        </w:pBdr>
        <w:spacing w:line="6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按照宁化县城区量化考核的侧重，考核标准评分权重也有所不同，具体设置为：</w:t>
      </w:r>
    </w:p>
    <w:p>
      <w:pPr>
        <w:numPr>
          <w:ilvl w:val="0"/>
          <w:numId w:val="0"/>
        </w:numPr>
        <w:pBdr>
          <w:top w:val="single" w:color="auto" w:sz="4" w:space="0"/>
          <w:left w:val="single" w:color="auto" w:sz="4" w:space="0"/>
          <w:bottom w:val="single" w:color="auto" w:sz="4" w:space="0"/>
          <w:right w:val="single" w:color="auto" w:sz="4" w:space="0"/>
          <w:between w:val="none" w:color="auto" w:sz="0" w:space="0"/>
        </w:pBdr>
        <w:spacing w:line="600" w:lineRule="exact"/>
        <w:ind w:firstLine="480" w:firstLineChars="200"/>
        <w:rPr>
          <w:rFonts w:hint="eastAsia" w:ascii="宋体" w:hAnsi="宋体" w:eastAsia="宋体" w:cs="宋体"/>
          <w:sz w:val="24"/>
          <w:szCs w:val="24"/>
        </w:rPr>
      </w:pPr>
      <w:r>
        <w:rPr>
          <w:rFonts w:hint="eastAsia" w:ascii="宋体" w:hAnsi="宋体" w:cs="宋体"/>
          <w:sz w:val="24"/>
          <w:szCs w:val="24"/>
          <w:lang w:val="en-US" w:eastAsia="zh-CN"/>
        </w:rPr>
        <w:t>1.</w:t>
      </w:r>
      <w:r>
        <w:rPr>
          <w:rFonts w:hint="eastAsia" w:ascii="宋体" w:hAnsi="宋体" w:eastAsia="宋体" w:cs="宋体"/>
          <w:sz w:val="24"/>
          <w:szCs w:val="24"/>
        </w:rPr>
        <w:t>清扫保洁作业质量及管理量化考核得分权重为0.3。</w:t>
      </w:r>
    </w:p>
    <w:p>
      <w:pPr>
        <w:numPr>
          <w:ilvl w:val="0"/>
          <w:numId w:val="0"/>
        </w:numPr>
        <w:pBdr>
          <w:top w:val="single" w:color="auto" w:sz="4" w:space="0"/>
          <w:left w:val="single" w:color="auto" w:sz="4" w:space="0"/>
          <w:bottom w:val="single" w:color="auto" w:sz="4" w:space="0"/>
          <w:right w:val="single" w:color="auto" w:sz="4" w:space="0"/>
          <w:between w:val="none" w:color="auto" w:sz="0" w:space="0"/>
        </w:pBdr>
        <w:spacing w:line="6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2.垃圾收集、清运管理考核得分权重为0.3。</w:t>
      </w:r>
    </w:p>
    <w:p>
      <w:pPr>
        <w:numPr>
          <w:ilvl w:val="0"/>
          <w:numId w:val="0"/>
        </w:numPr>
        <w:pBdr>
          <w:top w:val="single" w:color="auto" w:sz="4" w:space="0"/>
          <w:left w:val="single" w:color="auto" w:sz="4" w:space="0"/>
          <w:bottom w:val="single" w:color="auto" w:sz="4" w:space="0"/>
          <w:right w:val="single" w:color="auto" w:sz="4" w:space="0"/>
          <w:between w:val="none" w:color="auto" w:sz="0" w:space="0"/>
        </w:pBdr>
        <w:spacing w:line="6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3.垃圾转运站作业、管理考核得分权重为0.15。</w:t>
      </w:r>
    </w:p>
    <w:p>
      <w:pPr>
        <w:numPr>
          <w:ilvl w:val="0"/>
          <w:numId w:val="0"/>
        </w:numPr>
        <w:pBdr>
          <w:top w:val="single" w:color="auto" w:sz="4" w:space="0"/>
          <w:left w:val="single" w:color="auto" w:sz="4" w:space="0"/>
          <w:bottom w:val="single" w:color="auto" w:sz="4" w:space="0"/>
          <w:right w:val="single" w:color="auto" w:sz="4" w:space="0"/>
          <w:between w:val="none" w:color="auto" w:sz="0" w:space="0"/>
        </w:pBdr>
        <w:spacing w:line="6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4.公厕保洁及管理考核得分权重占0.15。</w:t>
      </w:r>
    </w:p>
    <w:p>
      <w:pPr>
        <w:numPr>
          <w:ilvl w:val="0"/>
          <w:numId w:val="0"/>
        </w:numPr>
        <w:pBdr>
          <w:top w:val="single" w:color="auto" w:sz="4" w:space="0"/>
          <w:left w:val="single" w:color="auto" w:sz="4" w:space="0"/>
          <w:bottom w:val="single" w:color="auto" w:sz="4" w:space="0"/>
          <w:right w:val="single" w:color="auto" w:sz="4" w:space="0"/>
          <w:between w:val="none" w:color="auto" w:sz="0" w:space="0"/>
        </w:pBdr>
        <w:spacing w:line="6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5.大件垃圾处置、建筑垃圾清理、有机物处置、牛皮癣清理等其他考核得分权重为0.1。</w:t>
      </w:r>
    </w:p>
    <w:p>
      <w:pPr>
        <w:numPr>
          <w:ilvl w:val="0"/>
          <w:numId w:val="0"/>
        </w:numPr>
        <w:pBdr>
          <w:top w:val="single" w:color="auto" w:sz="4" w:space="0"/>
          <w:left w:val="single" w:color="auto" w:sz="4" w:space="0"/>
          <w:bottom w:val="single" w:color="auto" w:sz="4" w:space="0"/>
          <w:right w:val="single" w:color="auto" w:sz="4" w:space="0"/>
          <w:between w:val="none" w:color="auto" w:sz="0" w:space="0"/>
        </w:pBdr>
        <w:spacing w:line="6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6.计算方法：城区环卫各项考核实际得分=清扫保洁作业质量及管理量化考核实际得分×0.3+垃圾收集、清运管理考核实际得分×0.3+垃圾转运站作业、管理考核实际得分×0.15+公厕保洁、管理考核实际得分×0.15+大件垃圾处置、建筑垃圾清理、有机物处置、牛皮癣清理等其他考核实际得分×0.1。</w:t>
      </w:r>
    </w:p>
    <w:p>
      <w:pPr>
        <w:numPr>
          <w:ilvl w:val="0"/>
          <w:numId w:val="0"/>
        </w:numPr>
        <w:pBdr>
          <w:top w:val="single" w:color="auto" w:sz="4" w:space="0"/>
          <w:left w:val="single" w:color="auto" w:sz="4" w:space="0"/>
          <w:bottom w:val="single" w:color="auto" w:sz="4" w:space="0"/>
          <w:right w:val="single" w:color="auto" w:sz="4" w:space="0"/>
          <w:between w:val="none" w:color="auto" w:sz="0" w:space="0"/>
        </w:pBdr>
        <w:spacing w:line="600" w:lineRule="exact"/>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（二）清扫保洁作业质量及管理量化考核评分标准（100分）</w:t>
      </w:r>
    </w:p>
    <w:p>
      <w:pPr>
        <w:numPr>
          <w:ilvl w:val="0"/>
          <w:numId w:val="0"/>
        </w:numPr>
        <w:pBdr>
          <w:top w:val="single" w:color="auto" w:sz="4" w:space="0"/>
          <w:left w:val="single" w:color="auto" w:sz="4" w:space="0"/>
          <w:bottom w:val="single" w:color="auto" w:sz="4" w:space="0"/>
          <w:right w:val="single" w:color="auto" w:sz="4" w:space="0"/>
          <w:between w:val="none" w:color="auto" w:sz="0" w:space="0"/>
        </w:pBdr>
        <w:spacing w:line="6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1.路面废弃物控制指标，达不到下表要求的，每一项次不合格，扣0.1分。</w:t>
      </w:r>
    </w:p>
    <w:p>
      <w:pPr>
        <w:numPr>
          <w:ilvl w:val="0"/>
          <w:numId w:val="0"/>
        </w:numPr>
        <w:pBdr>
          <w:top w:val="single" w:color="auto" w:sz="4" w:space="0"/>
          <w:left w:val="single" w:color="auto" w:sz="4" w:space="0"/>
          <w:bottom w:val="single" w:color="auto" w:sz="4" w:space="0"/>
          <w:right w:val="single" w:color="auto" w:sz="4" w:space="0"/>
          <w:between w:val="none" w:color="auto" w:sz="0" w:space="0"/>
        </w:pBdr>
        <w:jc w:val="center"/>
        <w:rPr>
          <w:rFonts w:hint="eastAsia" w:ascii="宋体" w:hAnsi="宋体" w:eastAsia="宋体" w:cs="宋体"/>
          <w:b/>
          <w:bCs/>
          <w:sz w:val="24"/>
          <w:szCs w:val="24"/>
        </w:rPr>
      </w:pPr>
      <w:r>
        <w:rPr>
          <w:rFonts w:hint="eastAsia" w:ascii="宋体" w:hAnsi="宋体" w:eastAsia="宋体" w:cs="宋体"/>
          <w:b/>
          <w:bCs/>
          <w:sz w:val="24"/>
          <w:szCs w:val="24"/>
        </w:rPr>
        <w:t>路面废弃物控制指标表</w:t>
      </w:r>
    </w:p>
    <w:tbl>
      <w:tblPr>
        <w:tblStyle w:val="8"/>
        <w:tblW w:w="85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3"/>
        <w:gridCol w:w="761"/>
        <w:gridCol w:w="852"/>
        <w:gridCol w:w="768"/>
        <w:gridCol w:w="941"/>
        <w:gridCol w:w="942"/>
        <w:gridCol w:w="1000"/>
        <w:gridCol w:w="975"/>
        <w:gridCol w:w="966"/>
        <w:gridCol w:w="8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2" w:hRule="atLeast"/>
        </w:trPr>
        <w:tc>
          <w:tcPr>
            <w:tcW w:w="503" w:type="dxa"/>
            <w:noWrap w:val="0"/>
            <w:vAlign w:val="top"/>
          </w:tcPr>
          <w:p>
            <w:pPr>
              <w:numPr>
                <w:ilvl w:val="0"/>
                <w:numId w:val="0"/>
              </w:numPr>
              <w:pBdr>
                <w:top w:val="single" w:color="auto" w:sz="4" w:space="0"/>
                <w:left w:val="single" w:color="auto" w:sz="4" w:space="0"/>
                <w:bottom w:val="single" w:color="auto" w:sz="4" w:space="0"/>
                <w:right w:val="single" w:color="auto" w:sz="4" w:space="0"/>
                <w:between w:val="none" w:color="auto" w:sz="0" w:space="0"/>
              </w:pBdr>
              <w:rPr>
                <w:rFonts w:hint="eastAsia" w:ascii="宋体" w:hAnsi="宋体" w:eastAsia="宋体" w:cs="宋体"/>
                <w:sz w:val="24"/>
                <w:szCs w:val="24"/>
              </w:rPr>
            </w:pPr>
            <w:r>
              <w:rPr>
                <w:rFonts w:hint="eastAsia" w:ascii="宋体" w:hAnsi="宋体" w:eastAsia="宋体" w:cs="宋体"/>
                <w:sz w:val="24"/>
                <w:szCs w:val="24"/>
              </w:rPr>
              <w:t>保洁等级</w:t>
            </w:r>
          </w:p>
        </w:tc>
        <w:tc>
          <w:tcPr>
            <w:tcW w:w="761" w:type="dxa"/>
            <w:noWrap w:val="0"/>
            <w:vAlign w:val="top"/>
          </w:tcPr>
          <w:p>
            <w:pPr>
              <w:numPr>
                <w:ilvl w:val="0"/>
                <w:numId w:val="0"/>
              </w:numPr>
              <w:pBdr>
                <w:top w:val="single" w:color="auto" w:sz="4" w:space="0"/>
                <w:left w:val="single" w:color="auto" w:sz="4" w:space="0"/>
                <w:bottom w:val="single" w:color="auto" w:sz="4" w:space="0"/>
                <w:right w:val="single" w:color="auto" w:sz="4" w:space="0"/>
                <w:between w:val="none" w:color="auto" w:sz="0" w:space="0"/>
              </w:pBdr>
              <w:rPr>
                <w:rFonts w:hint="eastAsia" w:ascii="宋体" w:hAnsi="宋体" w:eastAsia="宋体" w:cs="宋体"/>
                <w:sz w:val="24"/>
                <w:szCs w:val="24"/>
              </w:rPr>
            </w:pPr>
            <w:r>
              <w:rPr>
                <w:rFonts w:hint="eastAsia" w:ascii="宋体" w:hAnsi="宋体" w:eastAsia="宋体" w:cs="宋体"/>
                <w:sz w:val="24"/>
                <w:szCs w:val="24"/>
              </w:rPr>
              <w:t>果皮（片/1000㎡）</w:t>
            </w:r>
          </w:p>
        </w:tc>
        <w:tc>
          <w:tcPr>
            <w:tcW w:w="852" w:type="dxa"/>
            <w:noWrap w:val="0"/>
            <w:vAlign w:val="top"/>
          </w:tcPr>
          <w:p>
            <w:pPr>
              <w:numPr>
                <w:ilvl w:val="0"/>
                <w:numId w:val="0"/>
              </w:numPr>
              <w:pBdr>
                <w:top w:val="single" w:color="auto" w:sz="4" w:space="0"/>
                <w:left w:val="single" w:color="auto" w:sz="4" w:space="0"/>
                <w:bottom w:val="single" w:color="auto" w:sz="4" w:space="0"/>
                <w:right w:val="single" w:color="auto" w:sz="4" w:space="0"/>
                <w:between w:val="none" w:color="auto" w:sz="0" w:space="0"/>
              </w:pBdr>
              <w:rPr>
                <w:rFonts w:hint="eastAsia" w:ascii="宋体" w:hAnsi="宋体" w:eastAsia="宋体" w:cs="宋体"/>
                <w:sz w:val="24"/>
                <w:szCs w:val="24"/>
              </w:rPr>
            </w:pPr>
            <w:r>
              <w:rPr>
                <w:rFonts w:hint="eastAsia" w:ascii="宋体" w:hAnsi="宋体" w:eastAsia="宋体" w:cs="宋体"/>
                <w:sz w:val="24"/>
                <w:szCs w:val="24"/>
              </w:rPr>
              <w:t>纸屑塑料（片/1000㎡）</w:t>
            </w:r>
          </w:p>
        </w:tc>
        <w:tc>
          <w:tcPr>
            <w:tcW w:w="768" w:type="dxa"/>
            <w:noWrap w:val="0"/>
            <w:vAlign w:val="top"/>
          </w:tcPr>
          <w:p>
            <w:pPr>
              <w:numPr>
                <w:ilvl w:val="0"/>
                <w:numId w:val="0"/>
              </w:numPr>
              <w:pBdr>
                <w:top w:val="single" w:color="auto" w:sz="4" w:space="0"/>
                <w:left w:val="single" w:color="auto" w:sz="4" w:space="0"/>
                <w:bottom w:val="single" w:color="auto" w:sz="4" w:space="0"/>
                <w:right w:val="single" w:color="auto" w:sz="4" w:space="0"/>
                <w:between w:val="none" w:color="auto" w:sz="0" w:space="0"/>
              </w:pBdr>
              <w:rPr>
                <w:rFonts w:hint="eastAsia" w:ascii="宋体" w:hAnsi="宋体" w:eastAsia="宋体" w:cs="宋体"/>
                <w:sz w:val="24"/>
                <w:szCs w:val="24"/>
              </w:rPr>
            </w:pPr>
            <w:r>
              <w:rPr>
                <w:rFonts w:hint="eastAsia" w:ascii="宋体" w:hAnsi="宋体" w:eastAsia="宋体" w:cs="宋体"/>
                <w:sz w:val="24"/>
                <w:szCs w:val="24"/>
              </w:rPr>
              <w:t>烟蒂（个/1000㎡）</w:t>
            </w:r>
          </w:p>
        </w:tc>
        <w:tc>
          <w:tcPr>
            <w:tcW w:w="941" w:type="dxa"/>
            <w:noWrap w:val="0"/>
            <w:vAlign w:val="top"/>
          </w:tcPr>
          <w:p>
            <w:pPr>
              <w:numPr>
                <w:ilvl w:val="0"/>
                <w:numId w:val="0"/>
              </w:numPr>
              <w:pBdr>
                <w:top w:val="single" w:color="auto" w:sz="4" w:space="0"/>
                <w:left w:val="single" w:color="auto" w:sz="4" w:space="0"/>
                <w:bottom w:val="single" w:color="auto" w:sz="4" w:space="0"/>
                <w:right w:val="single" w:color="auto" w:sz="4" w:space="0"/>
                <w:between w:val="none" w:color="auto" w:sz="0" w:space="0"/>
              </w:pBdr>
              <w:rPr>
                <w:rFonts w:hint="eastAsia" w:ascii="宋体" w:hAnsi="宋体" w:eastAsia="宋体" w:cs="宋体"/>
                <w:sz w:val="24"/>
                <w:szCs w:val="24"/>
              </w:rPr>
            </w:pPr>
            <w:r>
              <w:rPr>
                <w:rFonts w:hint="eastAsia" w:ascii="宋体" w:hAnsi="宋体" w:eastAsia="宋体" w:cs="宋体"/>
                <w:sz w:val="24"/>
                <w:szCs w:val="24"/>
              </w:rPr>
              <w:t>痰迹（处/1000㎡）</w:t>
            </w:r>
          </w:p>
        </w:tc>
        <w:tc>
          <w:tcPr>
            <w:tcW w:w="942" w:type="dxa"/>
            <w:noWrap w:val="0"/>
            <w:vAlign w:val="top"/>
          </w:tcPr>
          <w:p>
            <w:pPr>
              <w:numPr>
                <w:ilvl w:val="0"/>
                <w:numId w:val="0"/>
              </w:numPr>
              <w:pBdr>
                <w:top w:val="single" w:color="auto" w:sz="4" w:space="0"/>
                <w:left w:val="single" w:color="auto" w:sz="4" w:space="0"/>
                <w:bottom w:val="single" w:color="auto" w:sz="4" w:space="0"/>
                <w:right w:val="single" w:color="auto" w:sz="4" w:space="0"/>
                <w:between w:val="none" w:color="auto" w:sz="0" w:space="0"/>
              </w:pBdr>
              <w:rPr>
                <w:rFonts w:hint="eastAsia" w:ascii="宋体" w:hAnsi="宋体" w:eastAsia="宋体" w:cs="宋体"/>
                <w:sz w:val="24"/>
                <w:szCs w:val="24"/>
              </w:rPr>
            </w:pPr>
            <w:r>
              <w:rPr>
                <w:rFonts w:hint="eastAsia" w:ascii="宋体" w:hAnsi="宋体" w:eastAsia="宋体" w:cs="宋体"/>
                <w:sz w:val="24"/>
                <w:szCs w:val="24"/>
              </w:rPr>
              <w:t>积水（㎡/1000㎡）</w:t>
            </w:r>
          </w:p>
        </w:tc>
        <w:tc>
          <w:tcPr>
            <w:tcW w:w="1000" w:type="dxa"/>
            <w:noWrap w:val="0"/>
            <w:vAlign w:val="top"/>
          </w:tcPr>
          <w:p>
            <w:pPr>
              <w:numPr>
                <w:ilvl w:val="0"/>
                <w:numId w:val="0"/>
              </w:numPr>
              <w:pBdr>
                <w:top w:val="single" w:color="auto" w:sz="4" w:space="0"/>
                <w:left w:val="single" w:color="auto" w:sz="4" w:space="0"/>
                <w:bottom w:val="single" w:color="auto" w:sz="4" w:space="0"/>
                <w:right w:val="single" w:color="auto" w:sz="4" w:space="0"/>
                <w:between w:val="none" w:color="auto" w:sz="0" w:space="0"/>
              </w:pBdr>
              <w:rPr>
                <w:rFonts w:hint="eastAsia" w:ascii="宋体" w:hAnsi="宋体" w:eastAsia="宋体" w:cs="宋体"/>
                <w:sz w:val="24"/>
                <w:szCs w:val="24"/>
              </w:rPr>
            </w:pPr>
            <w:r>
              <w:rPr>
                <w:rFonts w:hint="eastAsia" w:ascii="宋体" w:hAnsi="宋体" w:eastAsia="宋体" w:cs="宋体"/>
                <w:sz w:val="24"/>
                <w:szCs w:val="24"/>
              </w:rPr>
              <w:t>其他（处/1000㎡）</w:t>
            </w:r>
          </w:p>
        </w:tc>
        <w:tc>
          <w:tcPr>
            <w:tcW w:w="975" w:type="dxa"/>
            <w:noWrap w:val="0"/>
            <w:vAlign w:val="top"/>
          </w:tcPr>
          <w:p>
            <w:pPr>
              <w:numPr>
                <w:ilvl w:val="0"/>
                <w:numId w:val="0"/>
              </w:numPr>
              <w:pBdr>
                <w:top w:val="single" w:color="auto" w:sz="4" w:space="0"/>
                <w:left w:val="single" w:color="auto" w:sz="4" w:space="0"/>
                <w:bottom w:val="single" w:color="auto" w:sz="4" w:space="0"/>
                <w:right w:val="single" w:color="auto" w:sz="4" w:space="0"/>
                <w:between w:val="none" w:color="auto" w:sz="0" w:space="0"/>
              </w:pBdr>
              <w:rPr>
                <w:rFonts w:hint="eastAsia" w:ascii="宋体" w:hAnsi="宋体" w:eastAsia="宋体" w:cs="宋体"/>
                <w:sz w:val="24"/>
                <w:szCs w:val="24"/>
              </w:rPr>
            </w:pPr>
            <w:r>
              <w:rPr>
                <w:rFonts w:hint="eastAsia" w:ascii="宋体" w:hAnsi="宋体" w:eastAsia="宋体" w:cs="宋体"/>
                <w:sz w:val="24"/>
                <w:szCs w:val="24"/>
              </w:rPr>
              <w:t>机动车道两件相邻垃圾距离（M）</w:t>
            </w:r>
          </w:p>
        </w:tc>
        <w:tc>
          <w:tcPr>
            <w:tcW w:w="966" w:type="dxa"/>
            <w:noWrap w:val="0"/>
            <w:vAlign w:val="top"/>
          </w:tcPr>
          <w:p>
            <w:pPr>
              <w:numPr>
                <w:ilvl w:val="0"/>
                <w:numId w:val="0"/>
              </w:numPr>
              <w:pBdr>
                <w:top w:val="single" w:color="auto" w:sz="4" w:space="0"/>
                <w:left w:val="single" w:color="auto" w:sz="4" w:space="0"/>
                <w:bottom w:val="single" w:color="auto" w:sz="4" w:space="0"/>
                <w:right w:val="single" w:color="auto" w:sz="4" w:space="0"/>
                <w:between w:val="none" w:color="auto" w:sz="0" w:space="0"/>
              </w:pBdr>
              <w:rPr>
                <w:rFonts w:hint="eastAsia" w:ascii="宋体" w:hAnsi="宋体" w:eastAsia="宋体" w:cs="宋体"/>
                <w:sz w:val="24"/>
                <w:szCs w:val="24"/>
              </w:rPr>
            </w:pPr>
            <w:r>
              <w:rPr>
                <w:rFonts w:hint="eastAsia" w:ascii="宋体" w:hAnsi="宋体" w:eastAsia="宋体" w:cs="宋体"/>
                <w:sz w:val="24"/>
                <w:szCs w:val="24"/>
              </w:rPr>
              <w:t>非机动车道两件相邻垃圾距离（M）</w:t>
            </w:r>
          </w:p>
        </w:tc>
        <w:tc>
          <w:tcPr>
            <w:tcW w:w="808" w:type="dxa"/>
            <w:noWrap w:val="0"/>
            <w:vAlign w:val="top"/>
          </w:tcPr>
          <w:p>
            <w:pPr>
              <w:numPr>
                <w:ilvl w:val="0"/>
                <w:numId w:val="0"/>
              </w:numPr>
              <w:pBdr>
                <w:top w:val="single" w:color="auto" w:sz="4" w:space="0"/>
                <w:left w:val="single" w:color="auto" w:sz="4" w:space="0"/>
                <w:bottom w:val="single" w:color="auto" w:sz="4" w:space="0"/>
                <w:right w:val="single" w:color="auto" w:sz="4" w:space="0"/>
                <w:between w:val="none" w:color="auto" w:sz="0" w:space="0"/>
              </w:pBdr>
              <w:rPr>
                <w:rFonts w:hint="eastAsia" w:ascii="宋体" w:hAnsi="宋体" w:eastAsia="宋体" w:cs="宋体"/>
                <w:sz w:val="24"/>
                <w:szCs w:val="24"/>
              </w:rPr>
            </w:pPr>
            <w:r>
              <w:rPr>
                <w:rFonts w:hint="eastAsia" w:ascii="宋体" w:hAnsi="宋体" w:eastAsia="宋体" w:cs="宋体"/>
                <w:sz w:val="24"/>
                <w:szCs w:val="24"/>
              </w:rPr>
              <w:t>滞留时间（分）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trPr>
        <w:tc>
          <w:tcPr>
            <w:tcW w:w="503" w:type="dxa"/>
            <w:noWrap w:val="0"/>
            <w:vAlign w:val="center"/>
          </w:tcPr>
          <w:p>
            <w:pPr>
              <w:numPr>
                <w:ilvl w:val="0"/>
                <w:numId w:val="0"/>
              </w:numPr>
              <w:pBdr>
                <w:top w:val="single" w:color="auto" w:sz="4" w:space="0"/>
                <w:left w:val="single" w:color="auto" w:sz="4" w:space="0"/>
                <w:bottom w:val="single" w:color="auto" w:sz="4" w:space="0"/>
                <w:right w:val="single" w:color="auto" w:sz="4" w:space="0"/>
                <w:between w:val="none" w:color="auto" w:sz="0" w:space="0"/>
              </w:pBdr>
              <w:jc w:val="center"/>
              <w:rPr>
                <w:rFonts w:hint="eastAsia" w:ascii="宋体" w:hAnsi="宋体" w:eastAsia="宋体" w:cs="宋体"/>
                <w:sz w:val="24"/>
                <w:szCs w:val="24"/>
              </w:rPr>
            </w:pPr>
            <w:r>
              <w:rPr>
                <w:rFonts w:hint="eastAsia" w:ascii="宋体" w:hAnsi="宋体" w:eastAsia="宋体" w:cs="宋体"/>
                <w:sz w:val="24"/>
                <w:szCs w:val="24"/>
              </w:rPr>
              <w:t>一级</w:t>
            </w:r>
          </w:p>
        </w:tc>
        <w:tc>
          <w:tcPr>
            <w:tcW w:w="761" w:type="dxa"/>
            <w:noWrap w:val="0"/>
            <w:vAlign w:val="center"/>
          </w:tcPr>
          <w:p>
            <w:pPr>
              <w:numPr>
                <w:ilvl w:val="0"/>
                <w:numId w:val="0"/>
              </w:numPr>
              <w:pBdr>
                <w:top w:val="single" w:color="auto" w:sz="4" w:space="0"/>
                <w:left w:val="single" w:color="auto" w:sz="4" w:space="0"/>
                <w:bottom w:val="single" w:color="auto" w:sz="4" w:space="0"/>
                <w:right w:val="single" w:color="auto" w:sz="4" w:space="0"/>
                <w:between w:val="none" w:color="auto" w:sz="0" w:space="0"/>
              </w:pBdr>
              <w:jc w:val="center"/>
              <w:rPr>
                <w:rFonts w:hint="eastAsia" w:ascii="宋体" w:hAnsi="宋体" w:eastAsia="宋体" w:cs="宋体"/>
                <w:sz w:val="24"/>
                <w:szCs w:val="24"/>
              </w:rPr>
            </w:pPr>
            <w:r>
              <w:rPr>
                <w:rFonts w:hint="eastAsia" w:ascii="宋体" w:hAnsi="宋体" w:eastAsia="宋体" w:cs="宋体"/>
                <w:sz w:val="24"/>
                <w:szCs w:val="24"/>
              </w:rPr>
              <w:t>≤4</w:t>
            </w:r>
          </w:p>
        </w:tc>
        <w:tc>
          <w:tcPr>
            <w:tcW w:w="852" w:type="dxa"/>
            <w:noWrap w:val="0"/>
            <w:vAlign w:val="center"/>
          </w:tcPr>
          <w:p>
            <w:pPr>
              <w:numPr>
                <w:ilvl w:val="0"/>
                <w:numId w:val="0"/>
              </w:numPr>
              <w:pBdr>
                <w:top w:val="single" w:color="auto" w:sz="4" w:space="0"/>
                <w:left w:val="single" w:color="auto" w:sz="4" w:space="0"/>
                <w:bottom w:val="single" w:color="auto" w:sz="4" w:space="0"/>
                <w:right w:val="single" w:color="auto" w:sz="4" w:space="0"/>
                <w:between w:val="none" w:color="auto" w:sz="0" w:space="0"/>
              </w:pBdr>
              <w:jc w:val="center"/>
              <w:rPr>
                <w:rFonts w:hint="eastAsia" w:ascii="宋体" w:hAnsi="宋体" w:eastAsia="宋体" w:cs="宋体"/>
                <w:sz w:val="24"/>
                <w:szCs w:val="24"/>
              </w:rPr>
            </w:pPr>
            <w:r>
              <w:rPr>
                <w:rFonts w:hint="eastAsia" w:ascii="宋体" w:hAnsi="宋体" w:eastAsia="宋体" w:cs="宋体"/>
                <w:sz w:val="24"/>
                <w:szCs w:val="24"/>
              </w:rPr>
              <w:t>≤4</w:t>
            </w:r>
          </w:p>
        </w:tc>
        <w:tc>
          <w:tcPr>
            <w:tcW w:w="768" w:type="dxa"/>
            <w:noWrap w:val="0"/>
            <w:vAlign w:val="center"/>
          </w:tcPr>
          <w:p>
            <w:pPr>
              <w:numPr>
                <w:ilvl w:val="0"/>
                <w:numId w:val="0"/>
              </w:numPr>
              <w:pBdr>
                <w:top w:val="single" w:color="auto" w:sz="4" w:space="0"/>
                <w:left w:val="single" w:color="auto" w:sz="4" w:space="0"/>
                <w:bottom w:val="single" w:color="auto" w:sz="4" w:space="0"/>
                <w:right w:val="single" w:color="auto" w:sz="4" w:space="0"/>
                <w:between w:val="none" w:color="auto" w:sz="0" w:space="0"/>
              </w:pBdr>
              <w:jc w:val="center"/>
              <w:rPr>
                <w:rFonts w:hint="eastAsia" w:ascii="宋体" w:hAnsi="宋体" w:eastAsia="宋体" w:cs="宋体"/>
                <w:sz w:val="24"/>
                <w:szCs w:val="24"/>
              </w:rPr>
            </w:pPr>
            <w:r>
              <w:rPr>
                <w:rFonts w:hint="eastAsia" w:ascii="宋体" w:hAnsi="宋体" w:eastAsia="宋体" w:cs="宋体"/>
                <w:sz w:val="24"/>
                <w:szCs w:val="24"/>
              </w:rPr>
              <w:t>≤4</w:t>
            </w:r>
          </w:p>
        </w:tc>
        <w:tc>
          <w:tcPr>
            <w:tcW w:w="941" w:type="dxa"/>
            <w:noWrap w:val="0"/>
            <w:vAlign w:val="center"/>
          </w:tcPr>
          <w:p>
            <w:pPr>
              <w:numPr>
                <w:ilvl w:val="0"/>
                <w:numId w:val="0"/>
              </w:numPr>
              <w:pBdr>
                <w:top w:val="single" w:color="auto" w:sz="4" w:space="0"/>
                <w:left w:val="single" w:color="auto" w:sz="4" w:space="0"/>
                <w:bottom w:val="single" w:color="auto" w:sz="4" w:space="0"/>
                <w:right w:val="single" w:color="auto" w:sz="4" w:space="0"/>
                <w:between w:val="none" w:color="auto" w:sz="0" w:space="0"/>
              </w:pBdr>
              <w:jc w:val="center"/>
              <w:rPr>
                <w:rFonts w:hint="eastAsia" w:ascii="宋体" w:hAnsi="宋体" w:eastAsia="宋体" w:cs="宋体"/>
                <w:sz w:val="24"/>
                <w:szCs w:val="24"/>
              </w:rPr>
            </w:pPr>
            <w:r>
              <w:rPr>
                <w:rFonts w:hint="eastAsia" w:ascii="宋体" w:hAnsi="宋体" w:eastAsia="宋体" w:cs="宋体"/>
                <w:sz w:val="24"/>
                <w:szCs w:val="24"/>
              </w:rPr>
              <w:t>≤4</w:t>
            </w:r>
          </w:p>
        </w:tc>
        <w:tc>
          <w:tcPr>
            <w:tcW w:w="942" w:type="dxa"/>
            <w:noWrap w:val="0"/>
            <w:vAlign w:val="center"/>
          </w:tcPr>
          <w:p>
            <w:pPr>
              <w:numPr>
                <w:ilvl w:val="0"/>
                <w:numId w:val="0"/>
              </w:numPr>
              <w:pBdr>
                <w:top w:val="single" w:color="auto" w:sz="4" w:space="0"/>
                <w:left w:val="single" w:color="auto" w:sz="4" w:space="0"/>
                <w:bottom w:val="single" w:color="auto" w:sz="4" w:space="0"/>
                <w:right w:val="single" w:color="auto" w:sz="4" w:space="0"/>
                <w:between w:val="none" w:color="auto" w:sz="0" w:space="0"/>
              </w:pBdr>
              <w:jc w:val="center"/>
              <w:rPr>
                <w:rFonts w:hint="eastAsia" w:ascii="宋体" w:hAnsi="宋体" w:eastAsia="宋体" w:cs="宋体"/>
                <w:sz w:val="24"/>
                <w:szCs w:val="24"/>
              </w:rPr>
            </w:pPr>
            <w:r>
              <w:rPr>
                <w:rFonts w:hint="eastAsia" w:ascii="宋体" w:hAnsi="宋体" w:eastAsia="宋体" w:cs="宋体"/>
                <w:sz w:val="24"/>
                <w:szCs w:val="24"/>
              </w:rPr>
              <w:t>无</w:t>
            </w:r>
          </w:p>
        </w:tc>
        <w:tc>
          <w:tcPr>
            <w:tcW w:w="1000" w:type="dxa"/>
            <w:noWrap w:val="0"/>
            <w:vAlign w:val="center"/>
          </w:tcPr>
          <w:p>
            <w:pPr>
              <w:numPr>
                <w:ilvl w:val="0"/>
                <w:numId w:val="0"/>
              </w:numPr>
              <w:pBdr>
                <w:top w:val="single" w:color="auto" w:sz="4" w:space="0"/>
                <w:left w:val="single" w:color="auto" w:sz="4" w:space="0"/>
                <w:bottom w:val="single" w:color="auto" w:sz="4" w:space="0"/>
                <w:right w:val="single" w:color="auto" w:sz="4" w:space="0"/>
                <w:between w:val="none" w:color="auto" w:sz="0" w:space="0"/>
              </w:pBdr>
              <w:jc w:val="center"/>
              <w:rPr>
                <w:rFonts w:hint="eastAsia" w:ascii="宋体" w:hAnsi="宋体" w:eastAsia="宋体" w:cs="宋体"/>
                <w:sz w:val="24"/>
                <w:szCs w:val="24"/>
              </w:rPr>
            </w:pPr>
            <w:r>
              <w:rPr>
                <w:rFonts w:hint="eastAsia" w:ascii="宋体" w:hAnsi="宋体" w:eastAsia="宋体" w:cs="宋体"/>
                <w:sz w:val="24"/>
                <w:szCs w:val="24"/>
              </w:rPr>
              <w:t>无</w:t>
            </w:r>
          </w:p>
        </w:tc>
        <w:tc>
          <w:tcPr>
            <w:tcW w:w="975" w:type="dxa"/>
            <w:noWrap w:val="0"/>
            <w:vAlign w:val="center"/>
          </w:tcPr>
          <w:p>
            <w:pPr>
              <w:numPr>
                <w:ilvl w:val="0"/>
                <w:numId w:val="0"/>
              </w:numPr>
              <w:pBdr>
                <w:top w:val="single" w:color="auto" w:sz="4" w:space="0"/>
                <w:left w:val="single" w:color="auto" w:sz="4" w:space="0"/>
                <w:bottom w:val="single" w:color="auto" w:sz="4" w:space="0"/>
                <w:right w:val="single" w:color="auto" w:sz="4" w:space="0"/>
                <w:between w:val="none" w:color="auto" w:sz="0" w:space="0"/>
              </w:pBdr>
              <w:jc w:val="center"/>
              <w:rPr>
                <w:rFonts w:hint="eastAsia" w:ascii="宋体" w:hAnsi="宋体" w:eastAsia="宋体" w:cs="宋体"/>
                <w:sz w:val="24"/>
                <w:szCs w:val="24"/>
              </w:rPr>
            </w:pPr>
            <w:r>
              <w:rPr>
                <w:rFonts w:hint="eastAsia" w:ascii="宋体" w:hAnsi="宋体" w:eastAsia="宋体" w:cs="宋体"/>
                <w:sz w:val="24"/>
                <w:szCs w:val="24"/>
              </w:rPr>
              <w:t>≥150</w:t>
            </w:r>
          </w:p>
        </w:tc>
        <w:tc>
          <w:tcPr>
            <w:tcW w:w="966" w:type="dxa"/>
            <w:noWrap w:val="0"/>
            <w:vAlign w:val="center"/>
          </w:tcPr>
          <w:p>
            <w:pPr>
              <w:numPr>
                <w:ilvl w:val="0"/>
                <w:numId w:val="0"/>
              </w:numPr>
              <w:pBdr>
                <w:top w:val="single" w:color="auto" w:sz="4" w:space="0"/>
                <w:left w:val="single" w:color="auto" w:sz="4" w:space="0"/>
                <w:bottom w:val="single" w:color="auto" w:sz="4" w:space="0"/>
                <w:right w:val="single" w:color="auto" w:sz="4" w:space="0"/>
                <w:between w:val="none" w:color="auto" w:sz="0" w:space="0"/>
              </w:pBdr>
              <w:jc w:val="center"/>
              <w:rPr>
                <w:rFonts w:hint="eastAsia" w:ascii="宋体" w:hAnsi="宋体" w:eastAsia="宋体" w:cs="宋体"/>
                <w:sz w:val="24"/>
                <w:szCs w:val="24"/>
              </w:rPr>
            </w:pPr>
            <w:r>
              <w:rPr>
                <w:rFonts w:hint="eastAsia" w:ascii="宋体" w:hAnsi="宋体" w:eastAsia="宋体" w:cs="宋体"/>
                <w:sz w:val="24"/>
                <w:szCs w:val="24"/>
              </w:rPr>
              <w:t>≥120</w:t>
            </w:r>
          </w:p>
        </w:tc>
        <w:tc>
          <w:tcPr>
            <w:tcW w:w="808" w:type="dxa"/>
            <w:noWrap w:val="0"/>
            <w:vAlign w:val="center"/>
          </w:tcPr>
          <w:p>
            <w:pPr>
              <w:numPr>
                <w:ilvl w:val="0"/>
                <w:numId w:val="0"/>
              </w:numPr>
              <w:pBdr>
                <w:top w:val="single" w:color="auto" w:sz="4" w:space="0"/>
                <w:left w:val="single" w:color="auto" w:sz="4" w:space="0"/>
                <w:bottom w:val="single" w:color="auto" w:sz="4" w:space="0"/>
                <w:right w:val="single" w:color="auto" w:sz="4" w:space="0"/>
                <w:between w:val="none" w:color="auto" w:sz="0" w:space="0"/>
              </w:pBdr>
              <w:jc w:val="center"/>
              <w:rPr>
                <w:rFonts w:hint="eastAsia" w:ascii="宋体" w:hAnsi="宋体" w:eastAsia="宋体" w:cs="宋体"/>
                <w:sz w:val="24"/>
                <w:szCs w:val="24"/>
              </w:rPr>
            </w:pPr>
            <w:r>
              <w:rPr>
                <w:rFonts w:hint="eastAsia" w:ascii="宋体" w:hAnsi="宋体" w:eastAsia="宋体" w:cs="宋体"/>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trPr>
        <w:tc>
          <w:tcPr>
            <w:tcW w:w="503" w:type="dxa"/>
            <w:noWrap w:val="0"/>
            <w:vAlign w:val="center"/>
          </w:tcPr>
          <w:p>
            <w:pPr>
              <w:numPr>
                <w:ilvl w:val="0"/>
                <w:numId w:val="0"/>
              </w:numPr>
              <w:pBdr>
                <w:top w:val="single" w:color="auto" w:sz="4" w:space="0"/>
                <w:left w:val="single" w:color="auto" w:sz="4" w:space="0"/>
                <w:bottom w:val="single" w:color="auto" w:sz="4" w:space="0"/>
                <w:right w:val="single" w:color="auto" w:sz="4" w:space="0"/>
                <w:between w:val="none" w:color="auto" w:sz="0" w:space="0"/>
              </w:pBdr>
              <w:jc w:val="center"/>
              <w:rPr>
                <w:rFonts w:hint="eastAsia" w:ascii="宋体" w:hAnsi="宋体" w:eastAsia="宋体" w:cs="宋体"/>
                <w:sz w:val="24"/>
                <w:szCs w:val="24"/>
              </w:rPr>
            </w:pPr>
            <w:r>
              <w:rPr>
                <w:rFonts w:hint="eastAsia" w:ascii="宋体" w:hAnsi="宋体" w:eastAsia="宋体" w:cs="宋体"/>
                <w:sz w:val="24"/>
                <w:szCs w:val="24"/>
              </w:rPr>
              <w:t>二级</w:t>
            </w:r>
          </w:p>
        </w:tc>
        <w:tc>
          <w:tcPr>
            <w:tcW w:w="761" w:type="dxa"/>
            <w:noWrap w:val="0"/>
            <w:vAlign w:val="center"/>
          </w:tcPr>
          <w:p>
            <w:pPr>
              <w:numPr>
                <w:ilvl w:val="0"/>
                <w:numId w:val="0"/>
              </w:numPr>
              <w:pBdr>
                <w:top w:val="single" w:color="auto" w:sz="4" w:space="0"/>
                <w:left w:val="single" w:color="auto" w:sz="4" w:space="0"/>
                <w:bottom w:val="single" w:color="auto" w:sz="4" w:space="0"/>
                <w:right w:val="single" w:color="auto" w:sz="4" w:space="0"/>
                <w:between w:val="none" w:color="auto" w:sz="0" w:space="0"/>
              </w:pBdr>
              <w:jc w:val="center"/>
              <w:rPr>
                <w:rFonts w:hint="eastAsia" w:ascii="宋体" w:hAnsi="宋体" w:eastAsia="宋体" w:cs="宋体"/>
                <w:sz w:val="24"/>
                <w:szCs w:val="24"/>
              </w:rPr>
            </w:pPr>
            <w:r>
              <w:rPr>
                <w:rFonts w:hint="eastAsia" w:ascii="宋体" w:hAnsi="宋体" w:eastAsia="宋体" w:cs="宋体"/>
                <w:sz w:val="24"/>
                <w:szCs w:val="24"/>
              </w:rPr>
              <w:t>≤6</w:t>
            </w:r>
          </w:p>
        </w:tc>
        <w:tc>
          <w:tcPr>
            <w:tcW w:w="852" w:type="dxa"/>
            <w:noWrap w:val="0"/>
            <w:vAlign w:val="center"/>
          </w:tcPr>
          <w:p>
            <w:pPr>
              <w:numPr>
                <w:ilvl w:val="0"/>
                <w:numId w:val="0"/>
              </w:numPr>
              <w:pBdr>
                <w:top w:val="single" w:color="auto" w:sz="4" w:space="0"/>
                <w:left w:val="single" w:color="auto" w:sz="4" w:space="0"/>
                <w:bottom w:val="single" w:color="auto" w:sz="4" w:space="0"/>
                <w:right w:val="single" w:color="auto" w:sz="4" w:space="0"/>
                <w:between w:val="none" w:color="auto" w:sz="0" w:space="0"/>
              </w:pBdr>
              <w:jc w:val="center"/>
              <w:rPr>
                <w:rFonts w:hint="eastAsia" w:ascii="宋体" w:hAnsi="宋体" w:eastAsia="宋体" w:cs="宋体"/>
                <w:sz w:val="24"/>
                <w:szCs w:val="24"/>
              </w:rPr>
            </w:pPr>
            <w:r>
              <w:rPr>
                <w:rFonts w:hint="eastAsia" w:ascii="宋体" w:hAnsi="宋体" w:eastAsia="宋体" w:cs="宋体"/>
                <w:sz w:val="24"/>
                <w:szCs w:val="24"/>
              </w:rPr>
              <w:t>≤6</w:t>
            </w:r>
          </w:p>
        </w:tc>
        <w:tc>
          <w:tcPr>
            <w:tcW w:w="768" w:type="dxa"/>
            <w:noWrap w:val="0"/>
            <w:vAlign w:val="center"/>
          </w:tcPr>
          <w:p>
            <w:pPr>
              <w:numPr>
                <w:ilvl w:val="0"/>
                <w:numId w:val="0"/>
              </w:numPr>
              <w:pBdr>
                <w:top w:val="single" w:color="auto" w:sz="4" w:space="0"/>
                <w:left w:val="single" w:color="auto" w:sz="4" w:space="0"/>
                <w:bottom w:val="single" w:color="auto" w:sz="4" w:space="0"/>
                <w:right w:val="single" w:color="auto" w:sz="4" w:space="0"/>
                <w:between w:val="none" w:color="auto" w:sz="0" w:space="0"/>
              </w:pBdr>
              <w:jc w:val="center"/>
              <w:rPr>
                <w:rFonts w:hint="eastAsia" w:ascii="宋体" w:hAnsi="宋体" w:eastAsia="宋体" w:cs="宋体"/>
                <w:sz w:val="24"/>
                <w:szCs w:val="24"/>
              </w:rPr>
            </w:pPr>
            <w:r>
              <w:rPr>
                <w:rFonts w:hint="eastAsia" w:ascii="宋体" w:hAnsi="宋体" w:eastAsia="宋体" w:cs="宋体"/>
                <w:sz w:val="24"/>
                <w:szCs w:val="24"/>
              </w:rPr>
              <w:t>≤8</w:t>
            </w:r>
          </w:p>
        </w:tc>
        <w:tc>
          <w:tcPr>
            <w:tcW w:w="941" w:type="dxa"/>
            <w:noWrap w:val="0"/>
            <w:vAlign w:val="center"/>
          </w:tcPr>
          <w:p>
            <w:pPr>
              <w:numPr>
                <w:ilvl w:val="0"/>
                <w:numId w:val="0"/>
              </w:numPr>
              <w:pBdr>
                <w:top w:val="single" w:color="auto" w:sz="4" w:space="0"/>
                <w:left w:val="single" w:color="auto" w:sz="4" w:space="0"/>
                <w:bottom w:val="single" w:color="auto" w:sz="4" w:space="0"/>
                <w:right w:val="single" w:color="auto" w:sz="4" w:space="0"/>
                <w:between w:val="none" w:color="auto" w:sz="0" w:space="0"/>
              </w:pBdr>
              <w:jc w:val="center"/>
              <w:rPr>
                <w:rFonts w:hint="eastAsia" w:ascii="宋体" w:hAnsi="宋体" w:eastAsia="宋体" w:cs="宋体"/>
                <w:sz w:val="24"/>
                <w:szCs w:val="24"/>
              </w:rPr>
            </w:pPr>
            <w:r>
              <w:rPr>
                <w:rFonts w:hint="eastAsia" w:ascii="宋体" w:hAnsi="宋体" w:eastAsia="宋体" w:cs="宋体"/>
                <w:sz w:val="24"/>
                <w:szCs w:val="24"/>
              </w:rPr>
              <w:t>≤8</w:t>
            </w:r>
          </w:p>
        </w:tc>
        <w:tc>
          <w:tcPr>
            <w:tcW w:w="942" w:type="dxa"/>
            <w:noWrap w:val="0"/>
            <w:vAlign w:val="center"/>
          </w:tcPr>
          <w:p>
            <w:pPr>
              <w:numPr>
                <w:ilvl w:val="0"/>
                <w:numId w:val="0"/>
              </w:numPr>
              <w:pBdr>
                <w:top w:val="single" w:color="auto" w:sz="4" w:space="0"/>
                <w:left w:val="single" w:color="auto" w:sz="4" w:space="0"/>
                <w:bottom w:val="single" w:color="auto" w:sz="4" w:space="0"/>
                <w:right w:val="single" w:color="auto" w:sz="4" w:space="0"/>
                <w:between w:val="none" w:color="auto" w:sz="0" w:space="0"/>
              </w:pBdr>
              <w:jc w:val="center"/>
              <w:rPr>
                <w:rFonts w:hint="eastAsia" w:ascii="宋体" w:hAnsi="宋体" w:eastAsia="宋体" w:cs="宋体"/>
                <w:sz w:val="24"/>
                <w:szCs w:val="24"/>
              </w:rPr>
            </w:pPr>
            <w:r>
              <w:rPr>
                <w:rFonts w:hint="eastAsia" w:ascii="宋体" w:hAnsi="宋体" w:eastAsia="宋体" w:cs="宋体"/>
                <w:sz w:val="24"/>
                <w:szCs w:val="24"/>
              </w:rPr>
              <w:t>≤0.5</w:t>
            </w:r>
          </w:p>
        </w:tc>
        <w:tc>
          <w:tcPr>
            <w:tcW w:w="1000" w:type="dxa"/>
            <w:noWrap w:val="0"/>
            <w:vAlign w:val="center"/>
          </w:tcPr>
          <w:p>
            <w:pPr>
              <w:numPr>
                <w:ilvl w:val="0"/>
                <w:numId w:val="0"/>
              </w:numPr>
              <w:pBdr>
                <w:top w:val="single" w:color="auto" w:sz="4" w:space="0"/>
                <w:left w:val="single" w:color="auto" w:sz="4" w:space="0"/>
                <w:bottom w:val="single" w:color="auto" w:sz="4" w:space="0"/>
                <w:right w:val="single" w:color="auto" w:sz="4" w:space="0"/>
                <w:between w:val="none" w:color="auto" w:sz="0" w:space="0"/>
              </w:pBdr>
              <w:jc w:val="center"/>
              <w:rPr>
                <w:rFonts w:hint="eastAsia" w:ascii="宋体" w:hAnsi="宋体" w:eastAsia="宋体" w:cs="宋体"/>
                <w:sz w:val="24"/>
                <w:szCs w:val="24"/>
              </w:rPr>
            </w:pPr>
            <w:r>
              <w:rPr>
                <w:rFonts w:hint="eastAsia" w:ascii="宋体" w:hAnsi="宋体" w:eastAsia="宋体" w:cs="宋体"/>
                <w:sz w:val="24"/>
                <w:szCs w:val="24"/>
              </w:rPr>
              <w:t>≤2</w:t>
            </w:r>
          </w:p>
        </w:tc>
        <w:tc>
          <w:tcPr>
            <w:tcW w:w="975" w:type="dxa"/>
            <w:noWrap w:val="0"/>
            <w:vAlign w:val="center"/>
          </w:tcPr>
          <w:p>
            <w:pPr>
              <w:numPr>
                <w:ilvl w:val="0"/>
                <w:numId w:val="0"/>
              </w:numPr>
              <w:pBdr>
                <w:top w:val="single" w:color="auto" w:sz="4" w:space="0"/>
                <w:left w:val="single" w:color="auto" w:sz="4" w:space="0"/>
                <w:bottom w:val="single" w:color="auto" w:sz="4" w:space="0"/>
                <w:right w:val="single" w:color="auto" w:sz="4" w:space="0"/>
                <w:between w:val="none" w:color="auto" w:sz="0" w:space="0"/>
              </w:pBdr>
              <w:jc w:val="center"/>
              <w:rPr>
                <w:rFonts w:hint="eastAsia" w:ascii="宋体" w:hAnsi="宋体" w:eastAsia="宋体" w:cs="宋体"/>
                <w:sz w:val="24"/>
                <w:szCs w:val="24"/>
              </w:rPr>
            </w:pPr>
            <w:r>
              <w:rPr>
                <w:rFonts w:hint="eastAsia" w:ascii="宋体" w:hAnsi="宋体" w:eastAsia="宋体" w:cs="宋体"/>
                <w:sz w:val="24"/>
                <w:szCs w:val="24"/>
              </w:rPr>
              <w:t>≥120</w:t>
            </w:r>
          </w:p>
        </w:tc>
        <w:tc>
          <w:tcPr>
            <w:tcW w:w="966" w:type="dxa"/>
            <w:noWrap w:val="0"/>
            <w:vAlign w:val="center"/>
          </w:tcPr>
          <w:p>
            <w:pPr>
              <w:numPr>
                <w:ilvl w:val="0"/>
                <w:numId w:val="0"/>
              </w:numPr>
              <w:pBdr>
                <w:top w:val="single" w:color="auto" w:sz="4" w:space="0"/>
                <w:left w:val="single" w:color="auto" w:sz="4" w:space="0"/>
                <w:bottom w:val="single" w:color="auto" w:sz="4" w:space="0"/>
                <w:right w:val="single" w:color="auto" w:sz="4" w:space="0"/>
                <w:between w:val="none" w:color="auto" w:sz="0" w:space="0"/>
              </w:pBdr>
              <w:jc w:val="center"/>
              <w:rPr>
                <w:rFonts w:hint="eastAsia" w:ascii="宋体" w:hAnsi="宋体" w:eastAsia="宋体" w:cs="宋体"/>
                <w:sz w:val="24"/>
                <w:szCs w:val="24"/>
              </w:rPr>
            </w:pPr>
            <w:r>
              <w:rPr>
                <w:rFonts w:hint="eastAsia" w:ascii="宋体" w:hAnsi="宋体" w:eastAsia="宋体" w:cs="宋体"/>
                <w:sz w:val="24"/>
                <w:szCs w:val="24"/>
              </w:rPr>
              <w:t>≥80</w:t>
            </w:r>
          </w:p>
        </w:tc>
        <w:tc>
          <w:tcPr>
            <w:tcW w:w="808" w:type="dxa"/>
            <w:noWrap w:val="0"/>
            <w:vAlign w:val="center"/>
          </w:tcPr>
          <w:p>
            <w:pPr>
              <w:numPr>
                <w:ilvl w:val="0"/>
                <w:numId w:val="0"/>
              </w:numPr>
              <w:pBdr>
                <w:top w:val="single" w:color="auto" w:sz="4" w:space="0"/>
                <w:left w:val="single" w:color="auto" w:sz="4" w:space="0"/>
                <w:bottom w:val="single" w:color="auto" w:sz="4" w:space="0"/>
                <w:right w:val="single" w:color="auto" w:sz="4" w:space="0"/>
                <w:between w:val="none" w:color="auto" w:sz="0" w:space="0"/>
              </w:pBdr>
              <w:jc w:val="center"/>
              <w:rPr>
                <w:rFonts w:hint="eastAsia" w:ascii="宋体" w:hAnsi="宋体" w:eastAsia="宋体" w:cs="宋体"/>
                <w:sz w:val="24"/>
                <w:szCs w:val="24"/>
              </w:rPr>
            </w:pPr>
            <w:r>
              <w:rPr>
                <w:rFonts w:hint="eastAsia" w:ascii="宋体" w:hAnsi="宋体" w:eastAsia="宋体" w:cs="宋体"/>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trPr>
        <w:tc>
          <w:tcPr>
            <w:tcW w:w="503" w:type="dxa"/>
            <w:noWrap w:val="0"/>
            <w:vAlign w:val="center"/>
          </w:tcPr>
          <w:p>
            <w:pPr>
              <w:numPr>
                <w:ilvl w:val="0"/>
                <w:numId w:val="0"/>
              </w:numPr>
              <w:pBdr>
                <w:top w:val="single" w:color="auto" w:sz="4" w:space="0"/>
                <w:left w:val="single" w:color="auto" w:sz="4" w:space="0"/>
                <w:bottom w:val="single" w:color="auto" w:sz="4" w:space="0"/>
                <w:right w:val="single" w:color="auto" w:sz="4" w:space="0"/>
                <w:between w:val="none" w:color="auto" w:sz="0" w:space="0"/>
              </w:pBdr>
              <w:jc w:val="center"/>
              <w:rPr>
                <w:rFonts w:hint="eastAsia" w:ascii="宋体" w:hAnsi="宋体" w:eastAsia="宋体" w:cs="宋体"/>
                <w:sz w:val="24"/>
                <w:szCs w:val="24"/>
              </w:rPr>
            </w:pPr>
            <w:r>
              <w:rPr>
                <w:rFonts w:hint="eastAsia" w:ascii="宋体" w:hAnsi="宋体" w:eastAsia="宋体" w:cs="宋体"/>
                <w:sz w:val="24"/>
                <w:szCs w:val="24"/>
              </w:rPr>
              <w:t>三级</w:t>
            </w:r>
          </w:p>
        </w:tc>
        <w:tc>
          <w:tcPr>
            <w:tcW w:w="761" w:type="dxa"/>
            <w:noWrap w:val="0"/>
            <w:vAlign w:val="center"/>
          </w:tcPr>
          <w:p>
            <w:pPr>
              <w:numPr>
                <w:ilvl w:val="0"/>
                <w:numId w:val="0"/>
              </w:numPr>
              <w:pBdr>
                <w:top w:val="single" w:color="auto" w:sz="4" w:space="0"/>
                <w:left w:val="single" w:color="auto" w:sz="4" w:space="0"/>
                <w:bottom w:val="single" w:color="auto" w:sz="4" w:space="0"/>
                <w:right w:val="single" w:color="auto" w:sz="4" w:space="0"/>
                <w:between w:val="none" w:color="auto" w:sz="0" w:space="0"/>
              </w:pBdr>
              <w:jc w:val="center"/>
              <w:rPr>
                <w:rFonts w:hint="eastAsia" w:ascii="宋体" w:hAnsi="宋体" w:eastAsia="宋体" w:cs="宋体"/>
                <w:sz w:val="24"/>
                <w:szCs w:val="24"/>
              </w:rPr>
            </w:pPr>
            <w:r>
              <w:rPr>
                <w:rFonts w:hint="eastAsia" w:ascii="宋体" w:hAnsi="宋体" w:eastAsia="宋体" w:cs="宋体"/>
                <w:sz w:val="24"/>
                <w:szCs w:val="24"/>
              </w:rPr>
              <w:t>≤8</w:t>
            </w:r>
          </w:p>
        </w:tc>
        <w:tc>
          <w:tcPr>
            <w:tcW w:w="852" w:type="dxa"/>
            <w:noWrap w:val="0"/>
            <w:vAlign w:val="center"/>
          </w:tcPr>
          <w:p>
            <w:pPr>
              <w:numPr>
                <w:ilvl w:val="0"/>
                <w:numId w:val="0"/>
              </w:numPr>
              <w:pBdr>
                <w:top w:val="single" w:color="auto" w:sz="4" w:space="0"/>
                <w:left w:val="single" w:color="auto" w:sz="4" w:space="0"/>
                <w:bottom w:val="single" w:color="auto" w:sz="4" w:space="0"/>
                <w:right w:val="single" w:color="auto" w:sz="4" w:space="0"/>
                <w:between w:val="none" w:color="auto" w:sz="0" w:space="0"/>
              </w:pBdr>
              <w:jc w:val="center"/>
              <w:rPr>
                <w:rFonts w:hint="eastAsia" w:ascii="宋体" w:hAnsi="宋体" w:eastAsia="宋体" w:cs="宋体"/>
                <w:sz w:val="24"/>
                <w:szCs w:val="24"/>
              </w:rPr>
            </w:pPr>
            <w:r>
              <w:rPr>
                <w:rFonts w:hint="eastAsia" w:ascii="宋体" w:hAnsi="宋体" w:eastAsia="宋体" w:cs="宋体"/>
                <w:sz w:val="24"/>
                <w:szCs w:val="24"/>
              </w:rPr>
              <w:t>≤10</w:t>
            </w:r>
          </w:p>
        </w:tc>
        <w:tc>
          <w:tcPr>
            <w:tcW w:w="768" w:type="dxa"/>
            <w:noWrap w:val="0"/>
            <w:vAlign w:val="center"/>
          </w:tcPr>
          <w:p>
            <w:pPr>
              <w:numPr>
                <w:ilvl w:val="0"/>
                <w:numId w:val="0"/>
              </w:numPr>
              <w:pBdr>
                <w:top w:val="single" w:color="auto" w:sz="4" w:space="0"/>
                <w:left w:val="single" w:color="auto" w:sz="4" w:space="0"/>
                <w:bottom w:val="single" w:color="auto" w:sz="4" w:space="0"/>
                <w:right w:val="single" w:color="auto" w:sz="4" w:space="0"/>
                <w:between w:val="none" w:color="auto" w:sz="0" w:space="0"/>
              </w:pBdr>
              <w:jc w:val="center"/>
              <w:rPr>
                <w:rFonts w:hint="eastAsia" w:ascii="宋体" w:hAnsi="宋体" w:eastAsia="宋体" w:cs="宋体"/>
                <w:sz w:val="24"/>
                <w:szCs w:val="24"/>
              </w:rPr>
            </w:pPr>
            <w:r>
              <w:rPr>
                <w:rFonts w:hint="eastAsia" w:ascii="宋体" w:hAnsi="宋体" w:eastAsia="宋体" w:cs="宋体"/>
                <w:sz w:val="24"/>
                <w:szCs w:val="24"/>
              </w:rPr>
              <w:t>≤10</w:t>
            </w:r>
          </w:p>
        </w:tc>
        <w:tc>
          <w:tcPr>
            <w:tcW w:w="941" w:type="dxa"/>
            <w:noWrap w:val="0"/>
            <w:vAlign w:val="center"/>
          </w:tcPr>
          <w:p>
            <w:pPr>
              <w:numPr>
                <w:ilvl w:val="0"/>
                <w:numId w:val="0"/>
              </w:numPr>
              <w:pBdr>
                <w:top w:val="single" w:color="auto" w:sz="4" w:space="0"/>
                <w:left w:val="single" w:color="auto" w:sz="4" w:space="0"/>
                <w:bottom w:val="single" w:color="auto" w:sz="4" w:space="0"/>
                <w:right w:val="single" w:color="auto" w:sz="4" w:space="0"/>
                <w:between w:val="none" w:color="auto" w:sz="0" w:space="0"/>
              </w:pBdr>
              <w:jc w:val="center"/>
              <w:rPr>
                <w:rFonts w:hint="eastAsia" w:ascii="宋体" w:hAnsi="宋体" w:eastAsia="宋体" w:cs="宋体"/>
                <w:sz w:val="24"/>
                <w:szCs w:val="24"/>
              </w:rPr>
            </w:pPr>
            <w:r>
              <w:rPr>
                <w:rFonts w:hint="eastAsia" w:ascii="宋体" w:hAnsi="宋体" w:eastAsia="宋体" w:cs="宋体"/>
                <w:sz w:val="24"/>
                <w:szCs w:val="24"/>
              </w:rPr>
              <w:t>≤10</w:t>
            </w:r>
          </w:p>
        </w:tc>
        <w:tc>
          <w:tcPr>
            <w:tcW w:w="942" w:type="dxa"/>
            <w:noWrap w:val="0"/>
            <w:vAlign w:val="center"/>
          </w:tcPr>
          <w:p>
            <w:pPr>
              <w:numPr>
                <w:ilvl w:val="0"/>
                <w:numId w:val="0"/>
              </w:numPr>
              <w:pBdr>
                <w:top w:val="single" w:color="auto" w:sz="4" w:space="0"/>
                <w:left w:val="single" w:color="auto" w:sz="4" w:space="0"/>
                <w:bottom w:val="single" w:color="auto" w:sz="4" w:space="0"/>
                <w:right w:val="single" w:color="auto" w:sz="4" w:space="0"/>
                <w:between w:val="none" w:color="auto" w:sz="0" w:space="0"/>
              </w:pBdr>
              <w:jc w:val="center"/>
              <w:rPr>
                <w:rFonts w:hint="eastAsia" w:ascii="宋体" w:hAnsi="宋体" w:eastAsia="宋体" w:cs="宋体"/>
                <w:sz w:val="24"/>
                <w:szCs w:val="24"/>
              </w:rPr>
            </w:pPr>
            <w:r>
              <w:rPr>
                <w:rFonts w:hint="eastAsia" w:ascii="宋体" w:hAnsi="宋体" w:eastAsia="宋体" w:cs="宋体"/>
                <w:sz w:val="24"/>
                <w:szCs w:val="24"/>
              </w:rPr>
              <w:t>≤1.5</w:t>
            </w:r>
          </w:p>
        </w:tc>
        <w:tc>
          <w:tcPr>
            <w:tcW w:w="1000" w:type="dxa"/>
            <w:noWrap w:val="0"/>
            <w:vAlign w:val="center"/>
          </w:tcPr>
          <w:p>
            <w:pPr>
              <w:numPr>
                <w:ilvl w:val="0"/>
                <w:numId w:val="0"/>
              </w:numPr>
              <w:pBdr>
                <w:top w:val="single" w:color="auto" w:sz="4" w:space="0"/>
                <w:left w:val="single" w:color="auto" w:sz="4" w:space="0"/>
                <w:bottom w:val="single" w:color="auto" w:sz="4" w:space="0"/>
                <w:right w:val="single" w:color="auto" w:sz="4" w:space="0"/>
                <w:between w:val="none" w:color="auto" w:sz="0" w:space="0"/>
              </w:pBdr>
              <w:jc w:val="center"/>
              <w:rPr>
                <w:rFonts w:hint="eastAsia" w:ascii="宋体" w:hAnsi="宋体" w:eastAsia="宋体" w:cs="宋体"/>
                <w:sz w:val="24"/>
                <w:szCs w:val="24"/>
              </w:rPr>
            </w:pPr>
            <w:r>
              <w:rPr>
                <w:rFonts w:hint="eastAsia" w:ascii="宋体" w:hAnsi="宋体" w:eastAsia="宋体" w:cs="宋体"/>
                <w:sz w:val="24"/>
                <w:szCs w:val="24"/>
              </w:rPr>
              <w:t>≤6</w:t>
            </w:r>
          </w:p>
        </w:tc>
        <w:tc>
          <w:tcPr>
            <w:tcW w:w="975" w:type="dxa"/>
            <w:noWrap w:val="0"/>
            <w:vAlign w:val="center"/>
          </w:tcPr>
          <w:p>
            <w:pPr>
              <w:numPr>
                <w:ilvl w:val="0"/>
                <w:numId w:val="0"/>
              </w:numPr>
              <w:pBdr>
                <w:top w:val="single" w:color="auto" w:sz="4" w:space="0"/>
                <w:left w:val="single" w:color="auto" w:sz="4" w:space="0"/>
                <w:bottom w:val="single" w:color="auto" w:sz="4" w:space="0"/>
                <w:right w:val="single" w:color="auto" w:sz="4" w:space="0"/>
                <w:between w:val="none" w:color="auto" w:sz="0" w:space="0"/>
              </w:pBdr>
              <w:jc w:val="center"/>
              <w:rPr>
                <w:rFonts w:hint="eastAsia" w:ascii="宋体" w:hAnsi="宋体" w:eastAsia="宋体" w:cs="宋体"/>
                <w:sz w:val="24"/>
                <w:szCs w:val="24"/>
              </w:rPr>
            </w:pPr>
            <w:r>
              <w:rPr>
                <w:rFonts w:hint="eastAsia" w:ascii="宋体" w:hAnsi="宋体" w:eastAsia="宋体" w:cs="宋体"/>
                <w:sz w:val="24"/>
                <w:szCs w:val="24"/>
              </w:rPr>
              <w:t>≥80</w:t>
            </w:r>
          </w:p>
        </w:tc>
        <w:tc>
          <w:tcPr>
            <w:tcW w:w="966" w:type="dxa"/>
            <w:noWrap w:val="0"/>
            <w:vAlign w:val="center"/>
          </w:tcPr>
          <w:p>
            <w:pPr>
              <w:numPr>
                <w:ilvl w:val="0"/>
                <w:numId w:val="0"/>
              </w:numPr>
              <w:pBdr>
                <w:top w:val="single" w:color="auto" w:sz="4" w:space="0"/>
                <w:left w:val="single" w:color="auto" w:sz="4" w:space="0"/>
                <w:bottom w:val="single" w:color="auto" w:sz="4" w:space="0"/>
                <w:right w:val="single" w:color="auto" w:sz="4" w:space="0"/>
                <w:between w:val="none" w:color="auto" w:sz="0" w:space="0"/>
              </w:pBdr>
              <w:jc w:val="center"/>
              <w:rPr>
                <w:rFonts w:hint="eastAsia" w:ascii="宋体" w:hAnsi="宋体" w:eastAsia="宋体" w:cs="宋体"/>
                <w:sz w:val="24"/>
                <w:szCs w:val="24"/>
              </w:rPr>
            </w:pPr>
            <w:r>
              <w:rPr>
                <w:rFonts w:hint="eastAsia" w:ascii="宋体" w:hAnsi="宋体" w:eastAsia="宋体" w:cs="宋体"/>
                <w:sz w:val="24"/>
                <w:szCs w:val="24"/>
              </w:rPr>
              <w:t>≥60</w:t>
            </w:r>
          </w:p>
        </w:tc>
        <w:tc>
          <w:tcPr>
            <w:tcW w:w="808" w:type="dxa"/>
            <w:noWrap w:val="0"/>
            <w:vAlign w:val="center"/>
          </w:tcPr>
          <w:p>
            <w:pPr>
              <w:numPr>
                <w:ilvl w:val="0"/>
                <w:numId w:val="0"/>
              </w:numPr>
              <w:pBdr>
                <w:top w:val="single" w:color="auto" w:sz="4" w:space="0"/>
                <w:left w:val="single" w:color="auto" w:sz="4" w:space="0"/>
                <w:bottom w:val="single" w:color="auto" w:sz="4" w:space="0"/>
                <w:right w:val="single" w:color="auto" w:sz="4" w:space="0"/>
                <w:between w:val="none" w:color="auto" w:sz="0" w:space="0"/>
              </w:pBdr>
              <w:jc w:val="center"/>
              <w:rPr>
                <w:rFonts w:hint="eastAsia" w:ascii="宋体" w:hAnsi="宋体" w:eastAsia="宋体" w:cs="宋体"/>
                <w:sz w:val="24"/>
                <w:szCs w:val="24"/>
              </w:rPr>
            </w:pPr>
            <w:r>
              <w:rPr>
                <w:rFonts w:hint="eastAsia" w:ascii="宋体" w:hAnsi="宋体" w:eastAsia="宋体" w:cs="宋体"/>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trPr>
        <w:tc>
          <w:tcPr>
            <w:tcW w:w="503" w:type="dxa"/>
            <w:noWrap w:val="0"/>
            <w:vAlign w:val="center"/>
          </w:tcPr>
          <w:p>
            <w:pPr>
              <w:numPr>
                <w:ilvl w:val="0"/>
                <w:numId w:val="0"/>
              </w:numPr>
              <w:pBdr>
                <w:top w:val="single" w:color="auto" w:sz="4" w:space="0"/>
                <w:left w:val="single" w:color="auto" w:sz="4" w:space="0"/>
                <w:bottom w:val="single" w:color="auto" w:sz="4" w:space="0"/>
                <w:right w:val="single" w:color="auto" w:sz="4" w:space="0"/>
                <w:between w:val="none" w:color="auto" w:sz="0" w:space="0"/>
              </w:pBdr>
              <w:jc w:val="center"/>
              <w:rPr>
                <w:rFonts w:hint="eastAsia" w:ascii="宋体" w:hAnsi="宋体" w:eastAsia="宋体" w:cs="宋体"/>
                <w:sz w:val="24"/>
                <w:szCs w:val="24"/>
              </w:rPr>
            </w:pPr>
            <w:r>
              <w:rPr>
                <w:rFonts w:hint="eastAsia" w:ascii="宋体" w:hAnsi="宋体" w:eastAsia="宋体" w:cs="宋体"/>
                <w:sz w:val="24"/>
                <w:szCs w:val="24"/>
              </w:rPr>
              <w:t>四级</w:t>
            </w:r>
          </w:p>
        </w:tc>
        <w:tc>
          <w:tcPr>
            <w:tcW w:w="761" w:type="dxa"/>
            <w:noWrap w:val="0"/>
            <w:vAlign w:val="center"/>
          </w:tcPr>
          <w:p>
            <w:pPr>
              <w:numPr>
                <w:ilvl w:val="0"/>
                <w:numId w:val="0"/>
              </w:numPr>
              <w:pBdr>
                <w:top w:val="single" w:color="auto" w:sz="4" w:space="0"/>
                <w:left w:val="single" w:color="auto" w:sz="4" w:space="0"/>
                <w:bottom w:val="single" w:color="auto" w:sz="4" w:space="0"/>
                <w:right w:val="single" w:color="auto" w:sz="4" w:space="0"/>
                <w:between w:val="none" w:color="auto" w:sz="0" w:space="0"/>
              </w:pBdr>
              <w:jc w:val="center"/>
              <w:rPr>
                <w:rFonts w:hint="eastAsia" w:ascii="宋体" w:hAnsi="宋体" w:eastAsia="宋体" w:cs="宋体"/>
                <w:sz w:val="24"/>
                <w:szCs w:val="24"/>
              </w:rPr>
            </w:pPr>
            <w:r>
              <w:rPr>
                <w:rFonts w:hint="eastAsia" w:ascii="宋体" w:hAnsi="宋体" w:eastAsia="宋体" w:cs="宋体"/>
                <w:sz w:val="24"/>
                <w:szCs w:val="24"/>
              </w:rPr>
              <w:t>≤10</w:t>
            </w:r>
          </w:p>
        </w:tc>
        <w:tc>
          <w:tcPr>
            <w:tcW w:w="852" w:type="dxa"/>
            <w:noWrap w:val="0"/>
            <w:vAlign w:val="center"/>
          </w:tcPr>
          <w:p>
            <w:pPr>
              <w:numPr>
                <w:ilvl w:val="0"/>
                <w:numId w:val="0"/>
              </w:numPr>
              <w:pBdr>
                <w:top w:val="single" w:color="auto" w:sz="4" w:space="0"/>
                <w:left w:val="single" w:color="auto" w:sz="4" w:space="0"/>
                <w:bottom w:val="single" w:color="auto" w:sz="4" w:space="0"/>
                <w:right w:val="single" w:color="auto" w:sz="4" w:space="0"/>
                <w:between w:val="none" w:color="auto" w:sz="0" w:space="0"/>
              </w:pBdr>
              <w:jc w:val="center"/>
              <w:rPr>
                <w:rFonts w:hint="eastAsia" w:ascii="宋体" w:hAnsi="宋体" w:eastAsia="宋体" w:cs="宋体"/>
                <w:sz w:val="24"/>
                <w:szCs w:val="24"/>
              </w:rPr>
            </w:pPr>
            <w:r>
              <w:rPr>
                <w:rFonts w:hint="eastAsia" w:ascii="宋体" w:hAnsi="宋体" w:eastAsia="宋体" w:cs="宋体"/>
                <w:sz w:val="24"/>
                <w:szCs w:val="24"/>
              </w:rPr>
              <w:t>≤12</w:t>
            </w:r>
          </w:p>
        </w:tc>
        <w:tc>
          <w:tcPr>
            <w:tcW w:w="768" w:type="dxa"/>
            <w:noWrap w:val="0"/>
            <w:vAlign w:val="center"/>
          </w:tcPr>
          <w:p>
            <w:pPr>
              <w:numPr>
                <w:ilvl w:val="0"/>
                <w:numId w:val="0"/>
              </w:numPr>
              <w:pBdr>
                <w:top w:val="single" w:color="auto" w:sz="4" w:space="0"/>
                <w:left w:val="single" w:color="auto" w:sz="4" w:space="0"/>
                <w:bottom w:val="single" w:color="auto" w:sz="4" w:space="0"/>
                <w:right w:val="single" w:color="auto" w:sz="4" w:space="0"/>
                <w:between w:val="none" w:color="auto" w:sz="0" w:space="0"/>
              </w:pBdr>
              <w:jc w:val="center"/>
              <w:rPr>
                <w:rFonts w:hint="eastAsia" w:ascii="宋体" w:hAnsi="宋体" w:eastAsia="宋体" w:cs="宋体"/>
                <w:sz w:val="24"/>
                <w:szCs w:val="24"/>
              </w:rPr>
            </w:pPr>
            <w:r>
              <w:rPr>
                <w:rFonts w:hint="eastAsia" w:ascii="宋体" w:hAnsi="宋体" w:eastAsia="宋体" w:cs="宋体"/>
                <w:sz w:val="24"/>
                <w:szCs w:val="24"/>
              </w:rPr>
              <w:t>≤15</w:t>
            </w:r>
          </w:p>
        </w:tc>
        <w:tc>
          <w:tcPr>
            <w:tcW w:w="941" w:type="dxa"/>
            <w:noWrap w:val="0"/>
            <w:vAlign w:val="center"/>
          </w:tcPr>
          <w:p>
            <w:pPr>
              <w:numPr>
                <w:ilvl w:val="0"/>
                <w:numId w:val="0"/>
              </w:numPr>
              <w:pBdr>
                <w:top w:val="single" w:color="auto" w:sz="4" w:space="0"/>
                <w:left w:val="single" w:color="auto" w:sz="4" w:space="0"/>
                <w:bottom w:val="single" w:color="auto" w:sz="4" w:space="0"/>
                <w:right w:val="single" w:color="auto" w:sz="4" w:space="0"/>
                <w:between w:val="none" w:color="auto" w:sz="0" w:space="0"/>
              </w:pBdr>
              <w:jc w:val="center"/>
              <w:rPr>
                <w:rFonts w:hint="eastAsia" w:ascii="宋体" w:hAnsi="宋体" w:eastAsia="宋体" w:cs="宋体"/>
                <w:sz w:val="24"/>
                <w:szCs w:val="24"/>
              </w:rPr>
            </w:pPr>
            <w:r>
              <w:rPr>
                <w:rFonts w:hint="eastAsia" w:ascii="宋体" w:hAnsi="宋体" w:eastAsia="宋体" w:cs="宋体"/>
                <w:sz w:val="24"/>
                <w:szCs w:val="24"/>
              </w:rPr>
              <w:t>≤15</w:t>
            </w:r>
          </w:p>
        </w:tc>
        <w:tc>
          <w:tcPr>
            <w:tcW w:w="942" w:type="dxa"/>
            <w:noWrap w:val="0"/>
            <w:vAlign w:val="center"/>
          </w:tcPr>
          <w:p>
            <w:pPr>
              <w:numPr>
                <w:ilvl w:val="0"/>
                <w:numId w:val="0"/>
              </w:numPr>
              <w:pBdr>
                <w:top w:val="single" w:color="auto" w:sz="4" w:space="0"/>
                <w:left w:val="single" w:color="auto" w:sz="4" w:space="0"/>
                <w:bottom w:val="single" w:color="auto" w:sz="4" w:space="0"/>
                <w:right w:val="single" w:color="auto" w:sz="4" w:space="0"/>
                <w:between w:val="none" w:color="auto" w:sz="0" w:space="0"/>
              </w:pBdr>
              <w:jc w:val="center"/>
              <w:rPr>
                <w:rFonts w:hint="eastAsia" w:ascii="宋体" w:hAnsi="宋体" w:eastAsia="宋体" w:cs="宋体"/>
                <w:sz w:val="24"/>
                <w:szCs w:val="24"/>
              </w:rPr>
            </w:pPr>
            <w:r>
              <w:rPr>
                <w:rFonts w:hint="eastAsia" w:ascii="宋体" w:hAnsi="宋体" w:eastAsia="宋体" w:cs="宋体"/>
                <w:sz w:val="24"/>
                <w:szCs w:val="24"/>
              </w:rPr>
              <w:t>≤2.0</w:t>
            </w:r>
          </w:p>
        </w:tc>
        <w:tc>
          <w:tcPr>
            <w:tcW w:w="1000" w:type="dxa"/>
            <w:noWrap w:val="0"/>
            <w:vAlign w:val="center"/>
          </w:tcPr>
          <w:p>
            <w:pPr>
              <w:numPr>
                <w:ilvl w:val="0"/>
                <w:numId w:val="0"/>
              </w:numPr>
              <w:pBdr>
                <w:top w:val="single" w:color="auto" w:sz="4" w:space="0"/>
                <w:left w:val="single" w:color="auto" w:sz="4" w:space="0"/>
                <w:bottom w:val="single" w:color="auto" w:sz="4" w:space="0"/>
                <w:right w:val="single" w:color="auto" w:sz="4" w:space="0"/>
                <w:between w:val="none" w:color="auto" w:sz="0" w:space="0"/>
              </w:pBdr>
              <w:jc w:val="center"/>
              <w:rPr>
                <w:rFonts w:hint="eastAsia" w:ascii="宋体" w:hAnsi="宋体" w:eastAsia="宋体" w:cs="宋体"/>
                <w:sz w:val="24"/>
                <w:szCs w:val="24"/>
              </w:rPr>
            </w:pPr>
            <w:r>
              <w:rPr>
                <w:rFonts w:hint="eastAsia" w:ascii="宋体" w:hAnsi="宋体" w:eastAsia="宋体" w:cs="宋体"/>
                <w:sz w:val="24"/>
                <w:szCs w:val="24"/>
              </w:rPr>
              <w:t>≤8</w:t>
            </w:r>
          </w:p>
        </w:tc>
        <w:tc>
          <w:tcPr>
            <w:tcW w:w="975" w:type="dxa"/>
            <w:noWrap w:val="0"/>
            <w:vAlign w:val="center"/>
          </w:tcPr>
          <w:p>
            <w:pPr>
              <w:numPr>
                <w:ilvl w:val="0"/>
                <w:numId w:val="0"/>
              </w:numPr>
              <w:pBdr>
                <w:top w:val="single" w:color="auto" w:sz="4" w:space="0"/>
                <w:left w:val="single" w:color="auto" w:sz="4" w:space="0"/>
                <w:bottom w:val="single" w:color="auto" w:sz="4" w:space="0"/>
                <w:right w:val="single" w:color="auto" w:sz="4" w:space="0"/>
                <w:between w:val="none" w:color="auto" w:sz="0" w:space="0"/>
              </w:pBdr>
              <w:jc w:val="center"/>
              <w:rPr>
                <w:rFonts w:hint="eastAsia" w:ascii="宋体" w:hAnsi="宋体" w:eastAsia="宋体" w:cs="宋体"/>
                <w:sz w:val="24"/>
                <w:szCs w:val="24"/>
              </w:rPr>
            </w:pPr>
            <w:r>
              <w:rPr>
                <w:rFonts w:hint="eastAsia" w:ascii="宋体" w:hAnsi="宋体" w:eastAsia="宋体" w:cs="宋体"/>
                <w:sz w:val="24"/>
                <w:szCs w:val="24"/>
              </w:rPr>
              <w:t>≥80</w:t>
            </w:r>
          </w:p>
        </w:tc>
        <w:tc>
          <w:tcPr>
            <w:tcW w:w="966" w:type="dxa"/>
            <w:noWrap w:val="0"/>
            <w:vAlign w:val="center"/>
          </w:tcPr>
          <w:p>
            <w:pPr>
              <w:numPr>
                <w:ilvl w:val="0"/>
                <w:numId w:val="0"/>
              </w:numPr>
              <w:pBdr>
                <w:top w:val="single" w:color="auto" w:sz="4" w:space="0"/>
                <w:left w:val="single" w:color="auto" w:sz="4" w:space="0"/>
                <w:bottom w:val="single" w:color="auto" w:sz="4" w:space="0"/>
                <w:right w:val="single" w:color="auto" w:sz="4" w:space="0"/>
                <w:between w:val="none" w:color="auto" w:sz="0" w:space="0"/>
              </w:pBdr>
              <w:jc w:val="center"/>
              <w:rPr>
                <w:rFonts w:hint="eastAsia" w:ascii="宋体" w:hAnsi="宋体" w:eastAsia="宋体" w:cs="宋体"/>
                <w:sz w:val="24"/>
                <w:szCs w:val="24"/>
              </w:rPr>
            </w:pPr>
            <w:r>
              <w:rPr>
                <w:rFonts w:hint="eastAsia" w:ascii="宋体" w:hAnsi="宋体" w:eastAsia="宋体" w:cs="宋体"/>
                <w:sz w:val="24"/>
                <w:szCs w:val="24"/>
              </w:rPr>
              <w:t>≥60</w:t>
            </w:r>
          </w:p>
        </w:tc>
        <w:tc>
          <w:tcPr>
            <w:tcW w:w="808" w:type="dxa"/>
            <w:noWrap w:val="0"/>
            <w:vAlign w:val="center"/>
          </w:tcPr>
          <w:p>
            <w:pPr>
              <w:numPr>
                <w:ilvl w:val="0"/>
                <w:numId w:val="0"/>
              </w:numPr>
              <w:pBdr>
                <w:top w:val="single" w:color="auto" w:sz="4" w:space="0"/>
                <w:left w:val="single" w:color="auto" w:sz="4" w:space="0"/>
                <w:bottom w:val="single" w:color="auto" w:sz="4" w:space="0"/>
                <w:right w:val="single" w:color="auto" w:sz="4" w:space="0"/>
                <w:between w:val="none" w:color="auto" w:sz="0" w:space="0"/>
              </w:pBdr>
              <w:jc w:val="center"/>
              <w:rPr>
                <w:rFonts w:hint="eastAsia" w:ascii="宋体" w:hAnsi="宋体" w:eastAsia="宋体" w:cs="宋体"/>
                <w:sz w:val="24"/>
                <w:szCs w:val="24"/>
              </w:rPr>
            </w:pPr>
            <w:r>
              <w:rPr>
                <w:rFonts w:hint="eastAsia" w:ascii="宋体" w:hAnsi="宋体" w:eastAsia="宋体" w:cs="宋体"/>
                <w:sz w:val="24"/>
                <w:szCs w:val="24"/>
              </w:rPr>
              <w:t>≤60</w:t>
            </w:r>
          </w:p>
        </w:tc>
      </w:tr>
    </w:tbl>
    <w:p>
      <w:pPr>
        <w:numPr>
          <w:ilvl w:val="0"/>
          <w:numId w:val="0"/>
        </w:numPr>
        <w:pBdr>
          <w:top w:val="single" w:color="auto" w:sz="4" w:space="0"/>
          <w:left w:val="single" w:color="auto" w:sz="4" w:space="0"/>
          <w:bottom w:val="single" w:color="auto" w:sz="4" w:space="0"/>
          <w:right w:val="single" w:color="auto" w:sz="4" w:space="0"/>
          <w:between w:val="none" w:color="auto" w:sz="0" w:space="0"/>
        </w:pBdr>
        <w:spacing w:line="500" w:lineRule="exact"/>
        <w:rPr>
          <w:rFonts w:hint="eastAsia" w:ascii="宋体" w:hAnsi="宋体" w:eastAsia="宋体" w:cs="宋体"/>
          <w:sz w:val="24"/>
          <w:szCs w:val="24"/>
        </w:rPr>
      </w:pPr>
    </w:p>
    <w:p>
      <w:pPr>
        <w:numPr>
          <w:ilvl w:val="0"/>
          <w:numId w:val="0"/>
        </w:numPr>
        <w:pBdr>
          <w:top w:val="single" w:color="auto" w:sz="4" w:space="0"/>
          <w:left w:val="single" w:color="auto" w:sz="4" w:space="0"/>
          <w:bottom w:val="single" w:color="auto" w:sz="4" w:space="0"/>
          <w:right w:val="single" w:color="auto" w:sz="4" w:space="0"/>
          <w:between w:val="none" w:color="auto" w:sz="0" w:space="0"/>
        </w:pBdr>
        <w:spacing w:line="6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2.日产生活垃圾及时收集，每漏收一堆扣0.1分。</w:t>
      </w:r>
    </w:p>
    <w:p>
      <w:pPr>
        <w:numPr>
          <w:ilvl w:val="0"/>
          <w:numId w:val="0"/>
        </w:numPr>
        <w:pBdr>
          <w:top w:val="single" w:color="auto" w:sz="4" w:space="0"/>
          <w:left w:val="single" w:color="auto" w:sz="4" w:space="0"/>
          <w:bottom w:val="single" w:color="auto" w:sz="4" w:space="0"/>
          <w:right w:val="single" w:color="auto" w:sz="4" w:space="0"/>
          <w:between w:val="none" w:color="auto" w:sz="0" w:space="0"/>
        </w:pBdr>
        <w:spacing w:line="6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3.对已确定的清扫路段，不按规定清扫，每条街路扣0.5分。</w:t>
      </w:r>
    </w:p>
    <w:p>
      <w:pPr>
        <w:numPr>
          <w:ilvl w:val="0"/>
          <w:numId w:val="0"/>
        </w:numPr>
        <w:pBdr>
          <w:top w:val="single" w:color="auto" w:sz="4" w:space="0"/>
          <w:left w:val="single" w:color="auto" w:sz="4" w:space="0"/>
          <w:bottom w:val="single" w:color="auto" w:sz="4" w:space="0"/>
          <w:right w:val="single" w:color="auto" w:sz="4" w:space="0"/>
          <w:between w:val="none" w:color="auto" w:sz="0" w:space="0"/>
        </w:pBdr>
        <w:spacing w:line="6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4.严禁将街土、垃圾等扫进窨井或绿化带内，每发现一次扣0.5分。</w:t>
      </w:r>
    </w:p>
    <w:p>
      <w:pPr>
        <w:numPr>
          <w:ilvl w:val="0"/>
          <w:numId w:val="0"/>
        </w:numPr>
        <w:pBdr>
          <w:top w:val="single" w:color="auto" w:sz="4" w:space="0"/>
          <w:left w:val="single" w:color="auto" w:sz="4" w:space="0"/>
          <w:bottom w:val="single" w:color="auto" w:sz="4" w:space="0"/>
          <w:right w:val="single" w:color="auto" w:sz="4" w:space="0"/>
          <w:between w:val="none" w:color="auto" w:sz="0" w:space="0"/>
        </w:pBdr>
        <w:spacing w:line="6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5.焚烧落叶等垃圾污物，每发现一次扣0.3分。</w:t>
      </w:r>
    </w:p>
    <w:p>
      <w:pPr>
        <w:numPr>
          <w:ilvl w:val="0"/>
          <w:numId w:val="0"/>
        </w:numPr>
        <w:pBdr>
          <w:top w:val="single" w:color="auto" w:sz="4" w:space="0"/>
          <w:left w:val="single" w:color="auto" w:sz="4" w:space="0"/>
          <w:bottom w:val="single" w:color="auto" w:sz="4" w:space="0"/>
          <w:right w:val="single" w:color="auto" w:sz="4" w:space="0"/>
          <w:between w:val="none" w:color="auto" w:sz="0" w:space="0"/>
        </w:pBdr>
        <w:spacing w:line="6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6.清扫保洁作业期间要穿安全标志背心，雨季要统一穿有标志的雨衣，标志背心的反光标志要完整，未按标准着装，每人次扣0.1分。</w:t>
      </w:r>
    </w:p>
    <w:p>
      <w:pPr>
        <w:numPr>
          <w:ilvl w:val="0"/>
          <w:numId w:val="0"/>
        </w:numPr>
        <w:pBdr>
          <w:top w:val="single" w:color="auto" w:sz="4" w:space="0"/>
          <w:left w:val="single" w:color="auto" w:sz="4" w:space="0"/>
          <w:bottom w:val="single" w:color="auto" w:sz="4" w:space="0"/>
          <w:right w:val="single" w:color="auto" w:sz="4" w:space="0"/>
          <w:between w:val="none" w:color="auto" w:sz="0" w:space="0"/>
        </w:pBdr>
        <w:spacing w:line="6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7.机扫作业后路面有空段、漏段、明显浮土、污泥、污渍，每处扣0.2分。</w:t>
      </w:r>
    </w:p>
    <w:p>
      <w:pPr>
        <w:numPr>
          <w:ilvl w:val="0"/>
          <w:numId w:val="0"/>
        </w:numPr>
        <w:pBdr>
          <w:top w:val="single" w:color="auto" w:sz="4" w:space="0"/>
          <w:left w:val="single" w:color="auto" w:sz="4" w:space="0"/>
          <w:bottom w:val="single" w:color="auto" w:sz="4" w:space="0"/>
          <w:right w:val="single" w:color="auto" w:sz="4" w:space="0"/>
          <w:between w:val="none" w:color="auto" w:sz="0" w:space="0"/>
        </w:pBdr>
        <w:spacing w:line="6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8.机扫车违规作业，出现扬尘现象，每发现一次扣0.2分。</w:t>
      </w:r>
    </w:p>
    <w:p>
      <w:pPr>
        <w:numPr>
          <w:ilvl w:val="0"/>
          <w:numId w:val="0"/>
        </w:numPr>
        <w:pBdr>
          <w:top w:val="single" w:color="auto" w:sz="4" w:space="0"/>
          <w:left w:val="single" w:color="auto" w:sz="4" w:space="0"/>
          <w:bottom w:val="single" w:color="auto" w:sz="4" w:space="0"/>
          <w:right w:val="single" w:color="auto" w:sz="4" w:space="0"/>
          <w:between w:val="none" w:color="auto" w:sz="0" w:space="0"/>
        </w:pBdr>
        <w:spacing w:line="6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9.日间机扫、冲洗、洒水作业时作业车辆应鸣报信号，未鸣报信号的，每台次扣0.1分。</w:t>
      </w:r>
    </w:p>
    <w:p>
      <w:pPr>
        <w:numPr>
          <w:ilvl w:val="0"/>
          <w:numId w:val="0"/>
        </w:numPr>
        <w:pBdr>
          <w:top w:val="single" w:color="auto" w:sz="4" w:space="0"/>
          <w:left w:val="single" w:color="auto" w:sz="4" w:space="0"/>
          <w:bottom w:val="single" w:color="auto" w:sz="4" w:space="0"/>
          <w:right w:val="single" w:color="auto" w:sz="4" w:space="0"/>
          <w:between w:val="none" w:color="auto" w:sz="0" w:space="0"/>
        </w:pBdr>
        <w:spacing w:line="6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10.机扫车、洗路车、洒水车长时间停放（超过30分钟）未作业的，每台次扣0.2分。</w:t>
      </w:r>
    </w:p>
    <w:p>
      <w:pPr>
        <w:numPr>
          <w:ilvl w:val="0"/>
          <w:numId w:val="0"/>
        </w:numPr>
        <w:pBdr>
          <w:top w:val="single" w:color="auto" w:sz="4" w:space="0"/>
          <w:left w:val="single" w:color="auto" w:sz="4" w:space="0"/>
          <w:bottom w:val="single" w:color="auto" w:sz="4" w:space="0"/>
          <w:right w:val="single" w:color="auto" w:sz="4" w:space="0"/>
          <w:between w:val="none" w:color="auto" w:sz="0" w:space="0"/>
        </w:pBdr>
        <w:spacing w:line="6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11.环卫作业车辆车体不洁、油漆脱落、标识不清，每台次扣0.1分。</w:t>
      </w:r>
    </w:p>
    <w:p>
      <w:pPr>
        <w:numPr>
          <w:ilvl w:val="0"/>
          <w:numId w:val="0"/>
        </w:numPr>
        <w:pBdr>
          <w:top w:val="single" w:color="auto" w:sz="4" w:space="0"/>
          <w:left w:val="single" w:color="auto" w:sz="4" w:space="0"/>
          <w:bottom w:val="single" w:color="auto" w:sz="4" w:space="0"/>
          <w:right w:val="single" w:color="auto" w:sz="4" w:space="0"/>
          <w:between w:val="none" w:color="auto" w:sz="0" w:space="0"/>
        </w:pBdr>
        <w:spacing w:line="6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12.垃圾箱（桶)周围地面有抛撒、存留垃圾的；箱（桶）体不洁；垃圾箱（桶）破损，每个扣0.2分。未经市级环卫部门批准，擅自撤掉已配备垃圾箱（桶），每个扣0.3分；配备后不按地点摆放，每少一个扣0.1分。</w:t>
      </w:r>
    </w:p>
    <w:p>
      <w:pPr>
        <w:numPr>
          <w:ilvl w:val="0"/>
          <w:numId w:val="0"/>
        </w:numPr>
        <w:pBdr>
          <w:top w:val="single" w:color="auto" w:sz="4" w:space="0"/>
          <w:left w:val="single" w:color="auto" w:sz="4" w:space="0"/>
          <w:bottom w:val="single" w:color="auto" w:sz="4" w:space="0"/>
          <w:right w:val="single" w:color="auto" w:sz="4" w:space="0"/>
          <w:between w:val="none" w:color="auto" w:sz="0" w:space="0"/>
        </w:pBdr>
        <w:spacing w:line="6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13.未在清淤、除雪等时限内完成任务的，根据灾害严重情况，扣0.1-0.5分。</w:t>
      </w:r>
    </w:p>
    <w:p>
      <w:pPr>
        <w:numPr>
          <w:ilvl w:val="0"/>
          <w:numId w:val="0"/>
        </w:numPr>
        <w:pBdr>
          <w:top w:val="single" w:color="auto" w:sz="4" w:space="0"/>
          <w:left w:val="single" w:color="auto" w:sz="4" w:space="0"/>
          <w:bottom w:val="single" w:color="auto" w:sz="4" w:space="0"/>
          <w:right w:val="single" w:color="auto" w:sz="4" w:space="0"/>
          <w:between w:val="none" w:color="auto" w:sz="0" w:space="0"/>
        </w:pBdr>
        <w:spacing w:line="6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14.未按规定机扫、洒水的，每次扣0.1分。</w:t>
      </w:r>
    </w:p>
    <w:p>
      <w:pPr>
        <w:numPr>
          <w:ilvl w:val="0"/>
          <w:numId w:val="0"/>
        </w:numPr>
        <w:pBdr>
          <w:top w:val="single" w:color="auto" w:sz="4" w:space="0"/>
          <w:left w:val="single" w:color="auto" w:sz="4" w:space="0"/>
          <w:bottom w:val="single" w:color="auto" w:sz="4" w:space="0"/>
          <w:right w:val="single" w:color="auto" w:sz="4" w:space="0"/>
          <w:between w:val="none" w:color="auto" w:sz="0" w:space="0"/>
        </w:pBdr>
        <w:spacing w:line="6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15.交通护栏未及时清洗或清洗不干净，每发现一次扣0.1分。</w:t>
      </w:r>
    </w:p>
    <w:p>
      <w:pPr>
        <w:numPr>
          <w:ilvl w:val="0"/>
          <w:numId w:val="0"/>
        </w:numPr>
        <w:pBdr>
          <w:top w:val="single" w:color="auto" w:sz="4" w:space="0"/>
          <w:left w:val="single" w:color="auto" w:sz="4" w:space="0"/>
          <w:bottom w:val="single" w:color="auto" w:sz="4" w:space="0"/>
          <w:right w:val="single" w:color="auto" w:sz="4" w:space="0"/>
          <w:between w:val="none" w:color="auto" w:sz="0" w:space="0"/>
        </w:pBdr>
        <w:spacing w:line="6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16.有成堆成片垃圾或其他废弃物的，每处扣0.1分。</w:t>
      </w:r>
    </w:p>
    <w:p>
      <w:pPr>
        <w:numPr>
          <w:ilvl w:val="0"/>
          <w:numId w:val="0"/>
        </w:numPr>
        <w:pBdr>
          <w:top w:val="single" w:color="auto" w:sz="4" w:space="0"/>
          <w:left w:val="single" w:color="auto" w:sz="4" w:space="0"/>
          <w:bottom w:val="single" w:color="auto" w:sz="4" w:space="0"/>
          <w:right w:val="single" w:color="auto" w:sz="4" w:space="0"/>
          <w:between w:val="none" w:color="auto" w:sz="0" w:space="0"/>
        </w:pBdr>
        <w:spacing w:line="6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17.对检查发现的卫生问题、新闻媒体曝光问题、市民投诉问题等，在第一次限期内得到解决的，扣与此问题对应的分；第二次限期内整改的，扣2倍分；第三次整改的，扣三倍的分。</w:t>
      </w:r>
    </w:p>
    <w:p>
      <w:pPr>
        <w:numPr>
          <w:ilvl w:val="0"/>
          <w:numId w:val="0"/>
        </w:numPr>
        <w:pBdr>
          <w:top w:val="single" w:color="auto" w:sz="4" w:space="0"/>
          <w:left w:val="single" w:color="auto" w:sz="4" w:space="0"/>
          <w:bottom w:val="single" w:color="auto" w:sz="4" w:space="0"/>
          <w:right w:val="single" w:color="auto" w:sz="4" w:space="0"/>
          <w:between w:val="none" w:color="auto" w:sz="0" w:space="0"/>
        </w:pBdr>
        <w:spacing w:line="600" w:lineRule="exact"/>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（三）垃圾收集、清运作业管理量化考核评分标准（100分）</w:t>
      </w:r>
    </w:p>
    <w:p>
      <w:pPr>
        <w:numPr>
          <w:ilvl w:val="0"/>
          <w:numId w:val="0"/>
        </w:numPr>
        <w:pBdr>
          <w:top w:val="single" w:color="auto" w:sz="4" w:space="0"/>
          <w:left w:val="single" w:color="auto" w:sz="4" w:space="0"/>
          <w:bottom w:val="single" w:color="auto" w:sz="4" w:space="0"/>
          <w:right w:val="single" w:color="auto" w:sz="4" w:space="0"/>
          <w:between w:val="none" w:color="auto" w:sz="0" w:space="0"/>
        </w:pBdr>
        <w:spacing w:line="6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1.垃圾收集容器位置移位，摆放不整齐，或缺失，容器表面有污物、有粘贴、有吊挂，垃圾收集容器有残缺、破损，封闭性不好，每项扣0.1分。</w:t>
      </w:r>
    </w:p>
    <w:p>
      <w:pPr>
        <w:numPr>
          <w:ilvl w:val="0"/>
          <w:numId w:val="0"/>
        </w:numPr>
        <w:pBdr>
          <w:top w:val="single" w:color="auto" w:sz="4" w:space="0"/>
          <w:left w:val="single" w:color="auto" w:sz="4" w:space="0"/>
          <w:bottom w:val="single" w:color="auto" w:sz="4" w:space="0"/>
          <w:right w:val="single" w:color="auto" w:sz="4" w:space="0"/>
          <w:between w:val="none" w:color="auto" w:sz="0" w:space="0"/>
        </w:pBdr>
        <w:spacing w:line="6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2.垃圾容器出现满溢、容器外有垃圾积存，每处扣0.2分。</w:t>
      </w:r>
    </w:p>
    <w:p>
      <w:pPr>
        <w:numPr>
          <w:ilvl w:val="0"/>
          <w:numId w:val="0"/>
        </w:numPr>
        <w:pBdr>
          <w:top w:val="single" w:color="auto" w:sz="4" w:space="0"/>
          <w:left w:val="single" w:color="auto" w:sz="4" w:space="0"/>
          <w:bottom w:val="single" w:color="auto" w:sz="4" w:space="0"/>
          <w:right w:val="single" w:color="auto" w:sz="4" w:space="0"/>
          <w:between w:val="none" w:color="auto" w:sz="0" w:space="0"/>
        </w:pBdr>
        <w:spacing w:line="6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3.垃圾容器清除作业完成后，做到车走地净。未及时清理场地，垃圾桶未复位，未盖桶盖，收集点及周围5-10m有散落、存留垃圾和污水。每发现一处扣0.1分。</w:t>
      </w:r>
    </w:p>
    <w:p>
      <w:pPr>
        <w:numPr>
          <w:ilvl w:val="0"/>
          <w:numId w:val="0"/>
        </w:numPr>
        <w:pBdr>
          <w:top w:val="single" w:color="auto" w:sz="4" w:space="0"/>
          <w:left w:val="single" w:color="auto" w:sz="4" w:space="0"/>
          <w:bottom w:val="single" w:color="auto" w:sz="4" w:space="0"/>
          <w:right w:val="single" w:color="auto" w:sz="4" w:space="0"/>
          <w:between w:val="none" w:color="auto" w:sz="0" w:space="0"/>
        </w:pBdr>
        <w:spacing w:line="6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4.居民区生活垃圾清运不及时，沿街门店、居民小区、单位、市场、垃圾容器未按规定次数收集，扣0.2分。</w:t>
      </w:r>
    </w:p>
    <w:p>
      <w:pPr>
        <w:numPr>
          <w:ilvl w:val="0"/>
          <w:numId w:val="0"/>
        </w:numPr>
        <w:pBdr>
          <w:top w:val="single" w:color="auto" w:sz="4" w:space="0"/>
          <w:left w:val="single" w:color="auto" w:sz="4" w:space="0"/>
          <w:bottom w:val="single" w:color="auto" w:sz="4" w:space="0"/>
          <w:right w:val="single" w:color="auto" w:sz="4" w:space="0"/>
          <w:between w:val="none" w:color="auto" w:sz="0" w:space="0"/>
        </w:pBdr>
        <w:spacing w:line="6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5.主次干道垃圾容器等环卫设施，不按规定进行消杀，在可视范围内，苍蝇超过3只扣0.1分，大于10只扣0.2分。</w:t>
      </w:r>
    </w:p>
    <w:p>
      <w:pPr>
        <w:numPr>
          <w:ilvl w:val="0"/>
          <w:numId w:val="0"/>
        </w:numPr>
        <w:pBdr>
          <w:top w:val="single" w:color="auto" w:sz="4" w:space="0"/>
          <w:left w:val="single" w:color="auto" w:sz="4" w:space="0"/>
          <w:bottom w:val="single" w:color="auto" w:sz="4" w:space="0"/>
          <w:right w:val="single" w:color="auto" w:sz="4" w:space="0"/>
          <w:between w:val="none" w:color="auto" w:sz="0" w:space="0"/>
        </w:pBdr>
        <w:spacing w:line="6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6.不允许将工业垃圾、建筑垃圾、有毒有害垃圾运至垃圾填埋场。每发现一次扣0.1分。</w:t>
      </w:r>
    </w:p>
    <w:p>
      <w:pPr>
        <w:numPr>
          <w:ilvl w:val="0"/>
          <w:numId w:val="0"/>
        </w:numPr>
        <w:pBdr>
          <w:top w:val="single" w:color="auto" w:sz="4" w:space="0"/>
          <w:left w:val="single" w:color="auto" w:sz="4" w:space="0"/>
          <w:bottom w:val="single" w:color="auto" w:sz="4" w:space="0"/>
          <w:right w:val="single" w:color="auto" w:sz="4" w:space="0"/>
          <w:between w:val="none" w:color="auto" w:sz="0" w:space="0"/>
        </w:pBdr>
        <w:spacing w:line="6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7.垃圾清运车容不整洁，车体外部有污物、灰垢，标志不清，每项扣0.1分。</w:t>
      </w:r>
    </w:p>
    <w:p>
      <w:pPr>
        <w:numPr>
          <w:ilvl w:val="0"/>
          <w:numId w:val="0"/>
        </w:numPr>
        <w:pBdr>
          <w:top w:val="single" w:color="auto" w:sz="4" w:space="0"/>
          <w:left w:val="single" w:color="auto" w:sz="4" w:space="0"/>
          <w:bottom w:val="single" w:color="auto" w:sz="4" w:space="0"/>
          <w:right w:val="single" w:color="auto" w:sz="4" w:space="0"/>
          <w:between w:val="none" w:color="auto" w:sz="0" w:space="0"/>
        </w:pBdr>
        <w:spacing w:line="6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8.垃圾装运量超重、超高，装卸垃圾时有乱倒、乱卸、乱抛等不文明行为的，每台次扣0.2分。</w:t>
      </w:r>
    </w:p>
    <w:p>
      <w:pPr>
        <w:numPr>
          <w:ilvl w:val="0"/>
          <w:numId w:val="0"/>
        </w:numPr>
        <w:pBdr>
          <w:top w:val="single" w:color="auto" w:sz="4" w:space="0"/>
          <w:left w:val="single" w:color="auto" w:sz="4" w:space="0"/>
          <w:bottom w:val="single" w:color="auto" w:sz="4" w:space="0"/>
          <w:right w:val="single" w:color="auto" w:sz="4" w:space="0"/>
          <w:between w:val="none" w:color="auto" w:sz="0" w:space="0"/>
        </w:pBdr>
        <w:spacing w:line="6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9.垃圾压缩车残液未集中排放、垃圾运输车密闭不严，运输过程中有垃圾扬、撒、拖挂和污水滴漏、遗漏，每台次扣0.3分。</w:t>
      </w:r>
    </w:p>
    <w:p>
      <w:pPr>
        <w:numPr>
          <w:ilvl w:val="0"/>
          <w:numId w:val="0"/>
        </w:numPr>
        <w:pBdr>
          <w:top w:val="single" w:color="auto" w:sz="4" w:space="0"/>
          <w:left w:val="single" w:color="auto" w:sz="4" w:space="0"/>
          <w:bottom w:val="single" w:color="auto" w:sz="4" w:space="0"/>
          <w:right w:val="single" w:color="auto" w:sz="4" w:space="0"/>
          <w:between w:val="none" w:color="auto" w:sz="0" w:space="0"/>
        </w:pBdr>
        <w:spacing w:line="6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10.对检查发现的卫生问题、新闻媒体曝光问题、市民投诉问题等，在第一次限期内得到解决的，扣与此问题对应的分；第二次限期内整改的，扣2倍分；第三次整改的，扣三倍的分。</w:t>
      </w:r>
    </w:p>
    <w:p>
      <w:pPr>
        <w:numPr>
          <w:ilvl w:val="0"/>
          <w:numId w:val="0"/>
        </w:numPr>
        <w:pBdr>
          <w:top w:val="single" w:color="auto" w:sz="4" w:space="0"/>
          <w:left w:val="single" w:color="auto" w:sz="4" w:space="0"/>
          <w:bottom w:val="single" w:color="auto" w:sz="4" w:space="0"/>
          <w:right w:val="single" w:color="auto" w:sz="4" w:space="0"/>
          <w:between w:val="none" w:color="auto" w:sz="0" w:space="0"/>
        </w:pBdr>
        <w:spacing w:line="600" w:lineRule="exact"/>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（四）垃圾转运站运行、管理量化考核评分标准（100分）</w:t>
      </w:r>
    </w:p>
    <w:p>
      <w:pPr>
        <w:numPr>
          <w:ilvl w:val="0"/>
          <w:numId w:val="0"/>
        </w:numPr>
        <w:pBdr>
          <w:top w:val="single" w:color="auto" w:sz="4" w:space="0"/>
          <w:left w:val="single" w:color="auto" w:sz="4" w:space="0"/>
          <w:bottom w:val="single" w:color="auto" w:sz="4" w:space="0"/>
          <w:right w:val="single" w:color="auto" w:sz="4" w:space="0"/>
          <w:between w:val="none" w:color="auto" w:sz="0" w:space="0"/>
        </w:pBdr>
        <w:spacing w:line="6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1.垃圾转运站不按规定时间开放，每次扣0.2分。</w:t>
      </w:r>
    </w:p>
    <w:p>
      <w:pPr>
        <w:numPr>
          <w:ilvl w:val="0"/>
          <w:numId w:val="0"/>
        </w:numPr>
        <w:pBdr>
          <w:top w:val="single" w:color="auto" w:sz="4" w:space="0"/>
          <w:left w:val="single" w:color="auto" w:sz="4" w:space="0"/>
          <w:bottom w:val="single" w:color="auto" w:sz="4" w:space="0"/>
          <w:right w:val="single" w:color="auto" w:sz="4" w:space="0"/>
          <w:between w:val="none" w:color="auto" w:sz="0" w:space="0"/>
        </w:pBdr>
        <w:spacing w:line="6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2.转运站设专人管理，无断岗、脱岗现象，管理人员要在规定时间内上岗，在规定时间内连续15分钟未在岗，出现一次</w:t>
      </w:r>
    </w:p>
    <w:p>
      <w:pPr>
        <w:numPr>
          <w:ilvl w:val="0"/>
          <w:numId w:val="0"/>
        </w:numPr>
        <w:pBdr>
          <w:top w:val="single" w:color="auto" w:sz="4" w:space="0"/>
          <w:left w:val="single" w:color="auto" w:sz="4" w:space="0"/>
          <w:bottom w:val="single" w:color="auto" w:sz="4" w:space="0"/>
          <w:right w:val="single" w:color="auto" w:sz="4" w:space="0"/>
          <w:between w:val="none" w:color="auto" w:sz="0" w:space="0"/>
        </w:pBdr>
        <w:spacing w:line="6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扣0.1分。</w:t>
      </w:r>
    </w:p>
    <w:p>
      <w:pPr>
        <w:numPr>
          <w:ilvl w:val="0"/>
          <w:numId w:val="0"/>
        </w:numPr>
        <w:pBdr>
          <w:top w:val="single" w:color="auto" w:sz="4" w:space="0"/>
          <w:left w:val="single" w:color="auto" w:sz="4" w:space="0"/>
          <w:bottom w:val="single" w:color="auto" w:sz="4" w:space="0"/>
          <w:right w:val="single" w:color="auto" w:sz="4" w:space="0"/>
          <w:between w:val="none" w:color="auto" w:sz="0" w:space="0"/>
        </w:pBdr>
        <w:spacing w:line="6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3.垃圾转运站应保持外观完好，无破损，在外墙面适宜、明显位置设置规范的站名牌。站名牌的内容应当包括：站名称、管理责任单位、管理责任人、开放时间、24小时监督服务电话。未按要求设置的，每项扣0.1分。</w:t>
      </w:r>
    </w:p>
    <w:p>
      <w:pPr>
        <w:numPr>
          <w:ilvl w:val="0"/>
          <w:numId w:val="0"/>
        </w:numPr>
        <w:pBdr>
          <w:top w:val="single" w:color="auto" w:sz="4" w:space="0"/>
          <w:left w:val="single" w:color="auto" w:sz="4" w:space="0"/>
          <w:bottom w:val="single" w:color="auto" w:sz="4" w:space="0"/>
          <w:right w:val="single" w:color="auto" w:sz="4" w:space="0"/>
          <w:between w:val="none" w:color="auto" w:sz="0" w:space="0"/>
        </w:pBdr>
        <w:spacing w:line="6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4.站内管理间应当保持干净整洁，各类工具摆放整齐。站内用品应当摆放整齐，不得影响车辆进出及操作，不得堆放私人杂物。违反每项扣0.1分。</w:t>
      </w:r>
    </w:p>
    <w:p>
      <w:pPr>
        <w:numPr>
          <w:ilvl w:val="0"/>
          <w:numId w:val="0"/>
        </w:numPr>
        <w:pBdr>
          <w:top w:val="single" w:color="auto" w:sz="4" w:space="0"/>
          <w:left w:val="single" w:color="auto" w:sz="4" w:space="0"/>
          <w:bottom w:val="single" w:color="auto" w:sz="4" w:space="0"/>
          <w:right w:val="single" w:color="auto" w:sz="4" w:space="0"/>
          <w:between w:val="none" w:color="auto" w:sz="0" w:space="0"/>
        </w:pBdr>
        <w:spacing w:line="6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5.站内墙面、门窗、设施设备等应当保持完好和清洁，室内通风良好，无恶臭，墙壁、窗户应无积尘、蛛网，无积灰、污迹、刻画、破损，无积垢，无吊挂垃圾等现象。每一不合格项扣0.1分。</w:t>
      </w:r>
    </w:p>
    <w:p>
      <w:pPr>
        <w:numPr>
          <w:ilvl w:val="0"/>
          <w:numId w:val="0"/>
        </w:numPr>
        <w:pBdr>
          <w:top w:val="single" w:color="auto" w:sz="4" w:space="0"/>
          <w:left w:val="single" w:color="auto" w:sz="4" w:space="0"/>
          <w:bottom w:val="single" w:color="auto" w:sz="4" w:space="0"/>
          <w:right w:val="single" w:color="auto" w:sz="4" w:space="0"/>
          <w:between w:val="none" w:color="auto" w:sz="0" w:space="0"/>
        </w:pBdr>
        <w:spacing w:line="6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6.进入站内的垃圾未当日转运的，每次扣0.3分。</w:t>
      </w:r>
    </w:p>
    <w:p>
      <w:pPr>
        <w:numPr>
          <w:ilvl w:val="0"/>
          <w:numId w:val="0"/>
        </w:numPr>
        <w:pBdr>
          <w:top w:val="single" w:color="auto" w:sz="4" w:space="0"/>
          <w:left w:val="single" w:color="auto" w:sz="4" w:space="0"/>
          <w:bottom w:val="single" w:color="auto" w:sz="4" w:space="0"/>
          <w:right w:val="single" w:color="auto" w:sz="4" w:space="0"/>
          <w:between w:val="none" w:color="auto" w:sz="0" w:space="0"/>
        </w:pBdr>
        <w:spacing w:line="6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7.转运站垃圾装、卸、运时未按工艺要求，每次扣0.2分。未记录日运行记录的，每次扣0.1分。</w:t>
      </w:r>
    </w:p>
    <w:p>
      <w:pPr>
        <w:numPr>
          <w:ilvl w:val="0"/>
          <w:numId w:val="0"/>
        </w:numPr>
        <w:pBdr>
          <w:top w:val="single" w:color="auto" w:sz="4" w:space="0"/>
          <w:left w:val="single" w:color="auto" w:sz="4" w:space="0"/>
          <w:bottom w:val="single" w:color="auto" w:sz="4" w:space="0"/>
          <w:right w:val="single" w:color="auto" w:sz="4" w:space="0"/>
          <w:between w:val="none" w:color="auto" w:sz="0" w:space="0"/>
        </w:pBdr>
        <w:spacing w:line="6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8.转运站内外场地、道路应保持干净整洁，无撒落垃圾和堆积杂物，无积留污水。每一不合格项扣0.1分。</w:t>
      </w:r>
    </w:p>
    <w:p>
      <w:pPr>
        <w:numPr>
          <w:ilvl w:val="0"/>
          <w:numId w:val="0"/>
        </w:numPr>
        <w:pBdr>
          <w:top w:val="single" w:color="auto" w:sz="4" w:space="0"/>
          <w:left w:val="single" w:color="auto" w:sz="4" w:space="0"/>
          <w:bottom w:val="single" w:color="auto" w:sz="4" w:space="0"/>
          <w:right w:val="single" w:color="auto" w:sz="4" w:space="0"/>
          <w:between w:val="none" w:color="auto" w:sz="0" w:space="0"/>
        </w:pBdr>
        <w:spacing w:line="6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9.每日定时冲洗，定时喷洒除臭剂、消毒剂。站内作业场所无鼠害、无蛆等。每一不合格项扣0.2分。</w:t>
      </w:r>
    </w:p>
    <w:p>
      <w:pPr>
        <w:numPr>
          <w:ilvl w:val="0"/>
          <w:numId w:val="0"/>
        </w:numPr>
        <w:pBdr>
          <w:top w:val="single" w:color="auto" w:sz="4" w:space="0"/>
          <w:left w:val="single" w:color="auto" w:sz="4" w:space="0"/>
          <w:bottom w:val="single" w:color="auto" w:sz="4" w:space="0"/>
          <w:right w:val="single" w:color="auto" w:sz="4" w:space="0"/>
          <w:between w:val="none" w:color="auto" w:sz="0" w:space="0"/>
        </w:pBdr>
        <w:spacing w:line="6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10.转运站不得擅自接收工业垃圾及医疗、危险、放射性等有毒有害废弃物，违者每次扣0.5分。</w:t>
      </w:r>
    </w:p>
    <w:p>
      <w:pPr>
        <w:numPr>
          <w:ilvl w:val="0"/>
          <w:numId w:val="0"/>
        </w:numPr>
        <w:pBdr>
          <w:top w:val="single" w:color="auto" w:sz="4" w:space="0"/>
          <w:left w:val="single" w:color="auto" w:sz="4" w:space="0"/>
          <w:bottom w:val="single" w:color="auto" w:sz="4" w:space="0"/>
          <w:right w:val="single" w:color="auto" w:sz="4" w:space="0"/>
          <w:between w:val="none" w:color="auto" w:sz="0" w:space="0"/>
        </w:pBdr>
        <w:spacing w:line="6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11.转运车辆不干净整洁、破损、脱漆、锈蚀等现象，每车扣0.2分。</w:t>
      </w:r>
    </w:p>
    <w:p>
      <w:pPr>
        <w:numPr>
          <w:ilvl w:val="0"/>
          <w:numId w:val="0"/>
        </w:numPr>
        <w:pBdr>
          <w:top w:val="single" w:color="auto" w:sz="4" w:space="0"/>
          <w:left w:val="single" w:color="auto" w:sz="4" w:space="0"/>
          <w:bottom w:val="single" w:color="auto" w:sz="4" w:space="0"/>
          <w:right w:val="single" w:color="auto" w:sz="4" w:space="0"/>
          <w:between w:val="none" w:color="auto" w:sz="0" w:space="0"/>
        </w:pBdr>
        <w:spacing w:line="6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12.垃圾转运作业结束后，转运站未清洗，每次扣0.2分。</w:t>
      </w:r>
    </w:p>
    <w:p>
      <w:pPr>
        <w:numPr>
          <w:ilvl w:val="0"/>
          <w:numId w:val="0"/>
        </w:numPr>
        <w:pBdr>
          <w:top w:val="single" w:color="auto" w:sz="4" w:space="0"/>
          <w:left w:val="single" w:color="auto" w:sz="4" w:space="0"/>
          <w:bottom w:val="single" w:color="auto" w:sz="4" w:space="0"/>
          <w:right w:val="single" w:color="auto" w:sz="4" w:space="0"/>
          <w:between w:val="none" w:color="auto" w:sz="0" w:space="0"/>
        </w:pBdr>
        <w:spacing w:line="6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13.压缩箱不定期维护、粉刷油饰，出现坏损、有碍市容观瞻的，每个扣0.2分。</w:t>
      </w:r>
    </w:p>
    <w:p>
      <w:pPr>
        <w:numPr>
          <w:ilvl w:val="0"/>
          <w:numId w:val="0"/>
        </w:numPr>
        <w:pBdr>
          <w:top w:val="single" w:color="auto" w:sz="4" w:space="0"/>
          <w:left w:val="single" w:color="auto" w:sz="4" w:space="0"/>
          <w:bottom w:val="single" w:color="auto" w:sz="4" w:space="0"/>
          <w:right w:val="single" w:color="auto" w:sz="4" w:space="0"/>
          <w:between w:val="none" w:color="auto" w:sz="0" w:space="0"/>
        </w:pBdr>
        <w:spacing w:line="6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14.移动式垃圾压缩箱要每天全面清理，定期进行蚊蝇消杀，做到箱体周边无散落垃圾、无臭味、无蛆等，出现每项扣0.1分。</w:t>
      </w:r>
    </w:p>
    <w:p>
      <w:pPr>
        <w:numPr>
          <w:ilvl w:val="0"/>
          <w:numId w:val="0"/>
        </w:numPr>
        <w:pBdr>
          <w:top w:val="single" w:color="auto" w:sz="4" w:space="0"/>
          <w:left w:val="single" w:color="auto" w:sz="4" w:space="0"/>
          <w:bottom w:val="single" w:color="auto" w:sz="4" w:space="0"/>
          <w:right w:val="single" w:color="auto" w:sz="4" w:space="0"/>
          <w:between w:val="none" w:color="auto" w:sz="0" w:space="0"/>
        </w:pBdr>
        <w:spacing w:line="6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15.垃圾积液要排放到排水设施中，渗沥液外溢，积液污染周边环境，出现一次扣0.3分。</w:t>
      </w:r>
    </w:p>
    <w:p>
      <w:pPr>
        <w:numPr>
          <w:ilvl w:val="0"/>
          <w:numId w:val="0"/>
        </w:numPr>
        <w:pBdr>
          <w:top w:val="single" w:color="auto" w:sz="4" w:space="0"/>
          <w:left w:val="single" w:color="auto" w:sz="4" w:space="0"/>
          <w:bottom w:val="single" w:color="auto" w:sz="4" w:space="0"/>
          <w:right w:val="single" w:color="auto" w:sz="4" w:space="0"/>
          <w:between w:val="none" w:color="auto" w:sz="0" w:space="0"/>
        </w:pBdr>
        <w:spacing w:line="6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16.对检查发现的卫生问题、新闻媒体曝光问题、市民投诉问题等，在第一次限期内得到解决的，扣与此问题对应的分；第二次限期内整改的，扣2倍分；第三次整改的，扣三倍的分。</w:t>
      </w:r>
    </w:p>
    <w:p>
      <w:pPr>
        <w:numPr>
          <w:ilvl w:val="0"/>
          <w:numId w:val="0"/>
        </w:numPr>
        <w:pBdr>
          <w:top w:val="single" w:color="auto" w:sz="4" w:space="0"/>
          <w:left w:val="single" w:color="auto" w:sz="4" w:space="0"/>
          <w:bottom w:val="single" w:color="auto" w:sz="4" w:space="0"/>
          <w:right w:val="single" w:color="auto" w:sz="4" w:space="0"/>
          <w:between w:val="none" w:color="auto" w:sz="0" w:space="0"/>
        </w:pBdr>
        <w:spacing w:line="600" w:lineRule="exact"/>
        <w:ind w:firstLine="482" w:firstLineChars="200"/>
        <w:rPr>
          <w:rFonts w:hint="eastAsia" w:ascii="宋体" w:hAnsi="宋体" w:eastAsia="宋体" w:cs="宋体"/>
          <w:sz w:val="24"/>
          <w:szCs w:val="24"/>
        </w:rPr>
      </w:pPr>
      <w:r>
        <w:rPr>
          <w:rFonts w:hint="eastAsia" w:ascii="宋体" w:hAnsi="宋体" w:eastAsia="宋体" w:cs="宋体"/>
          <w:b/>
          <w:bCs/>
          <w:sz w:val="24"/>
          <w:szCs w:val="24"/>
        </w:rPr>
        <w:t>（五）公共厕所作业、管理量化考核评分标准（100分）</w:t>
      </w:r>
    </w:p>
    <w:p>
      <w:pPr>
        <w:numPr>
          <w:ilvl w:val="0"/>
          <w:numId w:val="0"/>
        </w:numPr>
        <w:pBdr>
          <w:top w:val="single" w:color="auto" w:sz="4" w:space="0"/>
          <w:left w:val="single" w:color="auto" w:sz="4" w:space="0"/>
          <w:bottom w:val="single" w:color="auto" w:sz="4" w:space="0"/>
          <w:right w:val="single" w:color="auto" w:sz="4" w:space="0"/>
          <w:between w:val="none" w:color="auto" w:sz="0" w:space="0"/>
        </w:pBdr>
        <w:spacing w:line="6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1.未经县级环卫部门批准，擅自关闭、停用公共厕所，每座扣0.5分。</w:t>
      </w:r>
    </w:p>
    <w:p>
      <w:pPr>
        <w:numPr>
          <w:ilvl w:val="0"/>
          <w:numId w:val="0"/>
        </w:numPr>
        <w:pBdr>
          <w:top w:val="single" w:color="auto" w:sz="4" w:space="0"/>
          <w:left w:val="single" w:color="auto" w:sz="4" w:space="0"/>
          <w:bottom w:val="single" w:color="auto" w:sz="4" w:space="0"/>
          <w:right w:val="single" w:color="auto" w:sz="4" w:space="0"/>
          <w:between w:val="none" w:color="auto" w:sz="0" w:space="0"/>
        </w:pBdr>
        <w:spacing w:line="6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2.公共厕所管理规章制度不健全，未上墙，每座扣0.1分。</w:t>
      </w:r>
    </w:p>
    <w:p>
      <w:pPr>
        <w:numPr>
          <w:ilvl w:val="0"/>
          <w:numId w:val="0"/>
        </w:numPr>
        <w:pBdr>
          <w:top w:val="single" w:color="auto" w:sz="4" w:space="0"/>
          <w:left w:val="single" w:color="auto" w:sz="4" w:space="0"/>
          <w:bottom w:val="single" w:color="auto" w:sz="4" w:space="0"/>
          <w:right w:val="single" w:color="auto" w:sz="4" w:space="0"/>
          <w:between w:val="none" w:color="auto" w:sz="0" w:space="0"/>
        </w:pBdr>
        <w:spacing w:line="6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3.公共厕所配备的照明灯、洗手用具、镜子、冲水设备等应完好、无积灰、污物，每一不合格项扣0.1分。</w:t>
      </w:r>
    </w:p>
    <w:p>
      <w:pPr>
        <w:numPr>
          <w:ilvl w:val="0"/>
          <w:numId w:val="0"/>
        </w:numPr>
        <w:pBdr>
          <w:top w:val="single" w:color="auto" w:sz="4" w:space="0"/>
          <w:left w:val="single" w:color="auto" w:sz="4" w:space="0"/>
          <w:bottom w:val="single" w:color="auto" w:sz="4" w:space="0"/>
          <w:right w:val="single" w:color="auto" w:sz="4" w:space="0"/>
          <w:between w:val="none" w:color="auto" w:sz="0" w:space="0"/>
        </w:pBdr>
        <w:spacing w:line="6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4.公共厕所外墙及外环境应整洁，无乱涂乱画，无乱堆杂物，公厕四周5米范围内，应无垃圾、粪便、污水等污物。每一不合格项扣0.2分。</w:t>
      </w:r>
    </w:p>
    <w:p>
      <w:pPr>
        <w:numPr>
          <w:ilvl w:val="0"/>
          <w:numId w:val="0"/>
        </w:numPr>
        <w:pBdr>
          <w:top w:val="single" w:color="auto" w:sz="4" w:space="0"/>
          <w:left w:val="single" w:color="auto" w:sz="4" w:space="0"/>
          <w:bottom w:val="single" w:color="auto" w:sz="4" w:space="0"/>
          <w:right w:val="single" w:color="auto" w:sz="4" w:space="0"/>
          <w:between w:val="none" w:color="auto" w:sz="0" w:space="0"/>
        </w:pBdr>
        <w:spacing w:line="6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5.公共厕所内墙面、天花板、门窗和隔离板有剥落、积灰、污迹、蛛网，乱涂乱画；地面不整洁，有积水；便池和管道破损；每处扣0.1分。</w:t>
      </w:r>
    </w:p>
    <w:p>
      <w:pPr>
        <w:numPr>
          <w:ilvl w:val="0"/>
          <w:numId w:val="0"/>
        </w:numPr>
        <w:pBdr>
          <w:top w:val="single" w:color="auto" w:sz="4" w:space="0"/>
          <w:left w:val="single" w:color="auto" w:sz="4" w:space="0"/>
          <w:bottom w:val="single" w:color="auto" w:sz="4" w:space="0"/>
          <w:right w:val="single" w:color="auto" w:sz="4" w:space="0"/>
          <w:between w:val="none" w:color="auto" w:sz="0" w:space="0"/>
        </w:pBdr>
        <w:spacing w:line="6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6.小便池内应无水锈、尿垢、垃圾，基本无臭，沟眼、管道保持畅通。每一不合格项扣0.1分。</w:t>
      </w:r>
    </w:p>
    <w:p>
      <w:pPr>
        <w:numPr>
          <w:ilvl w:val="0"/>
          <w:numId w:val="0"/>
        </w:numPr>
        <w:pBdr>
          <w:top w:val="single" w:color="auto" w:sz="4" w:space="0"/>
          <w:left w:val="single" w:color="auto" w:sz="4" w:space="0"/>
          <w:bottom w:val="single" w:color="auto" w:sz="4" w:space="0"/>
          <w:right w:val="single" w:color="auto" w:sz="4" w:space="0"/>
          <w:between w:val="none" w:color="auto" w:sz="0" w:space="0"/>
        </w:pBdr>
        <w:spacing w:line="6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7.公共厕所有明显臭味，蹲位不整洁，每处扣0.2分。</w:t>
      </w:r>
    </w:p>
    <w:p>
      <w:pPr>
        <w:numPr>
          <w:ilvl w:val="0"/>
          <w:numId w:val="0"/>
        </w:numPr>
        <w:pBdr>
          <w:top w:val="single" w:color="auto" w:sz="4" w:space="0"/>
          <w:left w:val="single" w:color="auto" w:sz="4" w:space="0"/>
          <w:bottom w:val="single" w:color="auto" w:sz="4" w:space="0"/>
          <w:right w:val="single" w:color="auto" w:sz="4" w:space="0"/>
          <w:between w:val="none" w:color="auto" w:sz="0" w:space="0"/>
        </w:pBdr>
        <w:spacing w:line="6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8.蝇蚊孳生季节，不定时喷洒灭蝇药物，没有有效控制蝇蚊孳生的，每座次扣0.1分。</w:t>
      </w:r>
    </w:p>
    <w:p>
      <w:pPr>
        <w:numPr>
          <w:ilvl w:val="0"/>
          <w:numId w:val="0"/>
        </w:numPr>
        <w:pBdr>
          <w:top w:val="single" w:color="auto" w:sz="4" w:space="0"/>
          <w:left w:val="single" w:color="auto" w:sz="4" w:space="0"/>
          <w:bottom w:val="single" w:color="auto" w:sz="4" w:space="0"/>
          <w:right w:val="single" w:color="auto" w:sz="4" w:space="0"/>
          <w:between w:val="none" w:color="auto" w:sz="0" w:space="0"/>
        </w:pBdr>
        <w:spacing w:line="6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9.公厕内卫生保洁质量控制指标应符合下表规定，每一不合格项扣0.1分。</w:t>
      </w:r>
    </w:p>
    <w:p>
      <w:pPr>
        <w:numPr>
          <w:ilvl w:val="0"/>
          <w:numId w:val="0"/>
        </w:numPr>
        <w:pBdr>
          <w:top w:val="single" w:color="auto" w:sz="4" w:space="0"/>
          <w:left w:val="single" w:color="auto" w:sz="4" w:space="0"/>
          <w:bottom w:val="single" w:color="auto" w:sz="4" w:space="0"/>
          <w:right w:val="single" w:color="auto" w:sz="4" w:space="0"/>
          <w:between w:val="none" w:color="auto" w:sz="0" w:space="0"/>
        </w:pBdr>
        <w:spacing w:line="600" w:lineRule="exact"/>
        <w:jc w:val="center"/>
        <w:rPr>
          <w:rFonts w:hint="eastAsia" w:ascii="宋体" w:hAnsi="宋体" w:eastAsia="宋体" w:cs="宋体"/>
          <w:b/>
          <w:bCs/>
          <w:sz w:val="24"/>
          <w:szCs w:val="24"/>
        </w:rPr>
      </w:pPr>
      <w:r>
        <w:rPr>
          <w:rFonts w:hint="eastAsia" w:ascii="宋体" w:hAnsi="宋体" w:eastAsia="宋体" w:cs="宋体"/>
          <w:b/>
          <w:bCs/>
          <w:sz w:val="24"/>
          <w:szCs w:val="24"/>
        </w:rPr>
        <w:t>公共厕所卫生保洁质量控制指标</w:t>
      </w:r>
    </w:p>
    <w:tbl>
      <w:tblPr>
        <w:tblStyle w:val="8"/>
        <w:tblW w:w="85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41"/>
        <w:gridCol w:w="1771"/>
        <w:gridCol w:w="1636"/>
        <w:gridCol w:w="1587"/>
        <w:gridCol w:w="13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6" w:hRule="atLeast"/>
        </w:trPr>
        <w:tc>
          <w:tcPr>
            <w:tcW w:w="2141" w:type="dxa"/>
            <w:noWrap w:val="0"/>
            <w:vAlign w:val="center"/>
          </w:tcPr>
          <w:p>
            <w:pPr>
              <w:numPr>
                <w:ilvl w:val="0"/>
                <w:numId w:val="0"/>
              </w:numPr>
              <w:pBdr>
                <w:top w:val="single" w:color="auto" w:sz="4" w:space="0"/>
                <w:left w:val="single" w:color="auto" w:sz="4" w:space="0"/>
                <w:bottom w:val="single" w:color="auto" w:sz="4" w:space="0"/>
                <w:right w:val="single" w:color="auto" w:sz="4" w:space="0"/>
                <w:between w:val="none" w:color="auto" w:sz="0" w:space="0"/>
              </w:pBdr>
              <w:jc w:val="center"/>
              <w:rPr>
                <w:rFonts w:hint="eastAsia" w:ascii="宋体" w:hAnsi="宋体" w:eastAsia="宋体" w:cs="宋体"/>
                <w:sz w:val="24"/>
                <w:szCs w:val="24"/>
              </w:rPr>
            </w:pPr>
            <w:r>
              <w:rPr>
                <w:rFonts w:hint="eastAsia" w:ascii="宋体" w:hAnsi="宋体" w:eastAsia="宋体" w:cs="宋体"/>
                <w:sz w:val="24"/>
                <w:szCs w:val="24"/>
              </w:rPr>
              <w:t>项目</w:t>
            </w:r>
          </w:p>
        </w:tc>
        <w:tc>
          <w:tcPr>
            <w:tcW w:w="1771" w:type="dxa"/>
            <w:noWrap w:val="0"/>
            <w:vAlign w:val="center"/>
          </w:tcPr>
          <w:p>
            <w:pPr>
              <w:numPr>
                <w:ilvl w:val="0"/>
                <w:numId w:val="0"/>
              </w:numPr>
              <w:pBdr>
                <w:top w:val="single" w:color="auto" w:sz="4" w:space="0"/>
                <w:left w:val="single" w:color="auto" w:sz="4" w:space="0"/>
                <w:bottom w:val="single" w:color="auto" w:sz="4" w:space="0"/>
                <w:right w:val="single" w:color="auto" w:sz="4" w:space="0"/>
                <w:between w:val="none" w:color="auto" w:sz="0" w:space="0"/>
              </w:pBdr>
              <w:jc w:val="center"/>
              <w:rPr>
                <w:rFonts w:hint="eastAsia" w:ascii="宋体" w:hAnsi="宋体" w:eastAsia="宋体" w:cs="宋体"/>
                <w:sz w:val="24"/>
                <w:szCs w:val="24"/>
              </w:rPr>
            </w:pPr>
            <w:r>
              <w:rPr>
                <w:rFonts w:hint="eastAsia" w:ascii="宋体" w:hAnsi="宋体" w:eastAsia="宋体" w:cs="宋体"/>
                <w:sz w:val="24"/>
                <w:szCs w:val="24"/>
              </w:rPr>
              <w:t>一类公厕</w:t>
            </w:r>
          </w:p>
        </w:tc>
        <w:tc>
          <w:tcPr>
            <w:tcW w:w="1636" w:type="dxa"/>
            <w:noWrap w:val="0"/>
            <w:vAlign w:val="center"/>
          </w:tcPr>
          <w:p>
            <w:pPr>
              <w:numPr>
                <w:ilvl w:val="0"/>
                <w:numId w:val="0"/>
              </w:numPr>
              <w:pBdr>
                <w:top w:val="single" w:color="auto" w:sz="4" w:space="0"/>
                <w:left w:val="single" w:color="auto" w:sz="4" w:space="0"/>
                <w:bottom w:val="single" w:color="auto" w:sz="4" w:space="0"/>
                <w:right w:val="single" w:color="auto" w:sz="4" w:space="0"/>
                <w:between w:val="none" w:color="auto" w:sz="0" w:space="0"/>
              </w:pBdr>
              <w:jc w:val="center"/>
              <w:rPr>
                <w:rFonts w:hint="eastAsia" w:ascii="宋体" w:hAnsi="宋体" w:eastAsia="宋体" w:cs="宋体"/>
                <w:sz w:val="24"/>
                <w:szCs w:val="24"/>
              </w:rPr>
            </w:pPr>
            <w:r>
              <w:rPr>
                <w:rFonts w:hint="eastAsia" w:ascii="宋体" w:hAnsi="宋体" w:eastAsia="宋体" w:cs="宋体"/>
                <w:sz w:val="24"/>
                <w:szCs w:val="24"/>
              </w:rPr>
              <w:t>二类公厕</w:t>
            </w:r>
          </w:p>
        </w:tc>
        <w:tc>
          <w:tcPr>
            <w:tcW w:w="1587" w:type="dxa"/>
            <w:noWrap w:val="0"/>
            <w:vAlign w:val="center"/>
          </w:tcPr>
          <w:p>
            <w:pPr>
              <w:numPr>
                <w:ilvl w:val="0"/>
                <w:numId w:val="0"/>
              </w:numPr>
              <w:pBdr>
                <w:top w:val="single" w:color="auto" w:sz="4" w:space="0"/>
                <w:left w:val="single" w:color="auto" w:sz="4" w:space="0"/>
                <w:bottom w:val="single" w:color="auto" w:sz="4" w:space="0"/>
                <w:right w:val="single" w:color="auto" w:sz="4" w:space="0"/>
                <w:between w:val="none" w:color="auto" w:sz="0" w:space="0"/>
              </w:pBdr>
              <w:jc w:val="center"/>
              <w:rPr>
                <w:rFonts w:hint="eastAsia" w:ascii="宋体" w:hAnsi="宋体" w:eastAsia="宋体" w:cs="宋体"/>
                <w:sz w:val="24"/>
                <w:szCs w:val="24"/>
              </w:rPr>
            </w:pPr>
            <w:r>
              <w:rPr>
                <w:rFonts w:hint="eastAsia" w:ascii="宋体" w:hAnsi="宋体" w:eastAsia="宋体" w:cs="宋体"/>
                <w:sz w:val="24"/>
                <w:szCs w:val="24"/>
              </w:rPr>
              <w:t>三类公厕</w:t>
            </w:r>
          </w:p>
        </w:tc>
        <w:tc>
          <w:tcPr>
            <w:tcW w:w="1381" w:type="dxa"/>
            <w:noWrap w:val="0"/>
            <w:vAlign w:val="center"/>
          </w:tcPr>
          <w:p>
            <w:pPr>
              <w:numPr>
                <w:ilvl w:val="0"/>
                <w:numId w:val="0"/>
              </w:numPr>
              <w:pBdr>
                <w:top w:val="single" w:color="auto" w:sz="4" w:space="0"/>
                <w:left w:val="single" w:color="auto" w:sz="4" w:space="0"/>
                <w:bottom w:val="single" w:color="auto" w:sz="4" w:space="0"/>
                <w:right w:val="single" w:color="auto" w:sz="4" w:space="0"/>
                <w:between w:val="none" w:color="auto" w:sz="0" w:space="0"/>
              </w:pBdr>
              <w:jc w:val="center"/>
              <w:rPr>
                <w:rFonts w:hint="eastAsia" w:ascii="宋体" w:hAnsi="宋体" w:eastAsia="宋体" w:cs="宋体"/>
                <w:sz w:val="24"/>
                <w:szCs w:val="24"/>
              </w:rPr>
            </w:pPr>
            <w:r>
              <w:rPr>
                <w:rFonts w:hint="eastAsia" w:ascii="宋体" w:hAnsi="宋体" w:eastAsia="宋体" w:cs="宋体"/>
                <w:sz w:val="24"/>
                <w:szCs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trPr>
        <w:tc>
          <w:tcPr>
            <w:tcW w:w="2141" w:type="dxa"/>
            <w:noWrap w:val="0"/>
            <w:vAlign w:val="center"/>
          </w:tcPr>
          <w:p>
            <w:pPr>
              <w:numPr>
                <w:ilvl w:val="0"/>
                <w:numId w:val="0"/>
              </w:numPr>
              <w:pBdr>
                <w:top w:val="single" w:color="auto" w:sz="4" w:space="0"/>
                <w:left w:val="single" w:color="auto" w:sz="4" w:space="0"/>
                <w:bottom w:val="single" w:color="auto" w:sz="4" w:space="0"/>
                <w:right w:val="single" w:color="auto" w:sz="4" w:space="0"/>
                <w:between w:val="none" w:color="auto" w:sz="0" w:space="0"/>
              </w:pBdr>
              <w:jc w:val="center"/>
              <w:rPr>
                <w:rFonts w:hint="eastAsia" w:ascii="宋体" w:hAnsi="宋体" w:eastAsia="宋体" w:cs="宋体"/>
                <w:sz w:val="24"/>
                <w:szCs w:val="24"/>
              </w:rPr>
            </w:pPr>
            <w:r>
              <w:rPr>
                <w:rFonts w:hint="eastAsia" w:ascii="宋体" w:hAnsi="宋体" w:eastAsia="宋体" w:cs="宋体"/>
                <w:sz w:val="24"/>
                <w:szCs w:val="24"/>
              </w:rPr>
              <w:t>纸片（块）</w:t>
            </w:r>
          </w:p>
        </w:tc>
        <w:tc>
          <w:tcPr>
            <w:tcW w:w="1771" w:type="dxa"/>
            <w:noWrap w:val="0"/>
            <w:vAlign w:val="center"/>
          </w:tcPr>
          <w:p>
            <w:pPr>
              <w:numPr>
                <w:ilvl w:val="0"/>
                <w:numId w:val="0"/>
              </w:numPr>
              <w:pBdr>
                <w:top w:val="single" w:color="auto" w:sz="4" w:space="0"/>
                <w:left w:val="single" w:color="auto" w:sz="4" w:space="0"/>
                <w:bottom w:val="single" w:color="auto" w:sz="4" w:space="0"/>
                <w:right w:val="single" w:color="auto" w:sz="4" w:space="0"/>
                <w:between w:val="none" w:color="auto" w:sz="0" w:space="0"/>
              </w:pBdr>
              <w:jc w:val="center"/>
              <w:rPr>
                <w:rFonts w:hint="eastAsia" w:ascii="宋体" w:hAnsi="宋体" w:eastAsia="宋体" w:cs="宋体"/>
                <w:sz w:val="24"/>
                <w:szCs w:val="24"/>
              </w:rPr>
            </w:pPr>
            <w:r>
              <w:rPr>
                <w:rFonts w:hint="eastAsia" w:ascii="宋体" w:hAnsi="宋体" w:eastAsia="宋体" w:cs="宋体"/>
                <w:sz w:val="24"/>
                <w:szCs w:val="24"/>
              </w:rPr>
              <w:t>无</w:t>
            </w:r>
          </w:p>
        </w:tc>
        <w:tc>
          <w:tcPr>
            <w:tcW w:w="1636" w:type="dxa"/>
            <w:noWrap w:val="0"/>
            <w:vAlign w:val="center"/>
          </w:tcPr>
          <w:p>
            <w:pPr>
              <w:numPr>
                <w:ilvl w:val="0"/>
                <w:numId w:val="0"/>
              </w:numPr>
              <w:pBdr>
                <w:top w:val="single" w:color="auto" w:sz="4" w:space="0"/>
                <w:left w:val="single" w:color="auto" w:sz="4" w:space="0"/>
                <w:bottom w:val="single" w:color="auto" w:sz="4" w:space="0"/>
                <w:right w:val="single" w:color="auto" w:sz="4" w:space="0"/>
                <w:between w:val="none" w:color="auto" w:sz="0" w:space="0"/>
              </w:pBdr>
              <w:jc w:val="center"/>
              <w:rPr>
                <w:rFonts w:hint="eastAsia" w:ascii="宋体" w:hAnsi="宋体" w:eastAsia="宋体" w:cs="宋体"/>
                <w:sz w:val="24"/>
                <w:szCs w:val="24"/>
              </w:rPr>
            </w:pPr>
            <w:r>
              <w:rPr>
                <w:rFonts w:hint="eastAsia" w:ascii="宋体" w:hAnsi="宋体" w:eastAsia="宋体" w:cs="宋体"/>
                <w:sz w:val="24"/>
                <w:szCs w:val="24"/>
              </w:rPr>
              <w:t>≤1</w:t>
            </w:r>
          </w:p>
        </w:tc>
        <w:tc>
          <w:tcPr>
            <w:tcW w:w="1587" w:type="dxa"/>
            <w:noWrap w:val="0"/>
            <w:vAlign w:val="center"/>
          </w:tcPr>
          <w:p>
            <w:pPr>
              <w:numPr>
                <w:ilvl w:val="0"/>
                <w:numId w:val="0"/>
              </w:numPr>
              <w:pBdr>
                <w:top w:val="single" w:color="auto" w:sz="4" w:space="0"/>
                <w:left w:val="single" w:color="auto" w:sz="4" w:space="0"/>
                <w:bottom w:val="single" w:color="auto" w:sz="4" w:space="0"/>
                <w:right w:val="single" w:color="auto" w:sz="4" w:space="0"/>
                <w:between w:val="none" w:color="auto" w:sz="0" w:space="0"/>
              </w:pBdr>
              <w:jc w:val="center"/>
              <w:rPr>
                <w:rFonts w:hint="eastAsia" w:ascii="宋体" w:hAnsi="宋体" w:eastAsia="宋体" w:cs="宋体"/>
                <w:sz w:val="24"/>
                <w:szCs w:val="24"/>
              </w:rPr>
            </w:pPr>
            <w:r>
              <w:rPr>
                <w:rFonts w:hint="eastAsia" w:ascii="宋体" w:hAnsi="宋体" w:eastAsia="宋体" w:cs="宋体"/>
                <w:sz w:val="24"/>
                <w:szCs w:val="24"/>
              </w:rPr>
              <w:t>≤2</w:t>
            </w:r>
          </w:p>
        </w:tc>
        <w:tc>
          <w:tcPr>
            <w:tcW w:w="1381" w:type="dxa"/>
            <w:noWrap w:val="0"/>
            <w:vAlign w:val="center"/>
          </w:tcPr>
          <w:p>
            <w:pPr>
              <w:numPr>
                <w:ilvl w:val="0"/>
                <w:numId w:val="0"/>
              </w:numPr>
              <w:pBdr>
                <w:top w:val="single" w:color="auto" w:sz="4" w:space="0"/>
                <w:left w:val="single" w:color="auto" w:sz="4" w:space="0"/>
                <w:bottom w:val="single" w:color="auto" w:sz="4" w:space="0"/>
                <w:right w:val="single" w:color="auto" w:sz="4" w:space="0"/>
                <w:between w:val="none" w:color="auto" w:sz="0" w:space="0"/>
              </w:pBdr>
              <w:jc w:val="center"/>
              <w:rPr>
                <w:rFonts w:hint="eastAsia" w:ascii="宋体" w:hAnsi="宋体" w:eastAsia="宋体" w:cs="宋体"/>
                <w:sz w:val="24"/>
                <w:szCs w:val="24"/>
              </w:rPr>
            </w:pPr>
            <w:r>
              <w:rPr>
                <w:rFonts w:hint="eastAsia" w:ascii="宋体" w:hAnsi="宋体" w:eastAsia="宋体" w:cs="宋体"/>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1" w:hRule="atLeast"/>
        </w:trPr>
        <w:tc>
          <w:tcPr>
            <w:tcW w:w="2141" w:type="dxa"/>
            <w:noWrap w:val="0"/>
            <w:vAlign w:val="center"/>
          </w:tcPr>
          <w:p>
            <w:pPr>
              <w:numPr>
                <w:ilvl w:val="0"/>
                <w:numId w:val="0"/>
              </w:numPr>
              <w:pBdr>
                <w:top w:val="single" w:color="auto" w:sz="4" w:space="0"/>
                <w:left w:val="single" w:color="auto" w:sz="4" w:space="0"/>
                <w:bottom w:val="single" w:color="auto" w:sz="4" w:space="0"/>
                <w:right w:val="single" w:color="auto" w:sz="4" w:space="0"/>
                <w:between w:val="none" w:color="auto" w:sz="0" w:space="0"/>
              </w:pBdr>
              <w:jc w:val="center"/>
              <w:rPr>
                <w:rFonts w:hint="eastAsia" w:ascii="宋体" w:hAnsi="宋体" w:eastAsia="宋体" w:cs="宋体"/>
                <w:sz w:val="24"/>
                <w:szCs w:val="24"/>
              </w:rPr>
            </w:pPr>
            <w:r>
              <w:rPr>
                <w:rFonts w:hint="eastAsia" w:ascii="宋体" w:hAnsi="宋体" w:eastAsia="宋体" w:cs="宋体"/>
                <w:sz w:val="24"/>
                <w:szCs w:val="24"/>
              </w:rPr>
              <w:t>烟蒂（个）</w:t>
            </w:r>
          </w:p>
        </w:tc>
        <w:tc>
          <w:tcPr>
            <w:tcW w:w="1771" w:type="dxa"/>
            <w:noWrap w:val="0"/>
            <w:vAlign w:val="center"/>
          </w:tcPr>
          <w:p>
            <w:pPr>
              <w:numPr>
                <w:ilvl w:val="0"/>
                <w:numId w:val="0"/>
              </w:numPr>
              <w:pBdr>
                <w:top w:val="single" w:color="auto" w:sz="4" w:space="0"/>
                <w:left w:val="single" w:color="auto" w:sz="4" w:space="0"/>
                <w:bottom w:val="single" w:color="auto" w:sz="4" w:space="0"/>
                <w:right w:val="single" w:color="auto" w:sz="4" w:space="0"/>
                <w:between w:val="none" w:color="auto" w:sz="0" w:space="0"/>
              </w:pBdr>
              <w:jc w:val="center"/>
              <w:rPr>
                <w:rFonts w:hint="eastAsia" w:ascii="宋体" w:hAnsi="宋体" w:eastAsia="宋体" w:cs="宋体"/>
                <w:sz w:val="24"/>
                <w:szCs w:val="24"/>
              </w:rPr>
            </w:pPr>
            <w:r>
              <w:rPr>
                <w:rFonts w:hint="eastAsia" w:ascii="宋体" w:hAnsi="宋体" w:eastAsia="宋体" w:cs="宋体"/>
                <w:sz w:val="24"/>
                <w:szCs w:val="24"/>
              </w:rPr>
              <w:t>无</w:t>
            </w:r>
          </w:p>
        </w:tc>
        <w:tc>
          <w:tcPr>
            <w:tcW w:w="1636" w:type="dxa"/>
            <w:noWrap w:val="0"/>
            <w:vAlign w:val="center"/>
          </w:tcPr>
          <w:p>
            <w:pPr>
              <w:numPr>
                <w:ilvl w:val="0"/>
                <w:numId w:val="0"/>
              </w:numPr>
              <w:pBdr>
                <w:top w:val="single" w:color="auto" w:sz="4" w:space="0"/>
                <w:left w:val="single" w:color="auto" w:sz="4" w:space="0"/>
                <w:bottom w:val="single" w:color="auto" w:sz="4" w:space="0"/>
                <w:right w:val="single" w:color="auto" w:sz="4" w:space="0"/>
                <w:between w:val="none" w:color="auto" w:sz="0" w:space="0"/>
              </w:pBdr>
              <w:jc w:val="center"/>
              <w:rPr>
                <w:rFonts w:hint="eastAsia" w:ascii="宋体" w:hAnsi="宋体" w:eastAsia="宋体" w:cs="宋体"/>
                <w:sz w:val="24"/>
                <w:szCs w:val="24"/>
              </w:rPr>
            </w:pPr>
            <w:r>
              <w:rPr>
                <w:rFonts w:hint="eastAsia" w:ascii="宋体" w:hAnsi="宋体" w:eastAsia="宋体" w:cs="宋体"/>
                <w:sz w:val="24"/>
                <w:szCs w:val="24"/>
              </w:rPr>
              <w:t>≤1</w:t>
            </w:r>
          </w:p>
        </w:tc>
        <w:tc>
          <w:tcPr>
            <w:tcW w:w="1587" w:type="dxa"/>
            <w:noWrap w:val="0"/>
            <w:vAlign w:val="center"/>
          </w:tcPr>
          <w:p>
            <w:pPr>
              <w:numPr>
                <w:ilvl w:val="0"/>
                <w:numId w:val="0"/>
              </w:numPr>
              <w:pBdr>
                <w:top w:val="single" w:color="auto" w:sz="4" w:space="0"/>
                <w:left w:val="single" w:color="auto" w:sz="4" w:space="0"/>
                <w:bottom w:val="single" w:color="auto" w:sz="4" w:space="0"/>
                <w:right w:val="single" w:color="auto" w:sz="4" w:space="0"/>
                <w:between w:val="none" w:color="auto" w:sz="0" w:space="0"/>
              </w:pBdr>
              <w:jc w:val="center"/>
              <w:rPr>
                <w:rFonts w:hint="eastAsia" w:ascii="宋体" w:hAnsi="宋体" w:eastAsia="宋体" w:cs="宋体"/>
                <w:sz w:val="24"/>
                <w:szCs w:val="24"/>
              </w:rPr>
            </w:pPr>
            <w:r>
              <w:rPr>
                <w:rFonts w:hint="eastAsia" w:ascii="宋体" w:hAnsi="宋体" w:eastAsia="宋体" w:cs="宋体"/>
                <w:sz w:val="24"/>
                <w:szCs w:val="24"/>
              </w:rPr>
              <w:t>≤2</w:t>
            </w:r>
          </w:p>
        </w:tc>
        <w:tc>
          <w:tcPr>
            <w:tcW w:w="1381" w:type="dxa"/>
            <w:noWrap w:val="0"/>
            <w:vAlign w:val="center"/>
          </w:tcPr>
          <w:p>
            <w:pPr>
              <w:numPr>
                <w:ilvl w:val="0"/>
                <w:numId w:val="0"/>
              </w:numPr>
              <w:pBdr>
                <w:top w:val="single" w:color="auto" w:sz="4" w:space="0"/>
                <w:left w:val="single" w:color="auto" w:sz="4" w:space="0"/>
                <w:bottom w:val="single" w:color="auto" w:sz="4" w:space="0"/>
                <w:right w:val="single" w:color="auto" w:sz="4" w:space="0"/>
                <w:between w:val="none" w:color="auto" w:sz="0" w:space="0"/>
              </w:pBdr>
              <w:jc w:val="center"/>
              <w:rPr>
                <w:rFonts w:hint="eastAsia" w:ascii="宋体" w:hAnsi="宋体" w:eastAsia="宋体" w:cs="宋体"/>
                <w:sz w:val="24"/>
                <w:szCs w:val="24"/>
              </w:rPr>
            </w:pPr>
            <w:r>
              <w:rPr>
                <w:rFonts w:hint="eastAsia" w:ascii="宋体" w:hAnsi="宋体" w:eastAsia="宋体" w:cs="宋体"/>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1" w:hRule="atLeast"/>
        </w:trPr>
        <w:tc>
          <w:tcPr>
            <w:tcW w:w="2141" w:type="dxa"/>
            <w:noWrap w:val="0"/>
            <w:vAlign w:val="center"/>
          </w:tcPr>
          <w:p>
            <w:pPr>
              <w:numPr>
                <w:ilvl w:val="0"/>
                <w:numId w:val="0"/>
              </w:numPr>
              <w:pBdr>
                <w:top w:val="single" w:color="auto" w:sz="4" w:space="0"/>
                <w:left w:val="single" w:color="auto" w:sz="4" w:space="0"/>
                <w:bottom w:val="single" w:color="auto" w:sz="4" w:space="0"/>
                <w:right w:val="single" w:color="auto" w:sz="4" w:space="0"/>
                <w:between w:val="none" w:color="auto" w:sz="0" w:space="0"/>
              </w:pBdr>
              <w:jc w:val="center"/>
              <w:rPr>
                <w:rFonts w:hint="eastAsia" w:ascii="宋体" w:hAnsi="宋体" w:eastAsia="宋体" w:cs="宋体"/>
                <w:sz w:val="24"/>
                <w:szCs w:val="24"/>
              </w:rPr>
            </w:pPr>
            <w:r>
              <w:rPr>
                <w:rFonts w:hint="eastAsia" w:ascii="宋体" w:hAnsi="宋体" w:eastAsia="宋体" w:cs="宋体"/>
                <w:sz w:val="24"/>
                <w:szCs w:val="24"/>
              </w:rPr>
              <w:t>粪迹（处）</w:t>
            </w:r>
          </w:p>
        </w:tc>
        <w:tc>
          <w:tcPr>
            <w:tcW w:w="1771" w:type="dxa"/>
            <w:noWrap w:val="0"/>
            <w:vAlign w:val="center"/>
          </w:tcPr>
          <w:p>
            <w:pPr>
              <w:numPr>
                <w:ilvl w:val="0"/>
                <w:numId w:val="0"/>
              </w:numPr>
              <w:pBdr>
                <w:top w:val="single" w:color="auto" w:sz="4" w:space="0"/>
                <w:left w:val="single" w:color="auto" w:sz="4" w:space="0"/>
                <w:bottom w:val="single" w:color="auto" w:sz="4" w:space="0"/>
                <w:right w:val="single" w:color="auto" w:sz="4" w:space="0"/>
                <w:between w:val="none" w:color="auto" w:sz="0" w:space="0"/>
              </w:pBdr>
              <w:jc w:val="center"/>
              <w:rPr>
                <w:rFonts w:hint="eastAsia" w:ascii="宋体" w:hAnsi="宋体" w:eastAsia="宋体" w:cs="宋体"/>
                <w:sz w:val="24"/>
                <w:szCs w:val="24"/>
              </w:rPr>
            </w:pPr>
            <w:r>
              <w:rPr>
                <w:rFonts w:hint="eastAsia" w:ascii="宋体" w:hAnsi="宋体" w:eastAsia="宋体" w:cs="宋体"/>
                <w:sz w:val="24"/>
                <w:szCs w:val="24"/>
              </w:rPr>
              <w:t>无</w:t>
            </w:r>
          </w:p>
        </w:tc>
        <w:tc>
          <w:tcPr>
            <w:tcW w:w="1636" w:type="dxa"/>
            <w:noWrap w:val="0"/>
            <w:vAlign w:val="center"/>
          </w:tcPr>
          <w:p>
            <w:pPr>
              <w:numPr>
                <w:ilvl w:val="0"/>
                <w:numId w:val="0"/>
              </w:numPr>
              <w:pBdr>
                <w:top w:val="single" w:color="auto" w:sz="4" w:space="0"/>
                <w:left w:val="single" w:color="auto" w:sz="4" w:space="0"/>
                <w:bottom w:val="single" w:color="auto" w:sz="4" w:space="0"/>
                <w:right w:val="single" w:color="auto" w:sz="4" w:space="0"/>
                <w:between w:val="none" w:color="auto" w:sz="0" w:space="0"/>
              </w:pBdr>
              <w:jc w:val="center"/>
              <w:rPr>
                <w:rFonts w:hint="eastAsia" w:ascii="宋体" w:hAnsi="宋体" w:eastAsia="宋体" w:cs="宋体"/>
                <w:sz w:val="24"/>
                <w:szCs w:val="24"/>
              </w:rPr>
            </w:pPr>
            <w:r>
              <w:rPr>
                <w:rFonts w:hint="eastAsia" w:ascii="宋体" w:hAnsi="宋体" w:eastAsia="宋体" w:cs="宋体"/>
                <w:sz w:val="24"/>
                <w:szCs w:val="24"/>
              </w:rPr>
              <w:t>无</w:t>
            </w:r>
          </w:p>
        </w:tc>
        <w:tc>
          <w:tcPr>
            <w:tcW w:w="1587" w:type="dxa"/>
            <w:noWrap w:val="0"/>
            <w:vAlign w:val="center"/>
          </w:tcPr>
          <w:p>
            <w:pPr>
              <w:numPr>
                <w:ilvl w:val="0"/>
                <w:numId w:val="0"/>
              </w:numPr>
              <w:pBdr>
                <w:top w:val="single" w:color="auto" w:sz="4" w:space="0"/>
                <w:left w:val="single" w:color="auto" w:sz="4" w:space="0"/>
                <w:bottom w:val="single" w:color="auto" w:sz="4" w:space="0"/>
                <w:right w:val="single" w:color="auto" w:sz="4" w:space="0"/>
                <w:between w:val="none" w:color="auto" w:sz="0" w:space="0"/>
              </w:pBdr>
              <w:jc w:val="center"/>
              <w:rPr>
                <w:rFonts w:hint="eastAsia" w:ascii="宋体" w:hAnsi="宋体" w:eastAsia="宋体" w:cs="宋体"/>
                <w:sz w:val="24"/>
                <w:szCs w:val="24"/>
              </w:rPr>
            </w:pPr>
            <w:r>
              <w:rPr>
                <w:rFonts w:hint="eastAsia" w:ascii="宋体" w:hAnsi="宋体" w:eastAsia="宋体" w:cs="宋体"/>
                <w:sz w:val="24"/>
                <w:szCs w:val="24"/>
              </w:rPr>
              <w:t>无</w:t>
            </w:r>
          </w:p>
        </w:tc>
        <w:tc>
          <w:tcPr>
            <w:tcW w:w="1381" w:type="dxa"/>
            <w:noWrap w:val="0"/>
            <w:vAlign w:val="center"/>
          </w:tcPr>
          <w:p>
            <w:pPr>
              <w:numPr>
                <w:ilvl w:val="0"/>
                <w:numId w:val="0"/>
              </w:numPr>
              <w:pBdr>
                <w:top w:val="single" w:color="auto" w:sz="4" w:space="0"/>
                <w:left w:val="single" w:color="auto" w:sz="4" w:space="0"/>
                <w:bottom w:val="single" w:color="auto" w:sz="4" w:space="0"/>
                <w:right w:val="single" w:color="auto" w:sz="4" w:space="0"/>
                <w:between w:val="none" w:color="auto" w:sz="0" w:space="0"/>
              </w:pBdr>
              <w:jc w:val="center"/>
              <w:rPr>
                <w:rFonts w:hint="eastAsia" w:ascii="宋体" w:hAnsi="宋体" w:eastAsia="宋体" w:cs="宋体"/>
                <w:sz w:val="24"/>
                <w:szCs w:val="24"/>
              </w:rPr>
            </w:pPr>
            <w:r>
              <w:rPr>
                <w:rFonts w:hint="eastAsia" w:ascii="宋体" w:hAnsi="宋体" w:eastAsia="宋体" w:cs="宋体"/>
                <w:sz w:val="24"/>
                <w:szCs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2141" w:type="dxa"/>
            <w:noWrap w:val="0"/>
            <w:vAlign w:val="center"/>
          </w:tcPr>
          <w:p>
            <w:pPr>
              <w:numPr>
                <w:ilvl w:val="0"/>
                <w:numId w:val="0"/>
              </w:numPr>
              <w:pBdr>
                <w:top w:val="single" w:color="auto" w:sz="4" w:space="0"/>
                <w:left w:val="single" w:color="auto" w:sz="4" w:space="0"/>
                <w:bottom w:val="single" w:color="auto" w:sz="4" w:space="0"/>
                <w:right w:val="single" w:color="auto" w:sz="4" w:space="0"/>
                <w:between w:val="none" w:color="auto" w:sz="0" w:space="0"/>
              </w:pBdr>
              <w:jc w:val="center"/>
              <w:rPr>
                <w:rFonts w:hint="eastAsia" w:ascii="宋体" w:hAnsi="宋体" w:eastAsia="宋体" w:cs="宋体"/>
                <w:sz w:val="24"/>
                <w:szCs w:val="24"/>
              </w:rPr>
            </w:pPr>
            <w:r>
              <w:rPr>
                <w:rFonts w:hint="eastAsia" w:ascii="宋体" w:hAnsi="宋体" w:eastAsia="宋体" w:cs="宋体"/>
                <w:sz w:val="24"/>
                <w:szCs w:val="24"/>
              </w:rPr>
              <w:t>痰迹（处）</w:t>
            </w:r>
          </w:p>
        </w:tc>
        <w:tc>
          <w:tcPr>
            <w:tcW w:w="1771" w:type="dxa"/>
            <w:noWrap w:val="0"/>
            <w:vAlign w:val="center"/>
          </w:tcPr>
          <w:p>
            <w:pPr>
              <w:numPr>
                <w:ilvl w:val="0"/>
                <w:numId w:val="0"/>
              </w:numPr>
              <w:pBdr>
                <w:top w:val="single" w:color="auto" w:sz="4" w:space="0"/>
                <w:left w:val="single" w:color="auto" w:sz="4" w:space="0"/>
                <w:bottom w:val="single" w:color="auto" w:sz="4" w:space="0"/>
                <w:right w:val="single" w:color="auto" w:sz="4" w:space="0"/>
                <w:between w:val="none" w:color="auto" w:sz="0" w:space="0"/>
              </w:pBdr>
              <w:jc w:val="center"/>
              <w:rPr>
                <w:rFonts w:hint="eastAsia" w:ascii="宋体" w:hAnsi="宋体" w:eastAsia="宋体" w:cs="宋体"/>
                <w:sz w:val="24"/>
                <w:szCs w:val="24"/>
              </w:rPr>
            </w:pPr>
            <w:r>
              <w:rPr>
                <w:rFonts w:hint="eastAsia" w:ascii="宋体" w:hAnsi="宋体" w:eastAsia="宋体" w:cs="宋体"/>
                <w:sz w:val="24"/>
                <w:szCs w:val="24"/>
              </w:rPr>
              <w:t>无</w:t>
            </w:r>
          </w:p>
        </w:tc>
        <w:tc>
          <w:tcPr>
            <w:tcW w:w="1636" w:type="dxa"/>
            <w:noWrap w:val="0"/>
            <w:vAlign w:val="center"/>
          </w:tcPr>
          <w:p>
            <w:pPr>
              <w:numPr>
                <w:ilvl w:val="0"/>
                <w:numId w:val="0"/>
              </w:numPr>
              <w:pBdr>
                <w:top w:val="single" w:color="auto" w:sz="4" w:space="0"/>
                <w:left w:val="single" w:color="auto" w:sz="4" w:space="0"/>
                <w:bottom w:val="single" w:color="auto" w:sz="4" w:space="0"/>
                <w:right w:val="single" w:color="auto" w:sz="4" w:space="0"/>
                <w:between w:val="none" w:color="auto" w:sz="0" w:space="0"/>
              </w:pBdr>
              <w:jc w:val="center"/>
              <w:rPr>
                <w:rFonts w:hint="eastAsia" w:ascii="宋体" w:hAnsi="宋体" w:eastAsia="宋体" w:cs="宋体"/>
                <w:sz w:val="24"/>
                <w:szCs w:val="24"/>
              </w:rPr>
            </w:pPr>
            <w:r>
              <w:rPr>
                <w:rFonts w:hint="eastAsia" w:ascii="宋体" w:hAnsi="宋体" w:eastAsia="宋体" w:cs="宋体"/>
                <w:sz w:val="24"/>
                <w:szCs w:val="24"/>
              </w:rPr>
              <w:t>≤1</w:t>
            </w:r>
          </w:p>
        </w:tc>
        <w:tc>
          <w:tcPr>
            <w:tcW w:w="1587" w:type="dxa"/>
            <w:noWrap w:val="0"/>
            <w:vAlign w:val="center"/>
          </w:tcPr>
          <w:p>
            <w:pPr>
              <w:numPr>
                <w:ilvl w:val="0"/>
                <w:numId w:val="0"/>
              </w:numPr>
              <w:pBdr>
                <w:top w:val="single" w:color="auto" w:sz="4" w:space="0"/>
                <w:left w:val="single" w:color="auto" w:sz="4" w:space="0"/>
                <w:bottom w:val="single" w:color="auto" w:sz="4" w:space="0"/>
                <w:right w:val="single" w:color="auto" w:sz="4" w:space="0"/>
                <w:between w:val="none" w:color="auto" w:sz="0" w:space="0"/>
              </w:pBdr>
              <w:jc w:val="center"/>
              <w:rPr>
                <w:rFonts w:hint="eastAsia" w:ascii="宋体" w:hAnsi="宋体" w:eastAsia="宋体" w:cs="宋体"/>
                <w:sz w:val="24"/>
                <w:szCs w:val="24"/>
              </w:rPr>
            </w:pPr>
            <w:r>
              <w:rPr>
                <w:rFonts w:hint="eastAsia" w:ascii="宋体" w:hAnsi="宋体" w:eastAsia="宋体" w:cs="宋体"/>
                <w:sz w:val="24"/>
                <w:szCs w:val="24"/>
              </w:rPr>
              <w:t>≤2</w:t>
            </w:r>
          </w:p>
        </w:tc>
        <w:tc>
          <w:tcPr>
            <w:tcW w:w="1381" w:type="dxa"/>
            <w:noWrap w:val="0"/>
            <w:vAlign w:val="center"/>
          </w:tcPr>
          <w:p>
            <w:pPr>
              <w:numPr>
                <w:ilvl w:val="0"/>
                <w:numId w:val="0"/>
              </w:numPr>
              <w:pBdr>
                <w:top w:val="single" w:color="auto" w:sz="4" w:space="0"/>
                <w:left w:val="single" w:color="auto" w:sz="4" w:space="0"/>
                <w:bottom w:val="single" w:color="auto" w:sz="4" w:space="0"/>
                <w:right w:val="single" w:color="auto" w:sz="4" w:space="0"/>
                <w:between w:val="none" w:color="auto" w:sz="0" w:space="0"/>
              </w:pBdr>
              <w:jc w:val="center"/>
              <w:rPr>
                <w:rFonts w:hint="eastAsia" w:ascii="宋体" w:hAnsi="宋体" w:eastAsia="宋体" w:cs="宋体"/>
                <w:sz w:val="24"/>
                <w:szCs w:val="24"/>
              </w:rPr>
            </w:pPr>
            <w:r>
              <w:rPr>
                <w:rFonts w:hint="eastAsia" w:ascii="宋体" w:hAnsi="宋体" w:eastAsia="宋体" w:cs="宋体"/>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2141" w:type="dxa"/>
            <w:noWrap w:val="0"/>
            <w:vAlign w:val="center"/>
          </w:tcPr>
          <w:p>
            <w:pPr>
              <w:numPr>
                <w:ilvl w:val="0"/>
                <w:numId w:val="0"/>
              </w:numPr>
              <w:pBdr>
                <w:top w:val="single" w:color="auto" w:sz="4" w:space="0"/>
                <w:left w:val="single" w:color="auto" w:sz="4" w:space="0"/>
                <w:bottom w:val="single" w:color="auto" w:sz="4" w:space="0"/>
                <w:right w:val="single" w:color="auto" w:sz="4" w:space="0"/>
                <w:between w:val="none" w:color="auto" w:sz="0" w:space="0"/>
              </w:pBdr>
              <w:jc w:val="center"/>
              <w:rPr>
                <w:rFonts w:hint="eastAsia" w:ascii="宋体" w:hAnsi="宋体" w:eastAsia="宋体" w:cs="宋体"/>
                <w:sz w:val="24"/>
                <w:szCs w:val="24"/>
              </w:rPr>
            </w:pPr>
            <w:r>
              <w:rPr>
                <w:rFonts w:hint="eastAsia" w:ascii="宋体" w:hAnsi="宋体" w:eastAsia="宋体" w:cs="宋体"/>
                <w:sz w:val="24"/>
                <w:szCs w:val="24"/>
              </w:rPr>
              <w:t>积灰</w:t>
            </w:r>
          </w:p>
        </w:tc>
        <w:tc>
          <w:tcPr>
            <w:tcW w:w="1771" w:type="dxa"/>
            <w:noWrap w:val="0"/>
            <w:vAlign w:val="center"/>
          </w:tcPr>
          <w:p>
            <w:pPr>
              <w:numPr>
                <w:ilvl w:val="0"/>
                <w:numId w:val="0"/>
              </w:numPr>
              <w:pBdr>
                <w:top w:val="single" w:color="auto" w:sz="4" w:space="0"/>
                <w:left w:val="single" w:color="auto" w:sz="4" w:space="0"/>
                <w:bottom w:val="single" w:color="auto" w:sz="4" w:space="0"/>
                <w:right w:val="single" w:color="auto" w:sz="4" w:space="0"/>
                <w:between w:val="none" w:color="auto" w:sz="0" w:space="0"/>
              </w:pBdr>
              <w:jc w:val="center"/>
              <w:rPr>
                <w:rFonts w:hint="eastAsia" w:ascii="宋体" w:hAnsi="宋体" w:eastAsia="宋体" w:cs="宋体"/>
                <w:sz w:val="24"/>
                <w:szCs w:val="24"/>
              </w:rPr>
            </w:pPr>
            <w:r>
              <w:rPr>
                <w:rFonts w:hint="eastAsia" w:ascii="宋体" w:hAnsi="宋体" w:eastAsia="宋体" w:cs="宋体"/>
                <w:sz w:val="24"/>
                <w:szCs w:val="24"/>
              </w:rPr>
              <w:t>无</w:t>
            </w:r>
          </w:p>
        </w:tc>
        <w:tc>
          <w:tcPr>
            <w:tcW w:w="1636" w:type="dxa"/>
            <w:noWrap w:val="0"/>
            <w:vAlign w:val="center"/>
          </w:tcPr>
          <w:p>
            <w:pPr>
              <w:numPr>
                <w:ilvl w:val="0"/>
                <w:numId w:val="0"/>
              </w:numPr>
              <w:pBdr>
                <w:top w:val="single" w:color="auto" w:sz="4" w:space="0"/>
                <w:left w:val="single" w:color="auto" w:sz="4" w:space="0"/>
                <w:bottom w:val="single" w:color="auto" w:sz="4" w:space="0"/>
                <w:right w:val="single" w:color="auto" w:sz="4" w:space="0"/>
                <w:between w:val="none" w:color="auto" w:sz="0" w:space="0"/>
              </w:pBdr>
              <w:jc w:val="center"/>
              <w:rPr>
                <w:rFonts w:hint="eastAsia" w:ascii="宋体" w:hAnsi="宋体" w:eastAsia="宋体" w:cs="宋体"/>
                <w:sz w:val="24"/>
                <w:szCs w:val="24"/>
              </w:rPr>
            </w:pPr>
            <w:r>
              <w:rPr>
                <w:rFonts w:hint="eastAsia" w:ascii="宋体" w:hAnsi="宋体" w:eastAsia="宋体" w:cs="宋体"/>
                <w:sz w:val="24"/>
                <w:szCs w:val="24"/>
              </w:rPr>
              <w:t>无</w:t>
            </w:r>
          </w:p>
        </w:tc>
        <w:tc>
          <w:tcPr>
            <w:tcW w:w="1587" w:type="dxa"/>
            <w:noWrap w:val="0"/>
            <w:vAlign w:val="center"/>
          </w:tcPr>
          <w:p>
            <w:pPr>
              <w:numPr>
                <w:ilvl w:val="0"/>
                <w:numId w:val="0"/>
              </w:numPr>
              <w:pBdr>
                <w:top w:val="single" w:color="auto" w:sz="4" w:space="0"/>
                <w:left w:val="single" w:color="auto" w:sz="4" w:space="0"/>
                <w:bottom w:val="single" w:color="auto" w:sz="4" w:space="0"/>
                <w:right w:val="single" w:color="auto" w:sz="4" w:space="0"/>
                <w:between w:val="none" w:color="auto" w:sz="0" w:space="0"/>
              </w:pBdr>
              <w:jc w:val="center"/>
              <w:rPr>
                <w:rFonts w:hint="eastAsia" w:ascii="宋体" w:hAnsi="宋体" w:eastAsia="宋体" w:cs="宋体"/>
                <w:sz w:val="24"/>
                <w:szCs w:val="24"/>
              </w:rPr>
            </w:pPr>
            <w:r>
              <w:rPr>
                <w:rFonts w:hint="eastAsia" w:ascii="宋体" w:hAnsi="宋体" w:eastAsia="宋体" w:cs="宋体"/>
                <w:sz w:val="24"/>
                <w:szCs w:val="24"/>
              </w:rPr>
              <w:t>微</w:t>
            </w:r>
          </w:p>
        </w:tc>
        <w:tc>
          <w:tcPr>
            <w:tcW w:w="1381" w:type="dxa"/>
            <w:noWrap w:val="0"/>
            <w:vAlign w:val="center"/>
          </w:tcPr>
          <w:p>
            <w:pPr>
              <w:numPr>
                <w:ilvl w:val="0"/>
                <w:numId w:val="0"/>
              </w:numPr>
              <w:pBdr>
                <w:top w:val="single" w:color="auto" w:sz="4" w:space="0"/>
                <w:left w:val="single" w:color="auto" w:sz="4" w:space="0"/>
                <w:bottom w:val="single" w:color="auto" w:sz="4" w:space="0"/>
                <w:right w:val="single" w:color="auto" w:sz="4" w:space="0"/>
                <w:between w:val="none" w:color="auto" w:sz="0" w:space="0"/>
              </w:pBdr>
              <w:jc w:val="center"/>
              <w:rPr>
                <w:rFonts w:hint="eastAsia" w:ascii="宋体" w:hAnsi="宋体" w:eastAsia="宋体" w:cs="宋体"/>
                <w:sz w:val="24"/>
                <w:szCs w:val="24"/>
              </w:rPr>
            </w:pPr>
            <w:r>
              <w:rPr>
                <w:rFonts w:hint="eastAsia" w:ascii="宋体" w:hAnsi="宋体" w:eastAsia="宋体" w:cs="宋体"/>
                <w:sz w:val="24"/>
                <w:szCs w:val="24"/>
              </w:rPr>
              <w:t>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2141" w:type="dxa"/>
            <w:noWrap w:val="0"/>
            <w:vAlign w:val="center"/>
          </w:tcPr>
          <w:p>
            <w:pPr>
              <w:numPr>
                <w:ilvl w:val="0"/>
                <w:numId w:val="0"/>
              </w:numPr>
              <w:pBdr>
                <w:top w:val="single" w:color="auto" w:sz="4" w:space="0"/>
                <w:left w:val="single" w:color="auto" w:sz="4" w:space="0"/>
                <w:bottom w:val="single" w:color="auto" w:sz="4" w:space="0"/>
                <w:right w:val="single" w:color="auto" w:sz="4" w:space="0"/>
                <w:between w:val="none" w:color="auto" w:sz="0" w:space="0"/>
              </w:pBdr>
              <w:jc w:val="center"/>
              <w:rPr>
                <w:rFonts w:hint="eastAsia" w:ascii="宋体" w:hAnsi="宋体" w:eastAsia="宋体" w:cs="宋体"/>
                <w:sz w:val="24"/>
                <w:szCs w:val="24"/>
              </w:rPr>
            </w:pPr>
            <w:r>
              <w:rPr>
                <w:rFonts w:hint="eastAsia" w:ascii="宋体" w:hAnsi="宋体" w:eastAsia="宋体" w:cs="宋体"/>
                <w:sz w:val="24"/>
                <w:szCs w:val="24"/>
              </w:rPr>
              <w:t>臭味（级）</w:t>
            </w:r>
          </w:p>
        </w:tc>
        <w:tc>
          <w:tcPr>
            <w:tcW w:w="1771" w:type="dxa"/>
            <w:noWrap w:val="0"/>
            <w:vAlign w:val="center"/>
          </w:tcPr>
          <w:p>
            <w:pPr>
              <w:numPr>
                <w:ilvl w:val="0"/>
                <w:numId w:val="0"/>
              </w:numPr>
              <w:pBdr>
                <w:top w:val="single" w:color="auto" w:sz="4" w:space="0"/>
                <w:left w:val="single" w:color="auto" w:sz="4" w:space="0"/>
                <w:bottom w:val="single" w:color="auto" w:sz="4" w:space="0"/>
                <w:right w:val="single" w:color="auto" w:sz="4" w:space="0"/>
                <w:between w:val="none" w:color="auto" w:sz="0" w:space="0"/>
              </w:pBdr>
              <w:jc w:val="center"/>
              <w:rPr>
                <w:rFonts w:hint="eastAsia" w:ascii="宋体" w:hAnsi="宋体" w:eastAsia="宋体" w:cs="宋体"/>
                <w:sz w:val="24"/>
                <w:szCs w:val="24"/>
              </w:rPr>
            </w:pPr>
            <w:r>
              <w:rPr>
                <w:rFonts w:hint="eastAsia" w:ascii="宋体" w:hAnsi="宋体" w:eastAsia="宋体" w:cs="宋体"/>
                <w:sz w:val="24"/>
                <w:szCs w:val="24"/>
              </w:rPr>
              <w:t>≤0</w:t>
            </w:r>
          </w:p>
        </w:tc>
        <w:tc>
          <w:tcPr>
            <w:tcW w:w="1636" w:type="dxa"/>
            <w:noWrap w:val="0"/>
            <w:vAlign w:val="center"/>
          </w:tcPr>
          <w:p>
            <w:pPr>
              <w:numPr>
                <w:ilvl w:val="0"/>
                <w:numId w:val="0"/>
              </w:numPr>
              <w:pBdr>
                <w:top w:val="single" w:color="auto" w:sz="4" w:space="0"/>
                <w:left w:val="single" w:color="auto" w:sz="4" w:space="0"/>
                <w:bottom w:val="single" w:color="auto" w:sz="4" w:space="0"/>
                <w:right w:val="single" w:color="auto" w:sz="4" w:space="0"/>
                <w:between w:val="none" w:color="auto" w:sz="0" w:space="0"/>
              </w:pBdr>
              <w:jc w:val="center"/>
              <w:rPr>
                <w:rFonts w:hint="eastAsia" w:ascii="宋体" w:hAnsi="宋体" w:eastAsia="宋体" w:cs="宋体"/>
                <w:sz w:val="24"/>
                <w:szCs w:val="24"/>
              </w:rPr>
            </w:pPr>
            <w:r>
              <w:rPr>
                <w:rFonts w:hint="eastAsia" w:ascii="宋体" w:hAnsi="宋体" w:eastAsia="宋体" w:cs="宋体"/>
                <w:sz w:val="24"/>
                <w:szCs w:val="24"/>
              </w:rPr>
              <w:t>≤1</w:t>
            </w:r>
          </w:p>
        </w:tc>
        <w:tc>
          <w:tcPr>
            <w:tcW w:w="1587" w:type="dxa"/>
            <w:noWrap w:val="0"/>
            <w:vAlign w:val="center"/>
          </w:tcPr>
          <w:p>
            <w:pPr>
              <w:numPr>
                <w:ilvl w:val="0"/>
                <w:numId w:val="0"/>
              </w:numPr>
              <w:pBdr>
                <w:top w:val="single" w:color="auto" w:sz="4" w:space="0"/>
                <w:left w:val="single" w:color="auto" w:sz="4" w:space="0"/>
                <w:bottom w:val="single" w:color="auto" w:sz="4" w:space="0"/>
                <w:right w:val="single" w:color="auto" w:sz="4" w:space="0"/>
                <w:between w:val="none" w:color="auto" w:sz="0" w:space="0"/>
              </w:pBdr>
              <w:jc w:val="center"/>
              <w:rPr>
                <w:rFonts w:hint="eastAsia" w:ascii="宋体" w:hAnsi="宋体" w:eastAsia="宋体" w:cs="宋体"/>
                <w:sz w:val="24"/>
                <w:szCs w:val="24"/>
              </w:rPr>
            </w:pPr>
            <w:r>
              <w:rPr>
                <w:rFonts w:hint="eastAsia" w:ascii="宋体" w:hAnsi="宋体" w:eastAsia="宋体" w:cs="宋体"/>
                <w:sz w:val="24"/>
                <w:szCs w:val="24"/>
              </w:rPr>
              <w:t>≤2</w:t>
            </w:r>
          </w:p>
        </w:tc>
        <w:tc>
          <w:tcPr>
            <w:tcW w:w="1381" w:type="dxa"/>
            <w:noWrap w:val="0"/>
            <w:vAlign w:val="center"/>
          </w:tcPr>
          <w:p>
            <w:pPr>
              <w:numPr>
                <w:ilvl w:val="0"/>
                <w:numId w:val="0"/>
              </w:numPr>
              <w:pBdr>
                <w:top w:val="single" w:color="auto" w:sz="4" w:space="0"/>
                <w:left w:val="single" w:color="auto" w:sz="4" w:space="0"/>
                <w:bottom w:val="single" w:color="auto" w:sz="4" w:space="0"/>
                <w:right w:val="single" w:color="auto" w:sz="4" w:space="0"/>
                <w:between w:val="none" w:color="auto" w:sz="0" w:space="0"/>
              </w:pBdr>
              <w:jc w:val="center"/>
              <w:rPr>
                <w:rFonts w:hint="eastAsia" w:ascii="宋体" w:hAnsi="宋体" w:eastAsia="宋体" w:cs="宋体"/>
                <w:sz w:val="24"/>
                <w:szCs w:val="24"/>
              </w:rPr>
            </w:pPr>
            <w:r>
              <w:rPr>
                <w:rFonts w:hint="eastAsia" w:ascii="宋体" w:hAnsi="宋体" w:eastAsia="宋体" w:cs="宋体"/>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4" w:hRule="atLeast"/>
        </w:trPr>
        <w:tc>
          <w:tcPr>
            <w:tcW w:w="2141" w:type="dxa"/>
            <w:noWrap w:val="0"/>
            <w:vAlign w:val="center"/>
          </w:tcPr>
          <w:p>
            <w:pPr>
              <w:numPr>
                <w:ilvl w:val="0"/>
                <w:numId w:val="0"/>
              </w:numPr>
              <w:pBdr>
                <w:top w:val="single" w:color="auto" w:sz="4" w:space="0"/>
                <w:left w:val="single" w:color="auto" w:sz="4" w:space="0"/>
                <w:bottom w:val="single" w:color="auto" w:sz="4" w:space="0"/>
                <w:right w:val="single" w:color="auto" w:sz="4" w:space="0"/>
                <w:between w:val="none" w:color="auto" w:sz="0" w:space="0"/>
              </w:pBdr>
              <w:jc w:val="center"/>
              <w:rPr>
                <w:rFonts w:hint="eastAsia" w:ascii="宋体" w:hAnsi="宋体" w:eastAsia="宋体" w:cs="宋体"/>
                <w:sz w:val="24"/>
                <w:szCs w:val="24"/>
              </w:rPr>
            </w:pPr>
            <w:r>
              <w:rPr>
                <w:rFonts w:hint="eastAsia" w:ascii="宋体" w:hAnsi="宋体" w:eastAsia="宋体" w:cs="宋体"/>
                <w:sz w:val="24"/>
                <w:szCs w:val="24"/>
              </w:rPr>
              <w:t>蛛网</w:t>
            </w:r>
          </w:p>
        </w:tc>
        <w:tc>
          <w:tcPr>
            <w:tcW w:w="1771" w:type="dxa"/>
            <w:noWrap w:val="0"/>
            <w:vAlign w:val="center"/>
          </w:tcPr>
          <w:p>
            <w:pPr>
              <w:numPr>
                <w:ilvl w:val="0"/>
                <w:numId w:val="0"/>
              </w:numPr>
              <w:pBdr>
                <w:top w:val="single" w:color="auto" w:sz="4" w:space="0"/>
                <w:left w:val="single" w:color="auto" w:sz="4" w:space="0"/>
                <w:bottom w:val="single" w:color="auto" w:sz="4" w:space="0"/>
                <w:right w:val="single" w:color="auto" w:sz="4" w:space="0"/>
                <w:between w:val="none" w:color="auto" w:sz="0" w:space="0"/>
              </w:pBdr>
              <w:jc w:val="center"/>
              <w:rPr>
                <w:rFonts w:hint="eastAsia" w:ascii="宋体" w:hAnsi="宋体" w:eastAsia="宋体" w:cs="宋体"/>
                <w:sz w:val="24"/>
                <w:szCs w:val="24"/>
              </w:rPr>
            </w:pPr>
            <w:r>
              <w:rPr>
                <w:rFonts w:hint="eastAsia" w:ascii="宋体" w:hAnsi="宋体" w:eastAsia="宋体" w:cs="宋体"/>
                <w:sz w:val="24"/>
                <w:szCs w:val="24"/>
              </w:rPr>
              <w:t>无</w:t>
            </w:r>
          </w:p>
        </w:tc>
        <w:tc>
          <w:tcPr>
            <w:tcW w:w="1636" w:type="dxa"/>
            <w:noWrap w:val="0"/>
            <w:vAlign w:val="center"/>
          </w:tcPr>
          <w:p>
            <w:pPr>
              <w:numPr>
                <w:ilvl w:val="0"/>
                <w:numId w:val="0"/>
              </w:numPr>
              <w:pBdr>
                <w:top w:val="single" w:color="auto" w:sz="4" w:space="0"/>
                <w:left w:val="single" w:color="auto" w:sz="4" w:space="0"/>
                <w:bottom w:val="single" w:color="auto" w:sz="4" w:space="0"/>
                <w:right w:val="single" w:color="auto" w:sz="4" w:space="0"/>
                <w:between w:val="none" w:color="auto" w:sz="0" w:space="0"/>
              </w:pBdr>
              <w:jc w:val="center"/>
              <w:rPr>
                <w:rFonts w:hint="eastAsia" w:ascii="宋体" w:hAnsi="宋体" w:eastAsia="宋体" w:cs="宋体"/>
                <w:sz w:val="24"/>
                <w:szCs w:val="24"/>
              </w:rPr>
            </w:pPr>
            <w:r>
              <w:rPr>
                <w:rFonts w:hint="eastAsia" w:ascii="宋体" w:hAnsi="宋体" w:eastAsia="宋体" w:cs="宋体"/>
                <w:sz w:val="24"/>
                <w:szCs w:val="24"/>
              </w:rPr>
              <w:t>无</w:t>
            </w:r>
          </w:p>
        </w:tc>
        <w:tc>
          <w:tcPr>
            <w:tcW w:w="1587" w:type="dxa"/>
            <w:noWrap w:val="0"/>
            <w:vAlign w:val="center"/>
          </w:tcPr>
          <w:p>
            <w:pPr>
              <w:numPr>
                <w:ilvl w:val="0"/>
                <w:numId w:val="0"/>
              </w:numPr>
              <w:pBdr>
                <w:top w:val="single" w:color="auto" w:sz="4" w:space="0"/>
                <w:left w:val="single" w:color="auto" w:sz="4" w:space="0"/>
                <w:bottom w:val="single" w:color="auto" w:sz="4" w:space="0"/>
                <w:right w:val="single" w:color="auto" w:sz="4" w:space="0"/>
                <w:between w:val="none" w:color="auto" w:sz="0" w:space="0"/>
              </w:pBdr>
              <w:jc w:val="center"/>
              <w:rPr>
                <w:rFonts w:hint="eastAsia" w:ascii="宋体" w:hAnsi="宋体" w:eastAsia="宋体" w:cs="宋体"/>
                <w:sz w:val="24"/>
                <w:szCs w:val="24"/>
              </w:rPr>
            </w:pPr>
            <w:r>
              <w:rPr>
                <w:rFonts w:hint="eastAsia" w:ascii="宋体" w:hAnsi="宋体" w:eastAsia="宋体" w:cs="宋体"/>
                <w:sz w:val="24"/>
                <w:szCs w:val="24"/>
              </w:rPr>
              <w:t>无</w:t>
            </w:r>
          </w:p>
        </w:tc>
        <w:tc>
          <w:tcPr>
            <w:tcW w:w="1381" w:type="dxa"/>
            <w:noWrap w:val="0"/>
            <w:vAlign w:val="center"/>
          </w:tcPr>
          <w:p>
            <w:pPr>
              <w:numPr>
                <w:ilvl w:val="0"/>
                <w:numId w:val="0"/>
              </w:numPr>
              <w:pBdr>
                <w:top w:val="single" w:color="auto" w:sz="4" w:space="0"/>
                <w:left w:val="single" w:color="auto" w:sz="4" w:space="0"/>
                <w:bottom w:val="single" w:color="auto" w:sz="4" w:space="0"/>
                <w:right w:val="single" w:color="auto" w:sz="4" w:space="0"/>
                <w:between w:val="none" w:color="auto" w:sz="0" w:space="0"/>
              </w:pBdr>
              <w:jc w:val="center"/>
              <w:rPr>
                <w:rFonts w:hint="eastAsia" w:ascii="宋体" w:hAnsi="宋体" w:eastAsia="宋体" w:cs="宋体"/>
                <w:sz w:val="24"/>
                <w:szCs w:val="24"/>
              </w:rPr>
            </w:pPr>
            <w:r>
              <w:rPr>
                <w:rFonts w:hint="eastAsia" w:ascii="宋体" w:hAnsi="宋体" w:eastAsia="宋体" w:cs="宋体"/>
                <w:sz w:val="24"/>
                <w:szCs w:val="24"/>
              </w:rPr>
              <w:t>无</w:t>
            </w:r>
          </w:p>
        </w:tc>
      </w:tr>
    </w:tbl>
    <w:p>
      <w:pPr>
        <w:keepNext w:val="0"/>
        <w:keepLines w:val="0"/>
        <w:pageBreakBefore w:val="0"/>
        <w:widowControl w:val="0"/>
        <w:numPr>
          <w:ilvl w:val="0"/>
          <w:numId w:val="0"/>
        </w:numPr>
        <w:pBdr>
          <w:top w:val="single" w:color="auto" w:sz="4" w:space="0"/>
          <w:left w:val="single" w:color="auto" w:sz="4" w:space="0"/>
          <w:bottom w:val="single" w:color="auto" w:sz="4" w:space="0"/>
          <w:right w:val="single" w:color="auto" w:sz="4" w:space="0"/>
          <w:between w:val="none" w:color="auto" w:sz="0" w:space="0"/>
        </w:pBdr>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10.定期清理公共厕所化粪池粪便，造成粪便溢满的，每次扣0.5分。</w:t>
      </w:r>
    </w:p>
    <w:p>
      <w:pPr>
        <w:keepNext w:val="0"/>
        <w:keepLines w:val="0"/>
        <w:pageBreakBefore w:val="0"/>
        <w:widowControl w:val="0"/>
        <w:numPr>
          <w:ilvl w:val="0"/>
          <w:numId w:val="0"/>
        </w:numPr>
        <w:pBdr>
          <w:top w:val="single" w:color="auto" w:sz="4" w:space="0"/>
          <w:left w:val="single" w:color="auto" w:sz="4" w:space="0"/>
          <w:bottom w:val="single" w:color="auto" w:sz="4" w:space="0"/>
          <w:right w:val="single" w:color="auto" w:sz="4" w:space="0"/>
          <w:between w:val="none" w:color="auto" w:sz="0" w:space="0"/>
        </w:pBdr>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11.收集和运输容器应密阔性好，无滴漏。收运粪便时，容器应加盖密闭。每一不合格项扣0.2分。</w:t>
      </w:r>
    </w:p>
    <w:p>
      <w:pPr>
        <w:keepNext w:val="0"/>
        <w:keepLines w:val="0"/>
        <w:pageBreakBefore w:val="0"/>
        <w:widowControl w:val="0"/>
        <w:numPr>
          <w:ilvl w:val="0"/>
          <w:numId w:val="0"/>
        </w:numPr>
        <w:pBdr>
          <w:top w:val="single" w:color="auto" w:sz="4" w:space="0"/>
          <w:left w:val="single" w:color="auto" w:sz="4" w:space="0"/>
          <w:bottom w:val="single" w:color="auto" w:sz="4" w:space="0"/>
          <w:right w:val="single" w:color="auto" w:sz="4" w:space="0"/>
          <w:between w:val="none" w:color="auto" w:sz="0" w:space="0"/>
        </w:pBdr>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12.清理公共厕所化粪池时应保持作业场地清洁卫生，无遗撒粪便，作业结束后，应盖严类口，并及时清理场地，清洗清疏工具，运输过程中无滴漏、撒落。每一不合格项扣0.1分。</w:t>
      </w:r>
    </w:p>
    <w:p>
      <w:pPr>
        <w:keepNext w:val="0"/>
        <w:keepLines w:val="0"/>
        <w:pageBreakBefore w:val="0"/>
        <w:widowControl w:val="0"/>
        <w:numPr>
          <w:ilvl w:val="0"/>
          <w:numId w:val="0"/>
        </w:numPr>
        <w:pBdr>
          <w:top w:val="single" w:color="auto" w:sz="4" w:space="0"/>
          <w:left w:val="single" w:color="auto" w:sz="4" w:space="0"/>
          <w:bottom w:val="single" w:color="auto" w:sz="4" w:space="0"/>
          <w:right w:val="single" w:color="auto" w:sz="4" w:space="0"/>
          <w:between w:val="none" w:color="auto" w:sz="0" w:space="0"/>
        </w:pBdr>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13.装载容器和车辆应完好、整洁，车体无粪迹污物，放粪闸阀、进粪口应严实，并有防滴漏措施；装载应适量，无外溢；运输过程中应无滴漏、洒落，车走后场地应清理干净；不合格项，每台次扣0.2分。</w:t>
      </w:r>
    </w:p>
    <w:p>
      <w:pPr>
        <w:keepNext w:val="0"/>
        <w:keepLines w:val="0"/>
        <w:pageBreakBefore w:val="0"/>
        <w:widowControl w:val="0"/>
        <w:numPr>
          <w:ilvl w:val="0"/>
          <w:numId w:val="0"/>
        </w:numPr>
        <w:pBdr>
          <w:top w:val="single" w:color="auto" w:sz="4" w:space="0"/>
          <w:left w:val="single" w:color="auto" w:sz="4" w:space="0"/>
          <w:bottom w:val="single" w:color="auto" w:sz="4" w:space="0"/>
          <w:right w:val="single" w:color="auto" w:sz="4" w:space="0"/>
          <w:between w:val="none" w:color="auto" w:sz="0" w:space="0"/>
        </w:pBdr>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14.不按规定场地倾倒粪便的，每台次扣0.2分。</w:t>
      </w:r>
    </w:p>
    <w:p>
      <w:pPr>
        <w:keepNext w:val="0"/>
        <w:keepLines w:val="0"/>
        <w:pageBreakBefore w:val="0"/>
        <w:widowControl w:val="0"/>
        <w:numPr>
          <w:ilvl w:val="0"/>
          <w:numId w:val="0"/>
        </w:numPr>
        <w:pBdr>
          <w:top w:val="single" w:color="auto" w:sz="4" w:space="0"/>
          <w:left w:val="single" w:color="auto" w:sz="4" w:space="0"/>
          <w:bottom w:val="single" w:color="auto" w:sz="4" w:space="0"/>
          <w:right w:val="single" w:color="auto" w:sz="4" w:space="0"/>
          <w:between w:val="none" w:color="auto" w:sz="0" w:space="0"/>
        </w:pBdr>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15.运输作业结束后，装载的粪便，应及时卸清，不得将粪便长时间存留在车内。不及时清洗车辆和辅助设施，留有粪迹污物的，每台次扣0.2分。</w:t>
      </w:r>
    </w:p>
    <w:p>
      <w:pPr>
        <w:keepNext w:val="0"/>
        <w:keepLines w:val="0"/>
        <w:pageBreakBefore w:val="0"/>
        <w:widowControl w:val="0"/>
        <w:numPr>
          <w:ilvl w:val="0"/>
          <w:numId w:val="0"/>
        </w:numPr>
        <w:pBdr>
          <w:top w:val="single" w:color="auto" w:sz="4" w:space="0"/>
          <w:left w:val="single" w:color="auto" w:sz="4" w:space="0"/>
          <w:bottom w:val="single" w:color="auto" w:sz="4" w:space="0"/>
          <w:right w:val="single" w:color="auto" w:sz="4" w:space="0"/>
          <w:between w:val="none" w:color="auto" w:sz="0" w:space="0"/>
        </w:pBdr>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16.对检查发现的卫生问题、新闻媒体曝光问题、市民投诉问题等，在第一次限期内得到解决的，扣与此问题对应的分；第二次限期内整改的，扣2倍分；第三次整改的，扣三倍的分。</w:t>
      </w:r>
    </w:p>
    <w:p>
      <w:pPr>
        <w:keepNext w:val="0"/>
        <w:keepLines w:val="0"/>
        <w:pageBreakBefore w:val="0"/>
        <w:widowControl w:val="0"/>
        <w:numPr>
          <w:ilvl w:val="0"/>
          <w:numId w:val="0"/>
        </w:numPr>
        <w:pBdr>
          <w:top w:val="single" w:color="auto" w:sz="4" w:space="0"/>
          <w:left w:val="single" w:color="auto" w:sz="4" w:space="0"/>
          <w:bottom w:val="single" w:color="auto" w:sz="4" w:space="0"/>
          <w:right w:val="single" w:color="auto" w:sz="4" w:space="0"/>
          <w:between w:val="none" w:color="auto" w:sz="0" w:space="0"/>
        </w:pBdr>
        <w:kinsoku/>
        <w:wordWrap/>
        <w:overflowPunct/>
        <w:topLinePunct w:val="0"/>
        <w:autoSpaceDE/>
        <w:autoSpaceDN/>
        <w:bidi w:val="0"/>
        <w:adjustRightInd/>
        <w:snapToGrid/>
        <w:spacing w:line="460" w:lineRule="exact"/>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（六）大件垃圾、有机物处置、“牛皮廯”清理管理量化考核评分标准（100分）</w:t>
      </w:r>
    </w:p>
    <w:p>
      <w:pPr>
        <w:keepNext w:val="0"/>
        <w:keepLines w:val="0"/>
        <w:pageBreakBefore w:val="0"/>
        <w:widowControl w:val="0"/>
        <w:numPr>
          <w:ilvl w:val="0"/>
          <w:numId w:val="0"/>
        </w:numPr>
        <w:pBdr>
          <w:top w:val="single" w:color="auto" w:sz="4" w:space="0"/>
          <w:left w:val="single" w:color="auto" w:sz="4" w:space="0"/>
          <w:bottom w:val="single" w:color="auto" w:sz="4" w:space="0"/>
          <w:right w:val="single" w:color="auto" w:sz="4" w:space="0"/>
          <w:between w:val="none" w:color="auto" w:sz="0" w:space="0"/>
        </w:pBdr>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1.有机物处置管理量化考核评分标准</w:t>
      </w:r>
    </w:p>
    <w:p>
      <w:pPr>
        <w:keepNext w:val="0"/>
        <w:keepLines w:val="0"/>
        <w:pageBreakBefore w:val="0"/>
        <w:widowControl w:val="0"/>
        <w:numPr>
          <w:ilvl w:val="0"/>
          <w:numId w:val="0"/>
        </w:numPr>
        <w:pBdr>
          <w:top w:val="single" w:color="auto" w:sz="4" w:space="0"/>
          <w:left w:val="single" w:color="auto" w:sz="4" w:space="0"/>
          <w:bottom w:val="single" w:color="auto" w:sz="4" w:space="0"/>
          <w:right w:val="single" w:color="auto" w:sz="4" w:space="0"/>
          <w:between w:val="none" w:color="auto" w:sz="0" w:space="0"/>
        </w:pBdr>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（1）作业过程专业规范，处理及时、运输封闭、无遗撤、无残留，违反本条扣0.2分。</w:t>
      </w:r>
    </w:p>
    <w:p>
      <w:pPr>
        <w:keepNext w:val="0"/>
        <w:keepLines w:val="0"/>
        <w:pageBreakBefore w:val="0"/>
        <w:widowControl w:val="0"/>
        <w:numPr>
          <w:ilvl w:val="0"/>
          <w:numId w:val="0"/>
        </w:numPr>
        <w:pBdr>
          <w:top w:val="single" w:color="auto" w:sz="4" w:space="0"/>
          <w:left w:val="single" w:color="auto" w:sz="4" w:space="0"/>
          <w:bottom w:val="single" w:color="auto" w:sz="4" w:space="0"/>
          <w:right w:val="single" w:color="auto" w:sz="4" w:space="0"/>
          <w:between w:val="none" w:color="auto" w:sz="0" w:space="0"/>
        </w:pBdr>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（2）日常工作规范达标、职责分工明确，违反本条扣0.2分。</w:t>
      </w:r>
    </w:p>
    <w:p>
      <w:pPr>
        <w:keepNext w:val="0"/>
        <w:keepLines w:val="0"/>
        <w:pageBreakBefore w:val="0"/>
        <w:widowControl w:val="0"/>
        <w:numPr>
          <w:ilvl w:val="0"/>
          <w:numId w:val="0"/>
        </w:numPr>
        <w:pBdr>
          <w:top w:val="single" w:color="auto" w:sz="4" w:space="0"/>
          <w:left w:val="single" w:color="auto" w:sz="4" w:space="0"/>
          <w:bottom w:val="single" w:color="auto" w:sz="4" w:space="0"/>
          <w:right w:val="single" w:color="auto" w:sz="4" w:space="0"/>
          <w:between w:val="none" w:color="auto" w:sz="0" w:space="0"/>
        </w:pBdr>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（3）作业车辆管理规范、外表整洁、车况良好；遵守交规、文明行车；定期年检、年审，违反本条扣0.4分。</w:t>
      </w:r>
    </w:p>
    <w:p>
      <w:pPr>
        <w:keepNext w:val="0"/>
        <w:keepLines w:val="0"/>
        <w:pageBreakBefore w:val="0"/>
        <w:widowControl w:val="0"/>
        <w:numPr>
          <w:ilvl w:val="0"/>
          <w:numId w:val="0"/>
        </w:numPr>
        <w:pBdr>
          <w:top w:val="single" w:color="auto" w:sz="4" w:space="0"/>
          <w:left w:val="single" w:color="auto" w:sz="4" w:space="0"/>
          <w:bottom w:val="single" w:color="auto" w:sz="4" w:space="0"/>
          <w:right w:val="single" w:color="auto" w:sz="4" w:space="0"/>
          <w:between w:val="none" w:color="auto" w:sz="0" w:space="0"/>
        </w:pBdr>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（4）作业车辆密封作业、无遗撒、无滴漏、无残留，保质保量完成工作，违反本条扣0.2分。</w:t>
      </w:r>
    </w:p>
    <w:p>
      <w:pPr>
        <w:keepNext w:val="0"/>
        <w:keepLines w:val="0"/>
        <w:pageBreakBefore w:val="0"/>
        <w:widowControl w:val="0"/>
        <w:numPr>
          <w:ilvl w:val="0"/>
          <w:numId w:val="0"/>
        </w:numPr>
        <w:pBdr>
          <w:top w:val="single" w:color="auto" w:sz="4" w:space="0"/>
          <w:left w:val="single" w:color="auto" w:sz="4" w:space="0"/>
          <w:bottom w:val="single" w:color="auto" w:sz="4" w:space="0"/>
          <w:right w:val="single" w:color="auto" w:sz="4" w:space="0"/>
          <w:between w:val="none" w:color="auto" w:sz="0" w:space="0"/>
        </w:pBdr>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（5）对检查发现的卫生问题、新闻媒体曝光问题、市民投诉问题等，在第一次限期内得到解决的，扣与此问题对应的分；第二次限期内整改的，扣2倍分；第三次整改的，扣三倍的分。</w:t>
      </w:r>
    </w:p>
    <w:p>
      <w:pPr>
        <w:keepNext w:val="0"/>
        <w:keepLines w:val="0"/>
        <w:pageBreakBefore w:val="0"/>
        <w:widowControl w:val="0"/>
        <w:numPr>
          <w:ilvl w:val="0"/>
          <w:numId w:val="0"/>
        </w:numPr>
        <w:pBdr>
          <w:top w:val="single" w:color="auto" w:sz="4" w:space="0"/>
          <w:left w:val="single" w:color="auto" w:sz="4" w:space="0"/>
          <w:bottom w:val="single" w:color="auto" w:sz="4" w:space="0"/>
          <w:right w:val="single" w:color="auto" w:sz="4" w:space="0"/>
          <w:between w:val="none" w:color="auto" w:sz="0" w:space="0"/>
        </w:pBdr>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2.“牛皮廯”清理管理量化考核评分标准</w:t>
      </w:r>
    </w:p>
    <w:p>
      <w:pPr>
        <w:keepNext w:val="0"/>
        <w:keepLines w:val="0"/>
        <w:pageBreakBefore w:val="0"/>
        <w:widowControl w:val="0"/>
        <w:numPr>
          <w:ilvl w:val="0"/>
          <w:numId w:val="0"/>
        </w:numPr>
        <w:pBdr>
          <w:top w:val="single" w:color="auto" w:sz="4" w:space="0"/>
          <w:left w:val="single" w:color="auto" w:sz="4" w:space="0"/>
          <w:bottom w:val="single" w:color="auto" w:sz="4" w:space="0"/>
          <w:right w:val="single" w:color="auto" w:sz="4" w:space="0"/>
          <w:between w:val="none" w:color="auto" w:sz="0" w:space="0"/>
        </w:pBdr>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（1）市区二级道路，每15平方米内不得多于两处（张）“牛皮癣”，违反本条扣0.1分，每增两处增扣0.1分，以此类推。</w:t>
      </w:r>
    </w:p>
    <w:p>
      <w:pPr>
        <w:keepNext w:val="0"/>
        <w:keepLines w:val="0"/>
        <w:pageBreakBefore w:val="0"/>
        <w:widowControl w:val="0"/>
        <w:numPr>
          <w:ilvl w:val="0"/>
          <w:numId w:val="0"/>
        </w:numPr>
        <w:pBdr>
          <w:top w:val="single" w:color="auto" w:sz="4" w:space="0"/>
          <w:left w:val="single" w:color="auto" w:sz="4" w:space="0"/>
          <w:bottom w:val="single" w:color="auto" w:sz="4" w:space="0"/>
          <w:right w:val="single" w:color="auto" w:sz="4" w:space="0"/>
          <w:between w:val="none" w:color="auto" w:sz="0" w:space="0"/>
        </w:pBdr>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（2）城区主要道路、背街小巷、居民小区等，每10平方米内不得多于五处（张）“牛皮癣”，违反本条扣0.1分，每增五处增扣0.1分，以此类推。</w:t>
      </w:r>
    </w:p>
    <w:p>
      <w:pPr>
        <w:keepNext w:val="0"/>
        <w:keepLines w:val="0"/>
        <w:pageBreakBefore w:val="0"/>
        <w:widowControl w:val="0"/>
        <w:numPr>
          <w:ilvl w:val="0"/>
          <w:numId w:val="0"/>
        </w:numPr>
        <w:pBdr>
          <w:top w:val="single" w:color="auto" w:sz="4" w:space="0"/>
          <w:left w:val="single" w:color="auto" w:sz="4" w:space="0"/>
          <w:bottom w:val="single" w:color="auto" w:sz="4" w:space="0"/>
          <w:right w:val="single" w:color="auto" w:sz="4" w:space="0"/>
          <w:between w:val="none" w:color="auto" w:sz="0" w:space="0"/>
        </w:pBdr>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（3）接到通知后，4小时内保质保量清理完毕并反馈，违反本条扣0.1分。</w:t>
      </w:r>
    </w:p>
    <w:p>
      <w:pPr>
        <w:keepNext w:val="0"/>
        <w:keepLines w:val="0"/>
        <w:pageBreakBefore w:val="0"/>
        <w:widowControl w:val="0"/>
        <w:numPr>
          <w:ilvl w:val="0"/>
          <w:numId w:val="0"/>
        </w:numPr>
        <w:pBdr>
          <w:top w:val="single" w:color="auto" w:sz="4" w:space="0"/>
          <w:left w:val="single" w:color="auto" w:sz="4" w:space="0"/>
          <w:bottom w:val="single" w:color="auto" w:sz="4" w:space="0"/>
          <w:right w:val="single" w:color="auto" w:sz="4" w:space="0"/>
          <w:between w:val="none" w:color="auto" w:sz="0" w:space="0"/>
        </w:pBdr>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（4）设备专业、操作规范、职责明确、无二次污染，违反本条扣0.1分。</w:t>
      </w:r>
    </w:p>
    <w:p>
      <w:pPr>
        <w:keepNext w:val="0"/>
        <w:keepLines w:val="0"/>
        <w:pageBreakBefore w:val="0"/>
        <w:widowControl w:val="0"/>
        <w:numPr>
          <w:ilvl w:val="0"/>
          <w:numId w:val="0"/>
        </w:numPr>
        <w:pBdr>
          <w:top w:val="single" w:color="auto" w:sz="4" w:space="0"/>
          <w:left w:val="single" w:color="auto" w:sz="4" w:space="0"/>
          <w:bottom w:val="single" w:color="auto" w:sz="4" w:space="0"/>
          <w:right w:val="single" w:color="auto" w:sz="4" w:space="0"/>
          <w:between w:val="none" w:color="auto" w:sz="0" w:space="0"/>
        </w:pBdr>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（5）作业车辆管理规范、外表整洁、车况良好；遵守交规、文明行车；定期年检、年审，违反本条扣0.4分。</w:t>
      </w:r>
    </w:p>
    <w:p>
      <w:pPr>
        <w:keepNext w:val="0"/>
        <w:keepLines w:val="0"/>
        <w:pageBreakBefore w:val="0"/>
        <w:widowControl w:val="0"/>
        <w:numPr>
          <w:ilvl w:val="0"/>
          <w:numId w:val="0"/>
        </w:numPr>
        <w:pBdr>
          <w:top w:val="single" w:color="auto" w:sz="4" w:space="0"/>
          <w:left w:val="single" w:color="auto" w:sz="4" w:space="0"/>
          <w:bottom w:val="single" w:color="auto" w:sz="4" w:space="0"/>
          <w:right w:val="single" w:color="auto" w:sz="4" w:space="0"/>
          <w:between w:val="none" w:color="auto" w:sz="0" w:space="0"/>
        </w:pBdr>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（6）对检查发现的卫生问题、新闻媒体曝光问题、居民投诉问题等，在第一次限期内得到解决的，扣与此问题对应的分；第二次限期内整改的，扣2倍分；第三次整改的，扣三倍的分。</w:t>
      </w:r>
    </w:p>
    <w:p>
      <w:pPr>
        <w:keepNext w:val="0"/>
        <w:keepLines w:val="0"/>
        <w:pageBreakBefore w:val="0"/>
        <w:widowControl w:val="0"/>
        <w:numPr>
          <w:ilvl w:val="0"/>
          <w:numId w:val="0"/>
        </w:numPr>
        <w:pBdr>
          <w:top w:val="single" w:color="auto" w:sz="4" w:space="0"/>
          <w:left w:val="single" w:color="auto" w:sz="4" w:space="0"/>
          <w:bottom w:val="single" w:color="auto" w:sz="4" w:space="0"/>
          <w:right w:val="single" w:color="auto" w:sz="4" w:space="0"/>
          <w:between w:val="none" w:color="auto" w:sz="0" w:space="0"/>
        </w:pBdr>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3.大件垃圾清运管理量化考核评分标准：</w:t>
      </w:r>
    </w:p>
    <w:p>
      <w:pPr>
        <w:keepNext w:val="0"/>
        <w:keepLines w:val="0"/>
        <w:pageBreakBefore w:val="0"/>
        <w:widowControl w:val="0"/>
        <w:numPr>
          <w:ilvl w:val="0"/>
          <w:numId w:val="0"/>
        </w:numPr>
        <w:pBdr>
          <w:top w:val="single" w:color="auto" w:sz="4" w:space="0"/>
          <w:left w:val="single" w:color="auto" w:sz="4" w:space="0"/>
          <w:bottom w:val="single" w:color="auto" w:sz="4" w:space="0"/>
          <w:right w:val="single" w:color="auto" w:sz="4" w:space="0"/>
          <w:between w:val="none" w:color="auto" w:sz="0" w:space="0"/>
        </w:pBdr>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（1)城区三级道路以上道路和重点区域，大件垃圾滞留时间不超过2小时，违反本条每次扣0.1分，每延迟1小时加扣0.1分。</w:t>
      </w:r>
    </w:p>
    <w:p>
      <w:pPr>
        <w:keepNext w:val="0"/>
        <w:keepLines w:val="0"/>
        <w:pageBreakBefore w:val="0"/>
        <w:widowControl w:val="0"/>
        <w:numPr>
          <w:ilvl w:val="0"/>
          <w:numId w:val="0"/>
        </w:numPr>
        <w:pBdr>
          <w:top w:val="single" w:color="auto" w:sz="4" w:space="0"/>
          <w:left w:val="single" w:color="auto" w:sz="4" w:space="0"/>
          <w:bottom w:val="single" w:color="auto" w:sz="4" w:space="0"/>
          <w:right w:val="single" w:color="auto" w:sz="4" w:space="0"/>
          <w:between w:val="none" w:color="auto" w:sz="0" w:space="0"/>
        </w:pBdr>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（2）背街小巷及城区内开放式小区、社区内公共区域，大件垃圾滞留时间不超过6小时，违反本条每次扣0.1分，每延迟1小时加扣0.1分。</w:t>
      </w:r>
    </w:p>
    <w:p>
      <w:pPr>
        <w:keepNext w:val="0"/>
        <w:keepLines w:val="0"/>
        <w:pageBreakBefore w:val="0"/>
        <w:widowControl w:val="0"/>
        <w:numPr>
          <w:ilvl w:val="0"/>
          <w:numId w:val="0"/>
        </w:numPr>
        <w:pBdr>
          <w:top w:val="single" w:color="auto" w:sz="4" w:space="0"/>
          <w:left w:val="single" w:color="auto" w:sz="4" w:space="0"/>
          <w:bottom w:val="single" w:color="auto" w:sz="4" w:space="0"/>
          <w:right w:val="single" w:color="auto" w:sz="4" w:space="0"/>
          <w:between w:val="none" w:color="auto" w:sz="0" w:space="0"/>
        </w:pBdr>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（3）清运作业中做到车走地净，沿途不抛撒、遗撒、无二次污染，违反本条每次扣0.1分，因大件垃圾作业造成社会不良影响的，扣0.5分。</w:t>
      </w:r>
    </w:p>
    <w:p>
      <w:pPr>
        <w:keepNext w:val="0"/>
        <w:keepLines w:val="0"/>
        <w:pageBreakBefore w:val="0"/>
        <w:widowControl w:val="0"/>
        <w:numPr>
          <w:ilvl w:val="0"/>
          <w:numId w:val="0"/>
        </w:numPr>
        <w:pBdr>
          <w:top w:val="single" w:color="auto" w:sz="4" w:space="0"/>
          <w:left w:val="single" w:color="auto" w:sz="4" w:space="0"/>
          <w:bottom w:val="single" w:color="auto" w:sz="4" w:space="0"/>
          <w:right w:val="single" w:color="auto" w:sz="4" w:space="0"/>
          <w:between w:val="none" w:color="auto" w:sz="0" w:space="0"/>
        </w:pBdr>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（4）大件垃圾须分类处置，资源化利用，违反本条每次扣0.2分。</w:t>
      </w:r>
    </w:p>
    <w:p>
      <w:pPr>
        <w:keepNext w:val="0"/>
        <w:keepLines w:val="0"/>
        <w:pageBreakBefore w:val="0"/>
        <w:widowControl w:val="0"/>
        <w:numPr>
          <w:ilvl w:val="0"/>
          <w:numId w:val="0"/>
        </w:numPr>
        <w:pBdr>
          <w:top w:val="single" w:color="auto" w:sz="4" w:space="0"/>
          <w:left w:val="single" w:color="auto" w:sz="4" w:space="0"/>
          <w:bottom w:val="single" w:color="auto" w:sz="4" w:space="0"/>
          <w:right w:val="single" w:color="auto" w:sz="4" w:space="0"/>
          <w:between w:val="none" w:color="auto" w:sz="0" w:space="0"/>
        </w:pBdr>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（5）大件垃圾处置中心秩序良好，物品分类明确，摆放整齐，违反本条每次扣0.1分。</w:t>
      </w:r>
    </w:p>
    <w:p>
      <w:pPr>
        <w:keepNext w:val="0"/>
        <w:keepLines w:val="0"/>
        <w:pageBreakBefore w:val="0"/>
        <w:widowControl w:val="0"/>
        <w:numPr>
          <w:ilvl w:val="0"/>
          <w:numId w:val="0"/>
        </w:numPr>
        <w:pBdr>
          <w:top w:val="single" w:color="auto" w:sz="4" w:space="0"/>
          <w:left w:val="single" w:color="auto" w:sz="4" w:space="0"/>
          <w:bottom w:val="single" w:color="auto" w:sz="4" w:space="0"/>
          <w:right w:val="single" w:color="auto" w:sz="4" w:space="0"/>
          <w:between w:val="none" w:color="auto" w:sz="0" w:space="0"/>
        </w:pBdr>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（6）作业车辆管理规范、外表整洁、车况良好、标识清晰，运行中遵守交通规则，文明行车，违反本条每次扣0.4分。</w:t>
      </w:r>
    </w:p>
    <w:p>
      <w:pPr>
        <w:keepNext w:val="0"/>
        <w:keepLines w:val="0"/>
        <w:pageBreakBefore w:val="0"/>
        <w:widowControl w:val="0"/>
        <w:numPr>
          <w:ilvl w:val="0"/>
          <w:numId w:val="0"/>
        </w:numPr>
        <w:pBdr>
          <w:top w:val="single" w:color="auto" w:sz="4" w:space="0"/>
          <w:left w:val="single" w:color="auto" w:sz="4" w:space="0"/>
          <w:bottom w:val="single" w:color="auto" w:sz="4" w:space="0"/>
          <w:right w:val="single" w:color="auto" w:sz="4" w:space="0"/>
          <w:between w:val="none" w:color="auto" w:sz="0" w:space="0"/>
        </w:pBdr>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（7）专业设备、车辆必须由专业人员操作，违反本条每次扣0.1分；因违规操作造成安全事故的每次扣0.5分。</w:t>
      </w:r>
    </w:p>
    <w:p>
      <w:pPr>
        <w:keepNext w:val="0"/>
        <w:keepLines w:val="0"/>
        <w:pageBreakBefore w:val="0"/>
        <w:widowControl w:val="0"/>
        <w:numPr>
          <w:ilvl w:val="0"/>
          <w:numId w:val="0"/>
        </w:numPr>
        <w:pBdr>
          <w:top w:val="single" w:color="auto" w:sz="4" w:space="0"/>
          <w:left w:val="single" w:color="auto" w:sz="4" w:space="0"/>
          <w:bottom w:val="single" w:color="auto" w:sz="4" w:space="0"/>
          <w:right w:val="single" w:color="auto" w:sz="4" w:space="0"/>
          <w:between w:val="none" w:color="auto" w:sz="0" w:space="0"/>
        </w:pBdr>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（8）对检查发现的卫生问题、新闻媒体曝光问题、居民投诉问题等，在第一次限期内得到解决的，扣与此问题对应的分；第二次限期内整改的，扣2倍分；第三次整改的，扣三倍的分。</w:t>
      </w:r>
    </w:p>
    <w:p>
      <w:pPr>
        <w:keepNext w:val="0"/>
        <w:keepLines w:val="0"/>
        <w:pageBreakBefore w:val="0"/>
        <w:widowControl w:val="0"/>
        <w:numPr>
          <w:ilvl w:val="0"/>
          <w:numId w:val="0"/>
        </w:numPr>
        <w:pBdr>
          <w:top w:val="single" w:color="auto" w:sz="4" w:space="0"/>
          <w:left w:val="single" w:color="auto" w:sz="4" w:space="0"/>
          <w:bottom w:val="single" w:color="auto" w:sz="4" w:space="0"/>
          <w:right w:val="single" w:color="auto" w:sz="4" w:space="0"/>
          <w:between w:val="none" w:color="auto" w:sz="0" w:space="0"/>
        </w:pBdr>
        <w:kinsoku/>
        <w:wordWrap/>
        <w:overflowPunct/>
        <w:topLinePunct w:val="0"/>
        <w:autoSpaceDE/>
        <w:autoSpaceDN/>
        <w:bidi w:val="0"/>
        <w:adjustRightInd/>
        <w:snapToGrid/>
        <w:spacing w:line="460" w:lineRule="exact"/>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二、奖惩机制量化考核评分标准</w:t>
      </w:r>
    </w:p>
    <w:p>
      <w:pPr>
        <w:keepNext w:val="0"/>
        <w:keepLines w:val="0"/>
        <w:pageBreakBefore w:val="0"/>
        <w:widowControl w:val="0"/>
        <w:numPr>
          <w:ilvl w:val="0"/>
          <w:numId w:val="0"/>
        </w:numPr>
        <w:pBdr>
          <w:top w:val="single" w:color="auto" w:sz="4" w:space="0"/>
          <w:left w:val="single" w:color="auto" w:sz="4" w:space="0"/>
          <w:bottom w:val="single" w:color="auto" w:sz="4" w:space="0"/>
          <w:right w:val="single" w:color="auto" w:sz="4" w:space="0"/>
        </w:pBdr>
        <w:kinsoku/>
        <w:wordWrap/>
        <w:overflowPunct/>
        <w:topLinePunct w:val="0"/>
        <w:autoSpaceDE/>
        <w:autoSpaceDN/>
        <w:bidi w:val="0"/>
        <w:adjustRightInd/>
        <w:snapToGrid/>
        <w:spacing w:line="460" w:lineRule="exact"/>
        <w:textAlignment w:val="auto"/>
        <w:rPr>
          <w:rFonts w:hint="eastAsia" w:ascii="宋体" w:hAnsi="宋体" w:eastAsia="宋体" w:cs="宋体"/>
          <w:sz w:val="24"/>
          <w:szCs w:val="24"/>
        </w:rPr>
      </w:pPr>
      <w:r>
        <w:rPr>
          <w:rFonts w:hint="eastAsia" w:ascii="宋体" w:hAnsi="宋体" w:eastAsia="宋体" w:cs="宋体"/>
          <w:sz w:val="24"/>
          <w:szCs w:val="24"/>
        </w:rPr>
        <w:t>（一）受县级以上主管部门表彰及领导表扬的（有文件、会议纪要、记录），每次加1分；受县级以上主管部门批评及领导批评的（有文件、会议纪要、记录），每次扣1分。（二）重大活动服从安排，环卫保障措施到位、受到县级以上领导表扬的，每次加1分；重大活动环卫保障措施不到位、受到县级以上领导批评的，每次扣1分。</w:t>
      </w:r>
    </w:p>
    <w:p>
      <w:pPr>
        <w:keepNext w:val="0"/>
        <w:keepLines w:val="0"/>
        <w:pageBreakBefore w:val="0"/>
        <w:widowControl w:val="0"/>
        <w:numPr>
          <w:ilvl w:val="0"/>
          <w:numId w:val="0"/>
        </w:numPr>
        <w:pBdr>
          <w:top w:val="single" w:color="auto" w:sz="4" w:space="0"/>
          <w:left w:val="single" w:color="auto" w:sz="4" w:space="0"/>
          <w:bottom w:val="single" w:color="auto" w:sz="4" w:space="0"/>
          <w:right w:val="single" w:color="auto" w:sz="4" w:space="0"/>
        </w:pBdr>
        <w:kinsoku/>
        <w:wordWrap/>
        <w:overflowPunct/>
        <w:topLinePunct w:val="0"/>
        <w:autoSpaceDE/>
        <w:autoSpaceDN/>
        <w:bidi w:val="0"/>
        <w:adjustRightInd/>
        <w:snapToGrid/>
        <w:spacing w:line="460" w:lineRule="exact"/>
        <w:textAlignment w:val="auto"/>
        <w:rPr>
          <w:rFonts w:hint="eastAsia" w:ascii="宋体" w:hAnsi="宋体" w:eastAsia="宋体" w:cs="宋体"/>
          <w:sz w:val="24"/>
          <w:szCs w:val="24"/>
        </w:rPr>
      </w:pPr>
      <w:r>
        <w:rPr>
          <w:rFonts w:hint="eastAsia" w:ascii="宋体" w:hAnsi="宋体" w:eastAsia="宋体" w:cs="宋体"/>
          <w:sz w:val="24"/>
          <w:szCs w:val="24"/>
        </w:rPr>
        <w:t>（三）作业体制创新，在环卫行业内推广的（现场会），每次加2分。</w:t>
      </w:r>
    </w:p>
    <w:p>
      <w:pPr>
        <w:keepNext w:val="0"/>
        <w:keepLines w:val="0"/>
        <w:pageBreakBefore w:val="0"/>
        <w:widowControl w:val="0"/>
        <w:numPr>
          <w:ilvl w:val="0"/>
          <w:numId w:val="0"/>
        </w:numPr>
        <w:pBdr>
          <w:top w:val="single" w:color="auto" w:sz="4" w:space="0"/>
          <w:left w:val="single" w:color="auto" w:sz="4" w:space="0"/>
          <w:bottom w:val="single" w:color="auto" w:sz="4" w:space="0"/>
          <w:right w:val="single" w:color="auto" w:sz="4" w:space="0"/>
        </w:pBdr>
        <w:kinsoku/>
        <w:wordWrap/>
        <w:overflowPunct/>
        <w:topLinePunct w:val="0"/>
        <w:autoSpaceDE/>
        <w:autoSpaceDN/>
        <w:bidi w:val="0"/>
        <w:adjustRightInd/>
        <w:snapToGrid/>
        <w:spacing w:line="460" w:lineRule="exact"/>
        <w:textAlignment w:val="auto"/>
        <w:rPr>
          <w:rFonts w:hint="eastAsia" w:ascii="宋体" w:hAnsi="宋体" w:eastAsia="宋体" w:cs="宋体"/>
          <w:sz w:val="24"/>
          <w:szCs w:val="24"/>
          <w:highlight w:val="yellow"/>
        </w:rPr>
      </w:pPr>
      <w:r>
        <w:rPr>
          <w:rFonts w:hint="eastAsia" w:ascii="宋体" w:hAnsi="宋体" w:eastAsia="宋体" w:cs="宋体"/>
          <w:sz w:val="24"/>
          <w:szCs w:val="24"/>
        </w:rPr>
        <w:t>（四）受到市级以上媒体宣传表扬的，每次加1分；被市级以上媒体曝光负面新闻，造成不良影响的，每次扣1分。所有加分依据由作业单位提供，主管部门认可后方可生效。所有扣分依据由各考核主体负责提供</w:t>
      </w:r>
      <w:r>
        <w:rPr>
          <w:rFonts w:hint="eastAsia" w:ascii="宋体" w:hAnsi="宋体" w:cs="宋体"/>
          <w:sz w:val="24"/>
          <w:szCs w:val="24"/>
          <w:lang w:eastAsia="zh-CN"/>
        </w:rPr>
        <w:t>。</w:t>
      </w:r>
    </w:p>
    <w:p/>
    <w:p>
      <w:pPr>
        <w:pStyle w:val="2"/>
      </w:pPr>
    </w:p>
    <w:p>
      <w:pPr>
        <w:pStyle w:val="2"/>
      </w:pPr>
    </w:p>
    <w:p>
      <w:pPr>
        <w:pStyle w:val="2"/>
      </w:pPr>
    </w:p>
    <w:p>
      <w:pPr>
        <w:pStyle w:val="2"/>
      </w:pPr>
    </w:p>
    <w:p>
      <w:pPr>
        <w:pStyle w:val="6"/>
        <w:keepNext w:val="0"/>
        <w:keepLines w:val="0"/>
        <w:widowControl/>
        <w:suppressLineNumbers w:val="0"/>
        <w:spacing w:before="75" w:beforeAutospacing="0" w:after="75" w:afterAutospacing="0"/>
        <w:ind w:left="0" w:right="0" w:firstLine="0"/>
        <w:jc w:val="center"/>
      </w:pPr>
      <w:r>
        <w:rPr>
          <w:rStyle w:val="10"/>
          <w:rFonts w:ascii="宋体" w:hAnsi="宋体" w:eastAsia="宋体" w:cs="宋体"/>
          <w:spacing w:val="0"/>
          <w:sz w:val="31"/>
          <w:szCs w:val="31"/>
        </w:rPr>
        <w:t>第六章</w:t>
      </w:r>
      <w:r>
        <w:rPr>
          <w:rStyle w:val="10"/>
          <w:rFonts w:hint="eastAsia" w:ascii="宋体" w:hAnsi="宋体" w:eastAsia="宋体" w:cs="宋体"/>
          <w:spacing w:val="0"/>
          <w:sz w:val="31"/>
          <w:szCs w:val="31"/>
        </w:rPr>
        <w:t>   政府采购合同（参考文本）</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6"/>
        <w:keepNext w:val="0"/>
        <w:keepLines w:val="0"/>
        <w:widowControl/>
        <w:suppressLineNumbers w:val="0"/>
        <w:spacing w:before="75" w:beforeAutospacing="0" w:after="75" w:afterAutospacing="0"/>
        <w:ind w:left="0" w:right="0" w:firstLine="0"/>
        <w:jc w:val="center"/>
      </w:pPr>
      <w:r>
        <w:rPr>
          <w:rStyle w:val="10"/>
          <w:rFonts w:hint="eastAsia" w:ascii="宋体" w:hAnsi="宋体" w:eastAsia="宋体" w:cs="宋体"/>
          <w:spacing w:val="0"/>
          <w:sz w:val="24"/>
          <w:szCs w:val="24"/>
        </w:rPr>
        <w:t>编制说明</w:t>
      </w:r>
    </w:p>
    <w:p>
      <w:pPr>
        <w:pStyle w:val="6"/>
        <w:keepNext w:val="0"/>
        <w:keepLines w:val="0"/>
        <w:widowControl/>
        <w:suppressLineNumbers w:val="0"/>
        <w:spacing w:before="75" w:beforeAutospacing="0" w:after="75" w:afterAutospacing="0"/>
        <w:ind w:left="0" w:right="0" w:firstLine="0"/>
      </w:pPr>
      <w:r>
        <w:rPr>
          <w:rStyle w:val="10"/>
          <w:rFonts w:hint="eastAsia" w:ascii="宋体" w:hAnsi="宋体" w:eastAsia="宋体" w:cs="宋体"/>
          <w:spacing w:val="0"/>
          <w:sz w:val="24"/>
          <w:szCs w:val="24"/>
        </w:rPr>
        <w:t>1、签订合同应遵守政府采购法、合同法。</w:t>
      </w:r>
    </w:p>
    <w:p>
      <w:pPr>
        <w:pStyle w:val="6"/>
        <w:keepNext w:val="0"/>
        <w:keepLines w:val="0"/>
        <w:widowControl/>
        <w:suppressLineNumbers w:val="0"/>
        <w:spacing w:before="75" w:beforeAutospacing="0" w:after="75" w:afterAutospacing="0"/>
        <w:ind w:left="0" w:right="0" w:firstLine="0"/>
      </w:pPr>
      <w:r>
        <w:rPr>
          <w:rStyle w:val="10"/>
          <w:rFonts w:hint="eastAsia" w:ascii="宋体" w:hAnsi="宋体" w:eastAsia="宋体" w:cs="宋体"/>
          <w:spacing w:val="0"/>
          <w:sz w:val="24"/>
          <w:szCs w:val="24"/>
        </w:rPr>
        <w:t>2、签订合同时，采购人与中标人应结合招标文件第五章规定填列相应内容。招标文件第五章已有规定的，双方均不得变更或调整；招标文件第五章未作规定的，双方可通过友好协商进行约定。</w:t>
      </w:r>
    </w:p>
    <w:p>
      <w:pPr>
        <w:pStyle w:val="6"/>
        <w:keepNext w:val="0"/>
        <w:keepLines w:val="0"/>
        <w:widowControl/>
        <w:suppressLineNumbers w:val="0"/>
        <w:spacing w:before="75" w:beforeAutospacing="0" w:after="75" w:afterAutospacing="0"/>
        <w:ind w:left="0" w:right="0" w:firstLine="0"/>
      </w:pPr>
      <w:r>
        <w:rPr>
          <w:rStyle w:val="10"/>
          <w:rFonts w:hint="eastAsia" w:ascii="宋体" w:hAnsi="宋体" w:eastAsia="宋体" w:cs="宋体"/>
          <w:spacing w:val="0"/>
          <w:sz w:val="24"/>
          <w:szCs w:val="24"/>
        </w:rPr>
        <w:t>3、国家有关部门对若干合同有规范文本的，可使用相应合同文本。</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u w:val="single"/>
        </w:rPr>
        <w:t> </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甲方：</w:t>
      </w:r>
      <w:r>
        <w:rPr>
          <w:rFonts w:hint="eastAsia" w:ascii="宋体" w:hAnsi="宋体" w:eastAsia="宋体" w:cs="宋体"/>
          <w:spacing w:val="0"/>
          <w:sz w:val="24"/>
          <w:szCs w:val="24"/>
          <w:u w:val="single"/>
        </w:rPr>
        <w:t>（采购人全称）</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乙方：</w:t>
      </w:r>
      <w:r>
        <w:rPr>
          <w:rFonts w:hint="eastAsia" w:ascii="宋体" w:hAnsi="宋体" w:eastAsia="宋体" w:cs="宋体"/>
          <w:spacing w:val="0"/>
          <w:sz w:val="24"/>
          <w:szCs w:val="24"/>
          <w:u w:val="single"/>
        </w:rPr>
        <w:t>（中标人全称）</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根据招标编号为</w:t>
      </w:r>
      <w:r>
        <w:rPr>
          <w:rFonts w:hint="eastAsia" w:ascii="宋体" w:hAnsi="宋体" w:eastAsia="宋体" w:cs="宋体"/>
          <w:spacing w:val="0"/>
          <w:sz w:val="24"/>
          <w:szCs w:val="24"/>
          <w:u w:val="single"/>
        </w:rPr>
        <w:t>            </w:t>
      </w:r>
      <w:r>
        <w:rPr>
          <w:rFonts w:hint="eastAsia" w:ascii="宋体" w:hAnsi="宋体" w:eastAsia="宋体" w:cs="宋体"/>
          <w:spacing w:val="0"/>
          <w:sz w:val="24"/>
          <w:szCs w:val="24"/>
        </w:rPr>
        <w:t>的</w:t>
      </w:r>
      <w:r>
        <w:rPr>
          <w:rFonts w:hint="eastAsia" w:ascii="宋体" w:hAnsi="宋体" w:eastAsia="宋体" w:cs="宋体"/>
          <w:spacing w:val="0"/>
          <w:sz w:val="24"/>
          <w:szCs w:val="24"/>
          <w:u w:val="single"/>
        </w:rPr>
        <w:t>（填写“项目名称”）</w:t>
      </w:r>
      <w:r>
        <w:rPr>
          <w:rFonts w:hint="eastAsia" w:ascii="宋体" w:hAnsi="宋体" w:eastAsia="宋体" w:cs="宋体"/>
          <w:spacing w:val="0"/>
          <w:sz w:val="24"/>
          <w:szCs w:val="24"/>
        </w:rPr>
        <w:t>项目（以下简称：“本项目”）的招标结果，乙方为中标人。现经甲乙双方友好协商，就以下事项达成一致并签订本合同：</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1、下列合同文件是构成本合同不可分割的部分：</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1.1合同条款；</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1.2招标文件、乙方的投标文件；</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1.3其他文件或材料：□无。□</w:t>
      </w:r>
      <w:r>
        <w:rPr>
          <w:rFonts w:hint="eastAsia" w:ascii="宋体" w:hAnsi="宋体" w:eastAsia="宋体" w:cs="宋体"/>
          <w:spacing w:val="0"/>
          <w:sz w:val="24"/>
          <w:szCs w:val="24"/>
          <w:u w:val="single"/>
        </w:rPr>
        <w:t>（按照实际情况编制填写需要增加的内容）</w:t>
      </w:r>
      <w:r>
        <w:rPr>
          <w:rFonts w:hint="eastAsia" w:ascii="宋体" w:hAnsi="宋体" w:eastAsia="宋体" w:cs="宋体"/>
          <w:spacing w:val="0"/>
          <w:sz w:val="24"/>
          <w:szCs w:val="24"/>
        </w:rPr>
        <w:t>。</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2、合同标的</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u w:val="single"/>
        </w:rPr>
        <w:t>（按照实际情况编制填写，可以是表格或文字描述）</w:t>
      </w:r>
      <w:r>
        <w:rPr>
          <w:rFonts w:hint="eastAsia" w:ascii="宋体" w:hAnsi="宋体" w:eastAsia="宋体" w:cs="宋体"/>
          <w:spacing w:val="0"/>
          <w:sz w:val="24"/>
          <w:szCs w:val="24"/>
        </w:rPr>
        <w:t>。</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3、合同总金额</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3.1合同总金额为人民币大写：</w:t>
      </w:r>
      <w:r>
        <w:rPr>
          <w:rFonts w:hint="eastAsia" w:ascii="宋体" w:hAnsi="宋体" w:eastAsia="宋体" w:cs="宋体"/>
          <w:spacing w:val="0"/>
          <w:sz w:val="24"/>
          <w:szCs w:val="24"/>
          <w:u w:val="single"/>
        </w:rPr>
        <w:t>              </w:t>
      </w:r>
      <w:r>
        <w:rPr>
          <w:rFonts w:hint="eastAsia" w:ascii="宋体" w:hAnsi="宋体" w:eastAsia="宋体" w:cs="宋体"/>
          <w:spacing w:val="0"/>
          <w:sz w:val="24"/>
          <w:szCs w:val="24"/>
        </w:rPr>
        <w:t>元（￥</w:t>
      </w:r>
      <w:r>
        <w:rPr>
          <w:rFonts w:hint="eastAsia" w:ascii="宋体" w:hAnsi="宋体" w:eastAsia="宋体" w:cs="宋体"/>
          <w:spacing w:val="0"/>
          <w:sz w:val="24"/>
          <w:szCs w:val="24"/>
          <w:u w:val="single"/>
        </w:rPr>
        <w:t>              </w:t>
      </w:r>
      <w:r>
        <w:rPr>
          <w:rFonts w:hint="eastAsia" w:ascii="宋体" w:hAnsi="宋体" w:eastAsia="宋体" w:cs="宋体"/>
          <w:spacing w:val="0"/>
          <w:sz w:val="24"/>
          <w:szCs w:val="24"/>
        </w:rPr>
        <w:t>）。</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4、合同标的交付时间、地点和条件</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4.1交付时间：</w:t>
      </w:r>
      <w:r>
        <w:rPr>
          <w:rFonts w:hint="eastAsia" w:ascii="宋体" w:hAnsi="宋体" w:eastAsia="宋体" w:cs="宋体"/>
          <w:spacing w:val="0"/>
          <w:sz w:val="24"/>
          <w:szCs w:val="24"/>
          <w:u w:val="single"/>
        </w:rPr>
        <w:t>                     </w:t>
      </w:r>
      <w:r>
        <w:rPr>
          <w:rFonts w:hint="eastAsia" w:ascii="宋体" w:hAnsi="宋体" w:eastAsia="宋体" w:cs="宋体"/>
          <w:spacing w:val="0"/>
          <w:sz w:val="24"/>
          <w:szCs w:val="24"/>
        </w:rPr>
        <w:t>；</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4.2交付地点：</w:t>
      </w:r>
      <w:r>
        <w:rPr>
          <w:rFonts w:hint="eastAsia" w:ascii="宋体" w:hAnsi="宋体" w:eastAsia="宋体" w:cs="宋体"/>
          <w:spacing w:val="0"/>
          <w:sz w:val="24"/>
          <w:szCs w:val="24"/>
          <w:u w:val="single"/>
        </w:rPr>
        <w:t>                     </w:t>
      </w:r>
      <w:r>
        <w:rPr>
          <w:rFonts w:hint="eastAsia" w:ascii="宋体" w:hAnsi="宋体" w:eastAsia="宋体" w:cs="宋体"/>
          <w:spacing w:val="0"/>
          <w:sz w:val="24"/>
          <w:szCs w:val="24"/>
        </w:rPr>
        <w:t>；</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4.3交付条件：</w:t>
      </w:r>
      <w:r>
        <w:rPr>
          <w:rFonts w:hint="eastAsia" w:ascii="宋体" w:hAnsi="宋体" w:eastAsia="宋体" w:cs="宋体"/>
          <w:spacing w:val="0"/>
          <w:sz w:val="24"/>
          <w:szCs w:val="24"/>
          <w:u w:val="single"/>
        </w:rPr>
        <w:t>                     </w:t>
      </w:r>
      <w:r>
        <w:rPr>
          <w:rFonts w:hint="eastAsia" w:ascii="宋体" w:hAnsi="宋体" w:eastAsia="宋体" w:cs="宋体"/>
          <w:spacing w:val="0"/>
          <w:sz w:val="24"/>
          <w:szCs w:val="24"/>
        </w:rPr>
        <w:t>。</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5、合同标的应符合招标文件、乙方投标文件的规定或约定，具体如下：</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u w:val="single"/>
        </w:rPr>
        <w:t>（按照实际情况编制填写，可以是表格或文字描述）</w:t>
      </w:r>
      <w:r>
        <w:rPr>
          <w:rFonts w:hint="eastAsia" w:ascii="宋体" w:hAnsi="宋体" w:eastAsia="宋体" w:cs="宋体"/>
          <w:spacing w:val="0"/>
          <w:sz w:val="24"/>
          <w:szCs w:val="24"/>
        </w:rPr>
        <w:t>。</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6、验收</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6.1验收应按照招标文件、乙方投标文件的规定或约定进行，具体如下：</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u w:val="single"/>
        </w:rPr>
        <w:t>（按照实际情况编制填写，可以是表格或文字描述）</w:t>
      </w:r>
      <w:r>
        <w:rPr>
          <w:rFonts w:hint="eastAsia" w:ascii="宋体" w:hAnsi="宋体" w:eastAsia="宋体" w:cs="宋体"/>
          <w:spacing w:val="0"/>
          <w:sz w:val="24"/>
          <w:szCs w:val="24"/>
        </w:rPr>
        <w:t>。</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6.2本项目是否邀请其他投标人参与验收：</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□不邀请。□邀请，具体如下：</w:t>
      </w:r>
      <w:r>
        <w:rPr>
          <w:rFonts w:hint="eastAsia" w:ascii="宋体" w:hAnsi="宋体" w:eastAsia="宋体" w:cs="宋体"/>
          <w:spacing w:val="0"/>
          <w:sz w:val="24"/>
          <w:szCs w:val="24"/>
          <w:u w:val="single"/>
        </w:rPr>
        <w:t>（按照招标文件规定填写）</w:t>
      </w:r>
      <w:r>
        <w:rPr>
          <w:rFonts w:hint="eastAsia" w:ascii="宋体" w:hAnsi="宋体" w:eastAsia="宋体" w:cs="宋体"/>
          <w:spacing w:val="0"/>
          <w:sz w:val="24"/>
          <w:szCs w:val="24"/>
        </w:rPr>
        <w:t>。</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7、合同款项的支付应按照招标文件的规定进行，具体如下：</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u w:val="single"/>
        </w:rPr>
        <w:t>（按照实际情况编制填写，可以是表格或文字描述，包括一次性支付或分期支付等）</w:t>
      </w:r>
      <w:r>
        <w:rPr>
          <w:rFonts w:hint="eastAsia" w:ascii="宋体" w:hAnsi="宋体" w:eastAsia="宋体" w:cs="宋体"/>
          <w:spacing w:val="0"/>
          <w:sz w:val="24"/>
          <w:szCs w:val="24"/>
        </w:rPr>
        <w:t>。</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8、履约保证金</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□无。□有，具体如下：</w:t>
      </w:r>
      <w:r>
        <w:rPr>
          <w:rFonts w:hint="eastAsia" w:ascii="宋体" w:hAnsi="宋体" w:eastAsia="宋体" w:cs="宋体"/>
          <w:spacing w:val="0"/>
          <w:sz w:val="24"/>
          <w:szCs w:val="24"/>
          <w:u w:val="single"/>
        </w:rPr>
        <w:t>（按照招标文件规定填写）</w:t>
      </w:r>
      <w:r>
        <w:rPr>
          <w:rFonts w:hint="eastAsia" w:ascii="宋体" w:hAnsi="宋体" w:eastAsia="宋体" w:cs="宋体"/>
          <w:spacing w:val="0"/>
          <w:sz w:val="24"/>
          <w:szCs w:val="24"/>
        </w:rPr>
        <w:t>。</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9、合同有效期</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u w:val="single"/>
        </w:rPr>
        <w:t>（按照实际情况编制填写，可以是表格或文字描述）</w:t>
      </w:r>
      <w:r>
        <w:rPr>
          <w:rFonts w:hint="eastAsia" w:ascii="宋体" w:hAnsi="宋体" w:eastAsia="宋体" w:cs="宋体"/>
          <w:spacing w:val="0"/>
          <w:sz w:val="24"/>
          <w:szCs w:val="24"/>
        </w:rPr>
        <w:t>。</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10、违约责任</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u w:val="single"/>
        </w:rPr>
        <w:t>（按照实际情况编制填写，可以是表格或文字描述）</w:t>
      </w:r>
      <w:r>
        <w:rPr>
          <w:rFonts w:hint="eastAsia" w:ascii="宋体" w:hAnsi="宋体" w:eastAsia="宋体" w:cs="宋体"/>
          <w:spacing w:val="0"/>
          <w:sz w:val="24"/>
          <w:szCs w:val="24"/>
        </w:rPr>
        <w:t>。</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11、知识产权</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11.2若乙方提供的采购标的不符合国家知识产权法律、法规的规定或被有关主管机关认定为假冒伪劣品，则乙方中标资格将被取消；甲方还将按照有关法律、法规和规章的规定进行处理，具体如下：</w:t>
      </w:r>
      <w:r>
        <w:rPr>
          <w:rFonts w:hint="eastAsia" w:ascii="宋体" w:hAnsi="宋体" w:eastAsia="宋体" w:cs="宋体"/>
          <w:spacing w:val="0"/>
          <w:sz w:val="24"/>
          <w:szCs w:val="24"/>
          <w:u w:val="single"/>
        </w:rPr>
        <w:t>（按照实际情况编制填写）</w:t>
      </w:r>
      <w:r>
        <w:rPr>
          <w:rFonts w:hint="eastAsia" w:ascii="宋体" w:hAnsi="宋体" w:eastAsia="宋体" w:cs="宋体"/>
          <w:spacing w:val="0"/>
          <w:sz w:val="24"/>
          <w:szCs w:val="24"/>
        </w:rPr>
        <w:t>。</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12、解决争议的方法</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12.1甲、乙双方协商解决。</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12.2若协商解决不成，则通过下列途径之一解决：</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□提交仲裁委员会仲裁，具体如下：</w:t>
      </w:r>
      <w:r>
        <w:rPr>
          <w:rFonts w:hint="eastAsia" w:ascii="宋体" w:hAnsi="宋体" w:eastAsia="宋体" w:cs="宋体"/>
          <w:spacing w:val="0"/>
          <w:sz w:val="24"/>
          <w:szCs w:val="24"/>
          <w:u w:val="single"/>
        </w:rPr>
        <w:t>（按照实际情况编制填写）</w:t>
      </w:r>
      <w:r>
        <w:rPr>
          <w:rFonts w:hint="eastAsia" w:ascii="宋体" w:hAnsi="宋体" w:eastAsia="宋体" w:cs="宋体"/>
          <w:spacing w:val="0"/>
          <w:sz w:val="24"/>
          <w:szCs w:val="24"/>
        </w:rPr>
        <w:t>。</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□向人民法院提起诉讼，具体如下：</w:t>
      </w:r>
      <w:r>
        <w:rPr>
          <w:rFonts w:hint="eastAsia" w:ascii="宋体" w:hAnsi="宋体" w:eastAsia="宋体" w:cs="宋体"/>
          <w:spacing w:val="0"/>
          <w:sz w:val="24"/>
          <w:szCs w:val="24"/>
          <w:u w:val="single"/>
        </w:rPr>
        <w:t>（按照实际情况编制填写）</w:t>
      </w:r>
      <w:r>
        <w:rPr>
          <w:rFonts w:hint="eastAsia" w:ascii="宋体" w:hAnsi="宋体" w:eastAsia="宋体" w:cs="宋体"/>
          <w:spacing w:val="0"/>
          <w:sz w:val="24"/>
          <w:szCs w:val="24"/>
        </w:rPr>
        <w:t>。</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13、不可抗力</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13.1因不可抗力造成违约的，遭受不可抗力一方应及时向对方通报不能履行或不能完全履行的理由，并在随后取得有关主管机关证明后的</w:t>
      </w:r>
      <w:r>
        <w:rPr>
          <w:rFonts w:ascii="Calibri" w:hAnsi="Calibri" w:cs="Calibri"/>
          <w:spacing w:val="0"/>
          <w:sz w:val="24"/>
          <w:szCs w:val="24"/>
        </w:rPr>
        <w:t>15</w:t>
      </w:r>
      <w:r>
        <w:rPr>
          <w:rFonts w:hint="eastAsia" w:ascii="宋体" w:hAnsi="宋体" w:eastAsia="宋体" w:cs="宋体"/>
          <w:spacing w:val="0"/>
          <w:sz w:val="24"/>
          <w:szCs w:val="24"/>
        </w:rPr>
        <w:t>日内向另一方提供不可抗力发生及持续期间的充分证据。基于以上行为，允许遭受不可抗力一方延期履行、部分履行或不履行合同，并根据情况可部分或全部免于承担违约责任。</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13.2本合同中的不可抗力指不能预见、不能避免、不能克服的客观情况，包括但不限于：自然灾害如地震、台风、洪水、火灾及政府行为、法律规定或其适用的变化或其他任何无法预见、避免或控制的事件。</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14、合同条款</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u w:val="single"/>
        </w:rPr>
        <w:t>（按照实际情况编制填写。招标文件第五章已有规定的，双方均不得变更或调整；招标文件第五章未作规定的，双方可通过友好协商进行约定）</w:t>
      </w:r>
      <w:r>
        <w:rPr>
          <w:rFonts w:hint="eastAsia" w:ascii="宋体" w:hAnsi="宋体" w:eastAsia="宋体" w:cs="宋体"/>
          <w:spacing w:val="0"/>
          <w:sz w:val="24"/>
          <w:szCs w:val="24"/>
        </w:rPr>
        <w:t>。</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15、其他约定</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15.1合同文件与本合同具有同等法律效力。</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15.2本合同未尽事宜，双方可另行补充。</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15.3合同生效：自签订之日起生效；通过福建省政府采购网上公开信息系统采用电子形式签订合同的，签订之日以系统记载的双方使用各自</w:t>
      </w:r>
      <w:r>
        <w:rPr>
          <w:rFonts w:hint="default" w:ascii="Calibri" w:hAnsi="Calibri" w:cs="Calibri"/>
          <w:spacing w:val="0"/>
          <w:sz w:val="24"/>
          <w:szCs w:val="24"/>
        </w:rPr>
        <w:t>CA</w:t>
      </w:r>
      <w:r>
        <w:rPr>
          <w:rFonts w:hint="eastAsia" w:ascii="宋体" w:hAnsi="宋体" w:eastAsia="宋体" w:cs="宋体"/>
          <w:spacing w:val="0"/>
          <w:sz w:val="24"/>
          <w:szCs w:val="24"/>
        </w:rPr>
        <w:t>证书在合同上加盖单位公章或合同章的日期中的最晚时间为准。</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15.4本合同一式</w:t>
      </w:r>
      <w:r>
        <w:rPr>
          <w:rFonts w:hint="eastAsia" w:ascii="宋体" w:hAnsi="宋体" w:eastAsia="宋体" w:cs="宋体"/>
          <w:spacing w:val="0"/>
          <w:sz w:val="24"/>
          <w:szCs w:val="24"/>
          <w:u w:val="single"/>
        </w:rPr>
        <w:t>（填写具体份数）</w:t>
      </w:r>
      <w:r>
        <w:rPr>
          <w:rFonts w:hint="eastAsia" w:ascii="宋体" w:hAnsi="宋体" w:eastAsia="宋体" w:cs="宋体"/>
          <w:spacing w:val="0"/>
          <w:sz w:val="24"/>
          <w:szCs w:val="24"/>
        </w:rPr>
        <w:t>份，经双方授权代表签字并盖章后生效。甲方、乙方各执</w:t>
      </w:r>
      <w:r>
        <w:rPr>
          <w:rFonts w:hint="eastAsia" w:ascii="宋体" w:hAnsi="宋体" w:eastAsia="宋体" w:cs="宋体"/>
          <w:spacing w:val="0"/>
          <w:sz w:val="24"/>
          <w:szCs w:val="24"/>
          <w:u w:val="single"/>
        </w:rPr>
        <w:t>（填写具体份数）</w:t>
      </w:r>
      <w:r>
        <w:rPr>
          <w:rFonts w:hint="eastAsia" w:ascii="宋体" w:hAnsi="宋体" w:eastAsia="宋体" w:cs="宋体"/>
          <w:spacing w:val="0"/>
          <w:sz w:val="24"/>
          <w:szCs w:val="24"/>
        </w:rPr>
        <w:t>份，送</w:t>
      </w:r>
      <w:r>
        <w:rPr>
          <w:rFonts w:hint="eastAsia" w:ascii="宋体" w:hAnsi="宋体" w:eastAsia="宋体" w:cs="宋体"/>
          <w:spacing w:val="0"/>
          <w:sz w:val="24"/>
          <w:szCs w:val="24"/>
          <w:u w:val="single"/>
        </w:rPr>
        <w:t>（填写需要备案的监管部门的全称）</w:t>
      </w:r>
      <w:r>
        <w:rPr>
          <w:rFonts w:hint="eastAsia" w:ascii="宋体" w:hAnsi="宋体" w:eastAsia="宋体" w:cs="宋体"/>
          <w:spacing w:val="0"/>
          <w:sz w:val="24"/>
          <w:szCs w:val="24"/>
        </w:rPr>
        <w:t>备案</w:t>
      </w:r>
      <w:r>
        <w:rPr>
          <w:rFonts w:hint="eastAsia" w:ascii="宋体" w:hAnsi="宋体" w:eastAsia="宋体" w:cs="宋体"/>
          <w:spacing w:val="0"/>
          <w:sz w:val="24"/>
          <w:szCs w:val="24"/>
          <w:u w:val="single"/>
        </w:rPr>
        <w:t>（填写具体份数）</w:t>
      </w:r>
      <w:r>
        <w:rPr>
          <w:rFonts w:hint="eastAsia" w:ascii="宋体" w:hAnsi="宋体" w:eastAsia="宋体" w:cs="宋体"/>
          <w:spacing w:val="0"/>
          <w:sz w:val="24"/>
          <w:szCs w:val="24"/>
        </w:rPr>
        <w:t>份，具有同等效力。</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15.5其他：□无。□</w:t>
      </w:r>
      <w:r>
        <w:rPr>
          <w:rFonts w:hint="eastAsia" w:ascii="宋体" w:hAnsi="宋体" w:eastAsia="宋体" w:cs="宋体"/>
          <w:spacing w:val="0"/>
          <w:sz w:val="24"/>
          <w:szCs w:val="24"/>
          <w:u w:val="single"/>
        </w:rPr>
        <w:t>（按照实际情况编制填写需要增加的内容）</w:t>
      </w:r>
      <w:r>
        <w:rPr>
          <w:rFonts w:hint="eastAsia" w:ascii="宋体" w:hAnsi="宋体" w:eastAsia="宋体" w:cs="宋体"/>
          <w:spacing w:val="0"/>
          <w:sz w:val="24"/>
          <w:szCs w:val="24"/>
        </w:rPr>
        <w:t>。</w:t>
      </w:r>
    </w:p>
    <w:p>
      <w:pPr>
        <w:pStyle w:val="6"/>
        <w:keepNext w:val="0"/>
        <w:keepLines w:val="0"/>
        <w:widowControl/>
        <w:suppressLineNumbers w:val="0"/>
        <w:spacing w:before="75" w:beforeAutospacing="0" w:after="75" w:afterAutospacing="0"/>
        <w:ind w:left="0" w:right="0" w:firstLine="0"/>
        <w:jc w:val="center"/>
      </w:pPr>
      <w:r>
        <w:rPr>
          <w:rFonts w:hint="eastAsia" w:ascii="宋体" w:hAnsi="宋体" w:eastAsia="宋体" w:cs="宋体"/>
          <w:spacing w:val="0"/>
          <w:sz w:val="24"/>
          <w:szCs w:val="24"/>
        </w:rPr>
        <w:t>（以下无正文）</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甲方：                                  乙方：</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住所：                                  住所：</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单位负责人：                            单位负责人：</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委托代理人：                            委托代理人：</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联系方法：                              联系方法：</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开户银行：                              开户银行：</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账号：                                  账号：</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签订地点：</w:t>
      </w:r>
      <w:r>
        <w:rPr>
          <w:rFonts w:hint="eastAsia" w:ascii="宋体" w:hAnsi="宋体" w:eastAsia="宋体" w:cs="宋体"/>
          <w:spacing w:val="0"/>
          <w:sz w:val="24"/>
          <w:szCs w:val="24"/>
          <w:u w:val="single"/>
        </w:rPr>
        <w:t>                </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签订日期：</w:t>
      </w:r>
      <w:r>
        <w:rPr>
          <w:rFonts w:hint="eastAsia" w:ascii="宋体" w:hAnsi="宋体" w:eastAsia="宋体" w:cs="宋体"/>
          <w:spacing w:val="0"/>
          <w:sz w:val="24"/>
          <w:szCs w:val="24"/>
          <w:u w:val="single"/>
        </w:rPr>
        <w:t>    </w:t>
      </w:r>
      <w:r>
        <w:rPr>
          <w:rFonts w:hint="eastAsia" w:ascii="宋体" w:hAnsi="宋体" w:eastAsia="宋体" w:cs="宋体"/>
          <w:spacing w:val="0"/>
          <w:sz w:val="24"/>
          <w:szCs w:val="24"/>
        </w:rPr>
        <w:t>年</w:t>
      </w:r>
      <w:r>
        <w:rPr>
          <w:rFonts w:hint="eastAsia" w:ascii="宋体" w:hAnsi="宋体" w:eastAsia="宋体" w:cs="宋体"/>
          <w:spacing w:val="0"/>
          <w:sz w:val="24"/>
          <w:szCs w:val="24"/>
          <w:u w:val="single"/>
        </w:rPr>
        <w:t>   </w:t>
      </w:r>
      <w:r>
        <w:rPr>
          <w:rFonts w:hint="eastAsia" w:ascii="宋体" w:hAnsi="宋体" w:eastAsia="宋体" w:cs="宋体"/>
          <w:spacing w:val="0"/>
          <w:sz w:val="24"/>
          <w:szCs w:val="24"/>
        </w:rPr>
        <w:t>月</w:t>
      </w:r>
      <w:r>
        <w:rPr>
          <w:rFonts w:hint="eastAsia" w:ascii="宋体" w:hAnsi="宋体" w:eastAsia="宋体" w:cs="宋体"/>
          <w:spacing w:val="0"/>
          <w:sz w:val="24"/>
          <w:szCs w:val="24"/>
          <w:u w:val="single"/>
        </w:rPr>
        <w:t>   </w:t>
      </w:r>
      <w:r>
        <w:rPr>
          <w:rFonts w:hint="eastAsia" w:ascii="宋体" w:hAnsi="宋体" w:eastAsia="宋体" w:cs="宋体"/>
          <w:spacing w:val="0"/>
          <w:sz w:val="24"/>
          <w:szCs w:val="24"/>
        </w:rPr>
        <w:t>日</w:t>
      </w:r>
    </w:p>
    <w:p>
      <w:pPr>
        <w:pStyle w:val="6"/>
        <w:keepNext w:val="0"/>
        <w:keepLines w:val="0"/>
        <w:widowControl/>
        <w:suppressLineNumbers w:val="0"/>
        <w:spacing w:before="75" w:beforeAutospacing="0" w:after="75" w:afterAutospacing="0"/>
        <w:ind w:left="0" w:right="0" w:firstLine="0"/>
        <w:jc w:val="center"/>
      </w:pPr>
      <w:r>
        <w:rPr>
          <w:spacing w:val="0"/>
          <w:sz w:val="24"/>
          <w:szCs w:val="24"/>
        </w:rPr>
        <w:t> </w:t>
      </w:r>
    </w:p>
    <w:p>
      <w:pPr>
        <w:pStyle w:val="6"/>
        <w:keepNext w:val="0"/>
        <w:keepLines w:val="0"/>
        <w:widowControl/>
        <w:suppressLineNumbers w:val="0"/>
        <w:spacing w:before="75" w:beforeAutospacing="0" w:after="240" w:afterAutospacing="0"/>
        <w:ind w:left="0" w:right="0" w:firstLine="0"/>
      </w:pPr>
      <w:r>
        <w:rPr>
          <w:spacing w:val="0"/>
          <w:sz w:val="24"/>
          <w:szCs w:val="24"/>
        </w:rPr>
        <w:t> </w:t>
      </w:r>
    </w:p>
    <w:p>
      <w:pPr>
        <w:pStyle w:val="6"/>
        <w:keepNext w:val="0"/>
        <w:keepLines w:val="0"/>
        <w:widowControl/>
        <w:suppressLineNumbers w:val="0"/>
        <w:spacing w:before="75" w:beforeAutospacing="0" w:after="75" w:afterAutospacing="0"/>
        <w:ind w:left="0" w:right="0" w:firstLine="0"/>
      </w:pPr>
      <w:r>
        <w:rPr>
          <w:rFonts w:hint="default" w:ascii="Calibri" w:hAnsi="Calibri" w:cs="Calibri"/>
          <w:spacing w:val="0"/>
          <w:sz w:val="21"/>
          <w:szCs w:val="21"/>
        </w:rPr>
        <w:t>                                                                                  </w:t>
      </w:r>
    </w:p>
    <w:p>
      <w:pPr>
        <w:pStyle w:val="6"/>
        <w:keepNext w:val="0"/>
        <w:keepLines w:val="0"/>
        <w:widowControl/>
        <w:suppressLineNumbers w:val="0"/>
        <w:spacing w:before="75" w:beforeAutospacing="0" w:after="75" w:afterAutospacing="0"/>
        <w:ind w:left="0" w:right="0" w:firstLine="0"/>
        <w:jc w:val="center"/>
      </w:pPr>
      <w:r>
        <w:rPr>
          <w:rStyle w:val="10"/>
          <w:rFonts w:hint="eastAsia" w:ascii="宋体" w:hAnsi="宋体" w:eastAsia="宋体" w:cs="宋体"/>
          <w:spacing w:val="0"/>
          <w:sz w:val="31"/>
          <w:szCs w:val="31"/>
        </w:rPr>
        <w:t>第七章   投标文件格式</w:t>
      </w:r>
    </w:p>
    <w:p>
      <w:pPr>
        <w:pStyle w:val="6"/>
        <w:keepNext w:val="0"/>
        <w:keepLines w:val="0"/>
        <w:widowControl/>
        <w:suppressLineNumbers w:val="0"/>
        <w:jc w:val="center"/>
      </w:pPr>
      <w:r>
        <w:rPr>
          <w:rStyle w:val="10"/>
          <w:rFonts w:hint="eastAsia" w:ascii="宋体" w:hAnsi="宋体" w:eastAsia="宋体" w:cs="宋体"/>
          <w:sz w:val="24"/>
          <w:szCs w:val="24"/>
        </w:rPr>
        <w:t>编制说明</w:t>
      </w:r>
    </w:p>
    <w:p>
      <w:pPr>
        <w:pStyle w:val="6"/>
        <w:keepNext w:val="0"/>
        <w:keepLines w:val="0"/>
        <w:widowControl/>
        <w:suppressLineNumbers w:val="0"/>
      </w:pPr>
      <w:r>
        <w:rPr>
          <w:rFonts w:hint="eastAsia" w:ascii="宋体" w:hAnsi="宋体" w:eastAsia="宋体" w:cs="宋体"/>
          <w:sz w:val="24"/>
          <w:szCs w:val="24"/>
        </w:rPr>
        <w:t> </w:t>
      </w:r>
    </w:p>
    <w:p>
      <w:pPr>
        <w:pStyle w:val="6"/>
        <w:keepNext w:val="0"/>
        <w:keepLines w:val="0"/>
        <w:widowControl/>
        <w:suppressLineNumbers w:val="0"/>
        <w:ind w:left="0" w:firstLine="480"/>
      </w:pPr>
      <w:r>
        <w:rPr>
          <w:rFonts w:hint="eastAsia" w:ascii="宋体" w:hAnsi="宋体" w:eastAsia="宋体" w:cs="宋体"/>
          <w:sz w:val="24"/>
          <w:szCs w:val="24"/>
        </w:rPr>
        <w:t>1、除招标文件另有规定外，本章中：</w:t>
      </w:r>
    </w:p>
    <w:p>
      <w:pPr>
        <w:pStyle w:val="6"/>
        <w:keepNext w:val="0"/>
        <w:keepLines w:val="0"/>
        <w:widowControl/>
        <w:suppressLineNumbers w:val="0"/>
        <w:ind w:left="0" w:firstLine="480"/>
      </w:pPr>
      <w:r>
        <w:rPr>
          <w:rFonts w:hint="eastAsia" w:ascii="宋体" w:hAnsi="宋体" w:eastAsia="宋体" w:cs="宋体"/>
          <w:sz w:val="24"/>
          <w:szCs w:val="24"/>
        </w:rPr>
        <w:t>1.1涉及投标人的</w:t>
      </w:r>
      <w:r>
        <w:rPr>
          <w:rStyle w:val="10"/>
          <w:rFonts w:hint="eastAsia" w:ascii="宋体" w:hAnsi="宋体" w:eastAsia="宋体" w:cs="宋体"/>
          <w:sz w:val="24"/>
          <w:szCs w:val="24"/>
        </w:rPr>
        <w:t>“全称”</w:t>
      </w:r>
      <w:r>
        <w:rPr>
          <w:rFonts w:hint="eastAsia" w:ascii="宋体" w:hAnsi="宋体" w:eastAsia="宋体" w:cs="宋体"/>
          <w:sz w:val="24"/>
          <w:szCs w:val="24"/>
        </w:rPr>
        <w:t>：</w:t>
      </w:r>
    </w:p>
    <w:p>
      <w:pPr>
        <w:pStyle w:val="6"/>
        <w:keepNext w:val="0"/>
        <w:keepLines w:val="0"/>
        <w:widowControl/>
        <w:suppressLineNumbers w:val="0"/>
        <w:ind w:left="0" w:firstLine="480"/>
      </w:pPr>
      <w:r>
        <w:rPr>
          <w:rFonts w:hint="eastAsia" w:ascii="宋体" w:hAnsi="宋体" w:eastAsia="宋体" w:cs="宋体"/>
          <w:sz w:val="24"/>
          <w:szCs w:val="24"/>
        </w:rPr>
        <w:t>（1）不接受联合体投标的，指</w:t>
      </w:r>
      <w:r>
        <w:rPr>
          <w:rStyle w:val="10"/>
          <w:rFonts w:hint="eastAsia" w:ascii="宋体" w:hAnsi="宋体" w:eastAsia="宋体" w:cs="宋体"/>
          <w:sz w:val="24"/>
          <w:szCs w:val="24"/>
        </w:rPr>
        <w:t>投标人的全称</w:t>
      </w:r>
      <w:r>
        <w:rPr>
          <w:rFonts w:hint="eastAsia" w:ascii="宋体" w:hAnsi="宋体" w:eastAsia="宋体" w:cs="宋体"/>
          <w:sz w:val="24"/>
          <w:szCs w:val="24"/>
        </w:rPr>
        <w:t>。</w:t>
      </w:r>
    </w:p>
    <w:p>
      <w:pPr>
        <w:pStyle w:val="6"/>
        <w:keepNext w:val="0"/>
        <w:keepLines w:val="0"/>
        <w:widowControl/>
        <w:suppressLineNumbers w:val="0"/>
        <w:ind w:left="0" w:firstLine="480"/>
      </w:pPr>
      <w:r>
        <w:rPr>
          <w:rFonts w:hint="eastAsia" w:ascii="宋体" w:hAnsi="宋体" w:eastAsia="宋体" w:cs="宋体"/>
          <w:sz w:val="24"/>
          <w:szCs w:val="24"/>
        </w:rPr>
        <w:t>（2）接受联合体投标且投标人为联合体的，指</w:t>
      </w:r>
      <w:r>
        <w:rPr>
          <w:rStyle w:val="10"/>
          <w:rFonts w:hint="eastAsia" w:ascii="宋体" w:hAnsi="宋体" w:eastAsia="宋体" w:cs="宋体"/>
          <w:sz w:val="24"/>
          <w:szCs w:val="24"/>
        </w:rPr>
        <w:t>牵头方的全称</w:t>
      </w:r>
      <w:r>
        <w:rPr>
          <w:rFonts w:hint="eastAsia" w:ascii="宋体" w:hAnsi="宋体" w:eastAsia="宋体" w:cs="宋体"/>
          <w:sz w:val="24"/>
          <w:szCs w:val="24"/>
        </w:rPr>
        <w:t>并加注</w:t>
      </w:r>
      <w:r>
        <w:rPr>
          <w:rStyle w:val="10"/>
          <w:rFonts w:hint="eastAsia" w:ascii="宋体" w:hAnsi="宋体" w:eastAsia="宋体" w:cs="宋体"/>
          <w:sz w:val="24"/>
          <w:szCs w:val="24"/>
        </w:rPr>
        <w:t>（联合体牵头方）</w:t>
      </w:r>
      <w:r>
        <w:rPr>
          <w:rFonts w:hint="eastAsia" w:ascii="宋体" w:hAnsi="宋体" w:eastAsia="宋体" w:cs="宋体"/>
          <w:sz w:val="24"/>
          <w:szCs w:val="24"/>
        </w:rPr>
        <w:t>，即应表述为：</w:t>
      </w:r>
      <w:r>
        <w:rPr>
          <w:rStyle w:val="10"/>
          <w:rFonts w:hint="eastAsia" w:ascii="宋体" w:hAnsi="宋体" w:eastAsia="宋体" w:cs="宋体"/>
          <w:sz w:val="24"/>
          <w:szCs w:val="24"/>
        </w:rPr>
        <w:t>“牵头方的全称（联合体牵头方）”</w:t>
      </w:r>
      <w:r>
        <w:rPr>
          <w:rFonts w:hint="eastAsia" w:ascii="宋体" w:hAnsi="宋体" w:eastAsia="宋体" w:cs="宋体"/>
          <w:sz w:val="24"/>
          <w:szCs w:val="24"/>
        </w:rPr>
        <w:t>。</w:t>
      </w:r>
    </w:p>
    <w:p>
      <w:pPr>
        <w:pStyle w:val="6"/>
        <w:keepNext w:val="0"/>
        <w:keepLines w:val="0"/>
        <w:widowControl/>
        <w:suppressLineNumbers w:val="0"/>
        <w:ind w:left="0" w:firstLine="480"/>
      </w:pPr>
      <w:r>
        <w:rPr>
          <w:rFonts w:hint="eastAsia" w:ascii="宋体" w:hAnsi="宋体" w:eastAsia="宋体" w:cs="宋体"/>
          <w:sz w:val="24"/>
          <w:szCs w:val="24"/>
        </w:rPr>
        <w:t>1.2涉及投标人</w:t>
      </w:r>
      <w:r>
        <w:rPr>
          <w:rStyle w:val="10"/>
          <w:rFonts w:hint="eastAsia" w:ascii="宋体" w:hAnsi="宋体" w:eastAsia="宋体" w:cs="宋体"/>
          <w:sz w:val="24"/>
          <w:szCs w:val="24"/>
        </w:rPr>
        <w:t>“加盖单位公章”</w:t>
      </w:r>
      <w:r>
        <w:rPr>
          <w:rFonts w:hint="eastAsia" w:ascii="宋体" w:hAnsi="宋体" w:eastAsia="宋体" w:cs="宋体"/>
          <w:sz w:val="24"/>
          <w:szCs w:val="24"/>
        </w:rPr>
        <w:t>：</w:t>
      </w:r>
    </w:p>
    <w:p>
      <w:pPr>
        <w:pStyle w:val="6"/>
        <w:keepNext w:val="0"/>
        <w:keepLines w:val="0"/>
        <w:widowControl/>
        <w:suppressLineNumbers w:val="0"/>
        <w:ind w:left="0" w:firstLine="480"/>
      </w:pPr>
      <w:r>
        <w:rPr>
          <w:rFonts w:hint="eastAsia" w:ascii="宋体" w:hAnsi="宋体" w:eastAsia="宋体" w:cs="宋体"/>
          <w:sz w:val="24"/>
          <w:szCs w:val="24"/>
        </w:rPr>
        <w:t>（1）不接受联合体投标的，指</w:t>
      </w:r>
      <w:r>
        <w:rPr>
          <w:rStyle w:val="10"/>
          <w:rFonts w:hint="eastAsia" w:ascii="宋体" w:hAnsi="宋体" w:eastAsia="宋体" w:cs="宋体"/>
          <w:sz w:val="24"/>
          <w:szCs w:val="24"/>
        </w:rPr>
        <w:t>加盖投标人的单位公章</w:t>
      </w:r>
      <w:r>
        <w:rPr>
          <w:rFonts w:hint="eastAsia" w:ascii="宋体" w:hAnsi="宋体" w:eastAsia="宋体" w:cs="宋体"/>
          <w:sz w:val="24"/>
          <w:szCs w:val="24"/>
        </w:rPr>
        <w:t>。</w:t>
      </w:r>
    </w:p>
    <w:p>
      <w:pPr>
        <w:pStyle w:val="6"/>
        <w:keepNext w:val="0"/>
        <w:keepLines w:val="0"/>
        <w:widowControl/>
        <w:suppressLineNumbers w:val="0"/>
        <w:ind w:left="0" w:firstLine="480"/>
      </w:pPr>
      <w:r>
        <w:rPr>
          <w:rFonts w:hint="eastAsia" w:ascii="宋体" w:hAnsi="宋体" w:eastAsia="宋体" w:cs="宋体"/>
          <w:sz w:val="24"/>
          <w:szCs w:val="24"/>
        </w:rPr>
        <w:t>（2）接受联合体投标且投标人为联合体的，指</w:t>
      </w:r>
      <w:r>
        <w:rPr>
          <w:rStyle w:val="10"/>
          <w:rFonts w:hint="eastAsia" w:ascii="宋体" w:hAnsi="宋体" w:eastAsia="宋体" w:cs="宋体"/>
          <w:sz w:val="24"/>
          <w:szCs w:val="24"/>
        </w:rPr>
        <w:t>加盖联合体牵头方的单位公章</w:t>
      </w:r>
      <w:r>
        <w:rPr>
          <w:rFonts w:hint="eastAsia" w:ascii="宋体" w:hAnsi="宋体" w:eastAsia="宋体" w:cs="宋体"/>
          <w:sz w:val="24"/>
          <w:szCs w:val="24"/>
        </w:rPr>
        <w:t>。</w:t>
      </w:r>
    </w:p>
    <w:p>
      <w:pPr>
        <w:pStyle w:val="6"/>
        <w:keepNext w:val="0"/>
        <w:keepLines w:val="0"/>
        <w:widowControl/>
        <w:suppressLineNumbers w:val="0"/>
        <w:ind w:left="0" w:firstLine="480"/>
      </w:pPr>
      <w:r>
        <w:rPr>
          <w:rFonts w:hint="eastAsia" w:ascii="宋体" w:hAnsi="宋体" w:eastAsia="宋体" w:cs="宋体"/>
          <w:sz w:val="24"/>
          <w:szCs w:val="24"/>
        </w:rPr>
        <w:t>1.3涉及</w:t>
      </w:r>
      <w:r>
        <w:rPr>
          <w:rStyle w:val="10"/>
          <w:rFonts w:hint="eastAsia" w:ascii="宋体" w:hAnsi="宋体" w:eastAsia="宋体" w:cs="宋体"/>
          <w:sz w:val="24"/>
          <w:szCs w:val="24"/>
        </w:rPr>
        <w:t>“投标人代表签字”</w:t>
      </w:r>
      <w:r>
        <w:rPr>
          <w:rFonts w:hint="eastAsia" w:ascii="宋体" w:hAnsi="宋体" w:eastAsia="宋体" w:cs="宋体"/>
          <w:sz w:val="24"/>
          <w:szCs w:val="24"/>
        </w:rPr>
        <w:t>：</w:t>
      </w:r>
    </w:p>
    <w:p>
      <w:pPr>
        <w:pStyle w:val="6"/>
        <w:keepNext w:val="0"/>
        <w:keepLines w:val="0"/>
        <w:widowControl/>
        <w:suppressLineNumbers w:val="0"/>
        <w:ind w:left="0" w:firstLine="480"/>
      </w:pPr>
      <w:r>
        <w:rPr>
          <w:rFonts w:hint="eastAsia" w:ascii="宋体" w:hAnsi="宋体" w:eastAsia="宋体" w:cs="宋体"/>
          <w:sz w:val="24"/>
          <w:szCs w:val="24"/>
        </w:rPr>
        <w:t>（1）不接受联合体投标的，指由</w:t>
      </w:r>
      <w:r>
        <w:rPr>
          <w:rStyle w:val="10"/>
          <w:rFonts w:hint="eastAsia" w:ascii="宋体" w:hAnsi="宋体" w:eastAsia="宋体" w:cs="宋体"/>
          <w:sz w:val="24"/>
          <w:szCs w:val="24"/>
        </w:rPr>
        <w:t>投标人的单位负责人或其授权的委托代理人签字</w:t>
      </w:r>
      <w:r>
        <w:rPr>
          <w:rFonts w:hint="eastAsia" w:ascii="宋体" w:hAnsi="宋体" w:eastAsia="宋体" w:cs="宋体"/>
          <w:sz w:val="24"/>
          <w:szCs w:val="24"/>
        </w:rPr>
        <w:t>，由委托代理人签字的，应提供“单位负责人授权书”。</w:t>
      </w:r>
    </w:p>
    <w:p>
      <w:pPr>
        <w:pStyle w:val="6"/>
        <w:keepNext w:val="0"/>
        <w:keepLines w:val="0"/>
        <w:widowControl/>
        <w:suppressLineNumbers w:val="0"/>
        <w:ind w:left="0" w:firstLine="480"/>
      </w:pPr>
      <w:r>
        <w:rPr>
          <w:rFonts w:hint="eastAsia" w:ascii="宋体" w:hAnsi="宋体" w:eastAsia="宋体" w:cs="宋体"/>
          <w:sz w:val="24"/>
          <w:szCs w:val="24"/>
        </w:rPr>
        <w:t>（2）接受联合体投标且投标人为联合体的，指由</w:t>
      </w:r>
      <w:r>
        <w:rPr>
          <w:rStyle w:val="10"/>
          <w:rFonts w:hint="eastAsia" w:ascii="宋体" w:hAnsi="宋体" w:eastAsia="宋体" w:cs="宋体"/>
          <w:sz w:val="24"/>
          <w:szCs w:val="24"/>
        </w:rPr>
        <w:t>联合体牵头方的单位负责人或其授权的委托代理人签字</w:t>
      </w:r>
      <w:r>
        <w:rPr>
          <w:rFonts w:hint="eastAsia" w:ascii="宋体" w:hAnsi="宋体" w:eastAsia="宋体" w:cs="宋体"/>
          <w:sz w:val="24"/>
          <w:szCs w:val="24"/>
        </w:rPr>
        <w:t>，由委托代理人签字的，应提供“单位负责人授权书”。</w:t>
      </w:r>
    </w:p>
    <w:p>
      <w:pPr>
        <w:pStyle w:val="6"/>
        <w:keepNext w:val="0"/>
        <w:keepLines w:val="0"/>
        <w:widowControl/>
        <w:suppressLineNumbers w:val="0"/>
        <w:ind w:left="0" w:firstLine="480"/>
      </w:pPr>
      <w:r>
        <w:rPr>
          <w:rFonts w:hint="eastAsia" w:ascii="宋体" w:hAnsi="宋体" w:eastAsia="宋体" w:cs="宋体"/>
          <w:sz w:val="24"/>
          <w:szCs w:val="24"/>
        </w:rPr>
        <w:t>1.4</w:t>
      </w:r>
      <w:r>
        <w:rPr>
          <w:rStyle w:val="10"/>
          <w:rFonts w:hint="eastAsia" w:ascii="宋体" w:hAnsi="宋体" w:eastAsia="宋体" w:cs="宋体"/>
          <w:sz w:val="24"/>
          <w:szCs w:val="24"/>
        </w:rPr>
        <w:t>“其他组织”</w:t>
      </w:r>
      <w:r>
        <w:rPr>
          <w:rFonts w:hint="eastAsia" w:ascii="宋体" w:hAnsi="宋体" w:eastAsia="宋体" w:cs="宋体"/>
          <w:sz w:val="24"/>
          <w:szCs w:val="24"/>
        </w:rPr>
        <w:t>指合伙企业、非企业专业服务机构、个体工商户、农村承包经营户等。</w:t>
      </w:r>
    </w:p>
    <w:p>
      <w:pPr>
        <w:pStyle w:val="6"/>
        <w:keepNext w:val="0"/>
        <w:keepLines w:val="0"/>
        <w:widowControl/>
        <w:suppressLineNumbers w:val="0"/>
        <w:ind w:left="0" w:firstLine="480"/>
      </w:pPr>
      <w:r>
        <w:rPr>
          <w:rFonts w:hint="eastAsia" w:ascii="宋体" w:hAnsi="宋体" w:eastAsia="宋体" w:cs="宋体"/>
          <w:sz w:val="24"/>
          <w:szCs w:val="24"/>
        </w:rPr>
        <w:t>1.5</w:t>
      </w:r>
      <w:r>
        <w:rPr>
          <w:rStyle w:val="10"/>
          <w:rFonts w:hint="eastAsia" w:ascii="宋体" w:hAnsi="宋体" w:eastAsia="宋体" w:cs="宋体"/>
          <w:sz w:val="24"/>
          <w:szCs w:val="24"/>
        </w:rPr>
        <w:t>“自然人”</w:t>
      </w:r>
      <w:r>
        <w:rPr>
          <w:rFonts w:hint="eastAsia" w:ascii="宋体" w:hAnsi="宋体" w:eastAsia="宋体" w:cs="宋体"/>
          <w:sz w:val="24"/>
          <w:szCs w:val="24"/>
        </w:rPr>
        <w:t>指具有完全民事行为能力、能够承担民事责任和义务的中国公民。</w:t>
      </w:r>
    </w:p>
    <w:p>
      <w:pPr>
        <w:pStyle w:val="6"/>
        <w:keepNext w:val="0"/>
        <w:keepLines w:val="0"/>
        <w:widowControl/>
        <w:suppressLineNumbers w:val="0"/>
        <w:ind w:left="0" w:firstLine="480"/>
      </w:pPr>
      <w:r>
        <w:rPr>
          <w:rFonts w:hint="eastAsia" w:ascii="宋体" w:hAnsi="宋体" w:eastAsia="宋体" w:cs="宋体"/>
          <w:sz w:val="24"/>
          <w:szCs w:val="24"/>
        </w:rPr>
        <w:t>2、除招标文件另有规定外，本章中</w:t>
      </w:r>
      <w:r>
        <w:rPr>
          <w:rStyle w:val="10"/>
          <w:rFonts w:hint="eastAsia" w:ascii="宋体" w:hAnsi="宋体" w:eastAsia="宋体" w:cs="宋体"/>
          <w:sz w:val="24"/>
          <w:szCs w:val="24"/>
        </w:rPr>
        <w:t>“投标人的资格及资信证明文件”</w:t>
      </w:r>
      <w:r>
        <w:rPr>
          <w:rFonts w:hint="eastAsia" w:ascii="宋体" w:hAnsi="宋体" w:eastAsia="宋体" w:cs="宋体"/>
          <w:sz w:val="24"/>
          <w:szCs w:val="24"/>
        </w:rPr>
        <w:t>：</w:t>
      </w:r>
    </w:p>
    <w:p>
      <w:pPr>
        <w:pStyle w:val="6"/>
        <w:keepNext w:val="0"/>
        <w:keepLines w:val="0"/>
        <w:widowControl/>
        <w:suppressLineNumbers w:val="0"/>
        <w:ind w:left="0" w:firstLine="480"/>
      </w:pPr>
      <w:r>
        <w:rPr>
          <w:rFonts w:hint="eastAsia" w:ascii="宋体" w:hAnsi="宋体" w:eastAsia="宋体" w:cs="宋体"/>
          <w:sz w:val="24"/>
          <w:szCs w:val="24"/>
        </w:rPr>
        <w:t>2.1投标人应按照招标文件第四章第</w:t>
      </w:r>
      <w:r>
        <w:rPr>
          <w:rFonts w:hint="default" w:ascii="Calibri" w:hAnsi="Calibri" w:eastAsia="宋体" w:cs="Calibri"/>
          <w:sz w:val="24"/>
          <w:szCs w:val="24"/>
        </w:rPr>
        <w:t>1.3</w:t>
      </w:r>
      <w:r>
        <w:rPr>
          <w:rFonts w:hint="eastAsia" w:ascii="宋体" w:hAnsi="宋体" w:eastAsia="宋体" w:cs="宋体"/>
          <w:sz w:val="24"/>
          <w:szCs w:val="24"/>
        </w:rPr>
        <w:t>条第（</w:t>
      </w:r>
      <w:r>
        <w:rPr>
          <w:rFonts w:hint="default" w:ascii="Calibri" w:hAnsi="Calibri" w:eastAsia="宋体" w:cs="Calibri"/>
          <w:sz w:val="24"/>
          <w:szCs w:val="24"/>
        </w:rPr>
        <w:t>2</w:t>
      </w:r>
      <w:r>
        <w:rPr>
          <w:rFonts w:hint="eastAsia" w:ascii="宋体" w:hAnsi="宋体" w:eastAsia="宋体" w:cs="宋体"/>
          <w:sz w:val="24"/>
          <w:szCs w:val="24"/>
        </w:rPr>
        <w:t>）款规定及本章规定进行编制，如有必要，可增加附页，附页作为资格及资信文件的组成部分。</w:t>
      </w:r>
    </w:p>
    <w:p>
      <w:pPr>
        <w:pStyle w:val="6"/>
        <w:keepNext w:val="0"/>
        <w:keepLines w:val="0"/>
        <w:widowControl/>
        <w:suppressLineNumbers w:val="0"/>
        <w:ind w:left="0" w:firstLine="480"/>
      </w:pPr>
      <w:r>
        <w:rPr>
          <w:rFonts w:hint="eastAsia" w:ascii="宋体" w:hAnsi="宋体" w:eastAsia="宋体" w:cs="宋体"/>
          <w:sz w:val="24"/>
          <w:szCs w:val="24"/>
        </w:rPr>
        <w:t>2.2接受联合体投标且投标人为联合体的，联合体中的各方均应按照本章第</w:t>
      </w:r>
      <w:r>
        <w:rPr>
          <w:rFonts w:hint="default" w:ascii="Calibri" w:hAnsi="Calibri" w:eastAsia="宋体" w:cs="Calibri"/>
          <w:sz w:val="24"/>
          <w:szCs w:val="24"/>
        </w:rPr>
        <w:t>2.1</w:t>
      </w:r>
      <w:r>
        <w:rPr>
          <w:rFonts w:hint="eastAsia" w:ascii="宋体" w:hAnsi="宋体" w:eastAsia="宋体" w:cs="宋体"/>
          <w:sz w:val="24"/>
          <w:szCs w:val="24"/>
        </w:rPr>
        <w:t>条规定提交相应的全部资料。</w:t>
      </w:r>
    </w:p>
    <w:p>
      <w:pPr>
        <w:pStyle w:val="6"/>
        <w:keepNext w:val="0"/>
        <w:keepLines w:val="0"/>
        <w:widowControl/>
        <w:suppressLineNumbers w:val="0"/>
        <w:ind w:left="0" w:firstLine="480"/>
      </w:pPr>
      <w:r>
        <w:rPr>
          <w:rFonts w:hint="eastAsia" w:ascii="宋体" w:hAnsi="宋体" w:eastAsia="宋体" w:cs="宋体"/>
          <w:sz w:val="24"/>
          <w:szCs w:val="24"/>
        </w:rPr>
        <w:t>3、投标人对投标文件的索引应编制页码。</w:t>
      </w:r>
    </w:p>
    <w:p>
      <w:pPr>
        <w:pStyle w:val="6"/>
        <w:keepNext w:val="0"/>
        <w:keepLines w:val="0"/>
        <w:widowControl/>
        <w:suppressLineNumbers w:val="0"/>
        <w:ind w:left="0" w:firstLine="480"/>
      </w:pPr>
      <w:r>
        <w:rPr>
          <w:rFonts w:hint="eastAsia" w:ascii="宋体" w:hAnsi="宋体" w:eastAsia="宋体" w:cs="宋体"/>
          <w:sz w:val="24"/>
          <w:szCs w:val="24"/>
        </w:rPr>
        <w:t>4、除招标文件另有规定外，本章中：</w:t>
      </w:r>
    </w:p>
    <w:p>
      <w:pPr>
        <w:pStyle w:val="6"/>
        <w:keepNext w:val="0"/>
        <w:keepLines w:val="0"/>
        <w:widowControl/>
        <w:suppressLineNumbers w:val="0"/>
        <w:ind w:left="0" w:firstLine="480"/>
      </w:pPr>
      <w:r>
        <w:rPr>
          <w:rFonts w:hint="eastAsia" w:ascii="宋体" w:hAnsi="宋体" w:eastAsia="宋体" w:cs="宋体"/>
          <w:sz w:val="24"/>
          <w:szCs w:val="24"/>
        </w:rPr>
        <w:t>4.1除《检察机关行贿犯罪档案查询结果告知函》外，招标文件要求原件的，投标人在纸质投标文件正本中应提供原件；招标文件要求复印件的，投标人在纸质投标文件中提供原件、复印件（含扫描件）皆可；招标文件对原件、复印件未作要求的，投标人在纸质投标文件中提供原件、复印件（含扫描件）皆可。</w:t>
      </w:r>
    </w:p>
    <w:p>
      <w:pPr>
        <w:pStyle w:val="6"/>
        <w:keepNext w:val="0"/>
        <w:keepLines w:val="0"/>
        <w:widowControl/>
        <w:suppressLineNumbers w:val="0"/>
        <w:ind w:left="0" w:firstLine="480"/>
      </w:pPr>
      <w:r>
        <w:rPr>
          <w:rFonts w:hint="eastAsia" w:ascii="宋体" w:hAnsi="宋体" w:eastAsia="宋体" w:cs="宋体"/>
          <w:sz w:val="24"/>
          <w:szCs w:val="24"/>
        </w:rPr>
        <w:t>4.2除《检察机关行贿犯罪档案查询结果告知函》外，若投标人提供注明“复印件无效”的证明材料或资料，其纸质投标文件正本中应提供原件。</w:t>
      </w:r>
    </w:p>
    <w:p>
      <w:pPr>
        <w:pStyle w:val="6"/>
        <w:keepNext w:val="0"/>
        <w:keepLines w:val="0"/>
        <w:widowControl/>
        <w:suppressLineNumbers w:val="0"/>
        <w:ind w:left="0" w:firstLine="480"/>
      </w:pPr>
      <w:r>
        <w:rPr>
          <w:rFonts w:hint="eastAsia" w:ascii="宋体" w:hAnsi="宋体" w:eastAsia="宋体" w:cs="宋体"/>
          <w:sz w:val="24"/>
          <w:szCs w:val="24"/>
        </w:rPr>
        <w:t>4.3《检察机关行贿犯罪档案查询结果告知函》：投标人在纸质投标文件正本中提供原件、复印件（含扫描件）、符合本章规定的打印件（或截图）皆可。</w:t>
      </w:r>
    </w:p>
    <w:p>
      <w:pPr>
        <w:pStyle w:val="6"/>
        <w:keepNext w:val="0"/>
        <w:keepLines w:val="0"/>
        <w:widowControl/>
        <w:suppressLineNumbers w:val="0"/>
      </w:pPr>
    </w:p>
    <w:p>
      <w:pPr>
        <w:pStyle w:val="6"/>
        <w:keepNext w:val="0"/>
        <w:keepLines w:val="0"/>
        <w:widowControl/>
        <w:suppressLineNumbers w:val="0"/>
      </w:pPr>
      <w:r>
        <w:rPr>
          <w:rFonts w:hint="eastAsia" w:ascii="宋体" w:hAnsi="宋体" w:eastAsia="宋体" w:cs="宋体"/>
          <w:sz w:val="21"/>
          <w:szCs w:val="21"/>
        </w:rPr>
        <w:t> </w:t>
      </w:r>
    </w:p>
    <w:p>
      <w:pPr>
        <w:pStyle w:val="6"/>
        <w:keepNext w:val="0"/>
        <w:keepLines w:val="0"/>
        <w:widowControl/>
        <w:suppressLineNumbers w:val="0"/>
      </w:pPr>
      <w:r>
        <w:rPr>
          <w:rFonts w:hint="eastAsia" w:ascii="宋体" w:hAnsi="宋体" w:eastAsia="宋体" w:cs="宋体"/>
          <w:sz w:val="21"/>
          <w:szCs w:val="21"/>
        </w:rPr>
        <w:t> </w:t>
      </w:r>
    </w:p>
    <w:p>
      <w:pPr>
        <w:pStyle w:val="6"/>
        <w:keepNext w:val="0"/>
        <w:keepLines w:val="0"/>
        <w:widowControl/>
        <w:suppressLineNumbers w:val="0"/>
        <w:jc w:val="center"/>
      </w:pPr>
      <w:r>
        <w:rPr>
          <w:rStyle w:val="10"/>
          <w:rFonts w:hint="eastAsia" w:ascii="宋体" w:hAnsi="宋体" w:eastAsia="宋体" w:cs="宋体"/>
          <w:sz w:val="28"/>
          <w:szCs w:val="28"/>
        </w:rPr>
        <w:t>封面格式</w:t>
      </w:r>
    </w:p>
    <w:p>
      <w:pPr>
        <w:pStyle w:val="6"/>
        <w:keepNext w:val="0"/>
        <w:keepLines w:val="0"/>
        <w:widowControl/>
        <w:suppressLineNumbers w:val="0"/>
      </w:pPr>
      <w:r>
        <w:rPr>
          <w:rFonts w:hint="eastAsia" w:ascii="宋体" w:hAnsi="宋体" w:eastAsia="宋体" w:cs="宋体"/>
          <w:sz w:val="36"/>
          <w:szCs w:val="36"/>
        </w:rPr>
        <w:t> </w:t>
      </w:r>
    </w:p>
    <w:p>
      <w:pPr>
        <w:pStyle w:val="6"/>
        <w:keepNext w:val="0"/>
        <w:keepLines w:val="0"/>
        <w:widowControl/>
        <w:suppressLineNumbers w:val="0"/>
      </w:pPr>
      <w:r>
        <w:rPr>
          <w:rFonts w:hint="eastAsia" w:ascii="宋体" w:hAnsi="宋体" w:eastAsia="宋体" w:cs="宋体"/>
          <w:sz w:val="36"/>
          <w:szCs w:val="36"/>
        </w:rPr>
        <w:t> </w:t>
      </w:r>
    </w:p>
    <w:p>
      <w:pPr>
        <w:pStyle w:val="6"/>
        <w:keepNext w:val="0"/>
        <w:keepLines w:val="0"/>
        <w:widowControl/>
        <w:suppressLineNumbers w:val="0"/>
      </w:pPr>
      <w:r>
        <w:rPr>
          <w:rFonts w:hint="eastAsia" w:ascii="宋体" w:hAnsi="宋体" w:eastAsia="宋体" w:cs="宋体"/>
          <w:sz w:val="36"/>
          <w:szCs w:val="36"/>
        </w:rPr>
        <w:t> </w:t>
      </w:r>
    </w:p>
    <w:p>
      <w:pPr>
        <w:pStyle w:val="6"/>
        <w:keepNext w:val="0"/>
        <w:keepLines w:val="0"/>
        <w:widowControl/>
        <w:suppressLineNumbers w:val="0"/>
        <w:jc w:val="center"/>
      </w:pPr>
      <w:r>
        <w:rPr>
          <w:rStyle w:val="10"/>
          <w:rFonts w:hint="eastAsia" w:ascii="宋体" w:hAnsi="宋体" w:eastAsia="宋体" w:cs="宋体"/>
          <w:sz w:val="48"/>
          <w:szCs w:val="48"/>
        </w:rPr>
        <w:t>福建省政府采购投标文件</w:t>
      </w:r>
    </w:p>
    <w:p>
      <w:pPr>
        <w:pStyle w:val="6"/>
        <w:keepNext w:val="0"/>
        <w:keepLines w:val="0"/>
        <w:widowControl/>
        <w:suppressLineNumbers w:val="0"/>
        <w:jc w:val="center"/>
      </w:pPr>
      <w:r>
        <w:rPr>
          <w:rStyle w:val="10"/>
          <w:rFonts w:hint="eastAsia" w:ascii="宋体" w:hAnsi="宋体" w:eastAsia="宋体" w:cs="宋体"/>
          <w:sz w:val="48"/>
          <w:szCs w:val="48"/>
        </w:rPr>
        <w:t>（资格及资信证明部分）</w:t>
      </w:r>
    </w:p>
    <w:p>
      <w:pPr>
        <w:pStyle w:val="6"/>
        <w:keepNext w:val="0"/>
        <w:keepLines w:val="0"/>
        <w:widowControl/>
        <w:suppressLineNumbers w:val="0"/>
      </w:pPr>
      <w:r>
        <w:rPr>
          <w:rFonts w:hint="eastAsia" w:ascii="宋体" w:hAnsi="宋体" w:eastAsia="宋体" w:cs="宋体"/>
          <w:sz w:val="36"/>
          <w:szCs w:val="36"/>
        </w:rPr>
        <w:t> </w:t>
      </w:r>
    </w:p>
    <w:p>
      <w:pPr>
        <w:pStyle w:val="6"/>
        <w:keepNext w:val="0"/>
        <w:keepLines w:val="0"/>
        <w:widowControl/>
        <w:suppressLineNumbers w:val="0"/>
        <w:jc w:val="center"/>
      </w:pPr>
      <w:r>
        <w:rPr>
          <w:rStyle w:val="10"/>
          <w:rFonts w:hint="eastAsia" w:ascii="宋体" w:hAnsi="宋体" w:eastAsia="宋体" w:cs="宋体"/>
          <w:sz w:val="36"/>
          <w:szCs w:val="36"/>
          <w:u w:val="single"/>
        </w:rPr>
        <w:t>（填写正本或副本）</w:t>
      </w:r>
    </w:p>
    <w:p>
      <w:pPr>
        <w:pStyle w:val="6"/>
        <w:keepNext w:val="0"/>
        <w:keepLines w:val="0"/>
        <w:widowControl/>
        <w:suppressLineNumbers w:val="0"/>
      </w:pPr>
      <w:r>
        <w:rPr>
          <w:rFonts w:hint="eastAsia" w:ascii="宋体" w:hAnsi="宋体" w:eastAsia="宋体" w:cs="宋体"/>
          <w:sz w:val="36"/>
          <w:szCs w:val="36"/>
        </w:rPr>
        <w:t> </w:t>
      </w:r>
    </w:p>
    <w:p>
      <w:pPr>
        <w:pStyle w:val="6"/>
        <w:keepNext w:val="0"/>
        <w:keepLines w:val="0"/>
        <w:widowControl/>
        <w:suppressLineNumbers w:val="0"/>
        <w:ind w:left="0" w:firstLine="1920"/>
      </w:pPr>
      <w:r>
        <w:rPr>
          <w:rStyle w:val="10"/>
          <w:rFonts w:hint="eastAsia" w:ascii="宋体" w:hAnsi="宋体" w:eastAsia="宋体" w:cs="宋体"/>
          <w:sz w:val="31"/>
          <w:szCs w:val="31"/>
        </w:rPr>
        <w:t>项目名称：</w:t>
      </w:r>
      <w:r>
        <w:rPr>
          <w:rStyle w:val="10"/>
          <w:rFonts w:hint="eastAsia" w:ascii="宋体" w:hAnsi="宋体" w:eastAsia="宋体" w:cs="宋体"/>
          <w:sz w:val="31"/>
          <w:szCs w:val="31"/>
          <w:u w:val="single"/>
        </w:rPr>
        <w:t>（由投标人填写）</w:t>
      </w:r>
    </w:p>
    <w:p>
      <w:pPr>
        <w:pStyle w:val="6"/>
        <w:keepNext w:val="0"/>
        <w:keepLines w:val="0"/>
        <w:widowControl/>
        <w:suppressLineNumbers w:val="0"/>
        <w:ind w:left="0" w:firstLine="1920"/>
      </w:pPr>
      <w:r>
        <w:rPr>
          <w:rStyle w:val="10"/>
          <w:rFonts w:hint="eastAsia" w:ascii="宋体" w:hAnsi="宋体" w:eastAsia="宋体" w:cs="宋体"/>
          <w:sz w:val="31"/>
          <w:szCs w:val="31"/>
        </w:rPr>
        <w:t>备案编号：</w:t>
      </w:r>
      <w:r>
        <w:rPr>
          <w:rStyle w:val="10"/>
          <w:rFonts w:hint="eastAsia" w:ascii="宋体" w:hAnsi="宋体" w:eastAsia="宋体" w:cs="宋体"/>
          <w:sz w:val="31"/>
          <w:szCs w:val="31"/>
          <w:u w:val="single"/>
        </w:rPr>
        <w:t>（由投标人填写）</w:t>
      </w:r>
    </w:p>
    <w:p>
      <w:pPr>
        <w:pStyle w:val="6"/>
        <w:keepNext w:val="0"/>
        <w:keepLines w:val="0"/>
        <w:widowControl/>
        <w:suppressLineNumbers w:val="0"/>
        <w:ind w:left="0" w:firstLine="1920"/>
      </w:pPr>
      <w:r>
        <w:rPr>
          <w:rStyle w:val="10"/>
          <w:rFonts w:hint="eastAsia" w:ascii="宋体" w:hAnsi="宋体" w:eastAsia="宋体" w:cs="宋体"/>
          <w:sz w:val="31"/>
          <w:szCs w:val="31"/>
        </w:rPr>
        <w:t>招标编号：</w:t>
      </w:r>
      <w:r>
        <w:rPr>
          <w:rStyle w:val="10"/>
          <w:rFonts w:hint="eastAsia" w:ascii="宋体" w:hAnsi="宋体" w:eastAsia="宋体" w:cs="宋体"/>
          <w:sz w:val="31"/>
          <w:szCs w:val="31"/>
          <w:u w:val="single"/>
        </w:rPr>
        <w:t>（由投标人填写）</w:t>
      </w:r>
    </w:p>
    <w:p>
      <w:pPr>
        <w:pStyle w:val="6"/>
        <w:keepNext w:val="0"/>
        <w:keepLines w:val="0"/>
        <w:widowControl/>
        <w:suppressLineNumbers w:val="0"/>
        <w:ind w:left="0" w:firstLine="1920"/>
      </w:pPr>
      <w:r>
        <w:rPr>
          <w:rStyle w:val="10"/>
          <w:rFonts w:hint="eastAsia" w:ascii="宋体" w:hAnsi="宋体" w:eastAsia="宋体" w:cs="宋体"/>
          <w:sz w:val="31"/>
          <w:szCs w:val="31"/>
        </w:rPr>
        <w:t>所投合同包：</w:t>
      </w:r>
      <w:r>
        <w:rPr>
          <w:rStyle w:val="10"/>
          <w:rFonts w:hint="eastAsia" w:ascii="宋体" w:hAnsi="宋体" w:eastAsia="宋体" w:cs="宋体"/>
          <w:sz w:val="31"/>
          <w:szCs w:val="31"/>
          <w:u w:val="single"/>
        </w:rPr>
        <w:t>（由投标人填写）</w:t>
      </w:r>
    </w:p>
    <w:p>
      <w:pPr>
        <w:pStyle w:val="6"/>
        <w:keepNext w:val="0"/>
        <w:keepLines w:val="0"/>
        <w:widowControl/>
        <w:suppressLineNumbers w:val="0"/>
      </w:pPr>
      <w:r>
        <w:rPr>
          <w:rFonts w:hint="eastAsia" w:ascii="宋体" w:hAnsi="宋体" w:eastAsia="宋体" w:cs="宋体"/>
          <w:sz w:val="36"/>
          <w:szCs w:val="36"/>
        </w:rPr>
        <w:t> </w:t>
      </w:r>
    </w:p>
    <w:p>
      <w:pPr>
        <w:pStyle w:val="6"/>
        <w:keepNext w:val="0"/>
        <w:keepLines w:val="0"/>
        <w:widowControl/>
        <w:suppressLineNumbers w:val="0"/>
      </w:pPr>
      <w:r>
        <w:rPr>
          <w:rFonts w:hint="eastAsia" w:ascii="宋体" w:hAnsi="宋体" w:eastAsia="宋体" w:cs="宋体"/>
          <w:sz w:val="36"/>
          <w:szCs w:val="36"/>
        </w:rPr>
        <w:t> </w:t>
      </w:r>
    </w:p>
    <w:p>
      <w:pPr>
        <w:pStyle w:val="6"/>
        <w:keepNext w:val="0"/>
        <w:keepLines w:val="0"/>
        <w:widowControl/>
        <w:suppressLineNumbers w:val="0"/>
      </w:pPr>
      <w:r>
        <w:rPr>
          <w:rFonts w:hint="eastAsia" w:ascii="宋体" w:hAnsi="宋体" w:eastAsia="宋体" w:cs="宋体"/>
          <w:sz w:val="36"/>
          <w:szCs w:val="36"/>
        </w:rPr>
        <w:t> </w:t>
      </w:r>
    </w:p>
    <w:p>
      <w:pPr>
        <w:pStyle w:val="6"/>
        <w:keepNext w:val="0"/>
        <w:keepLines w:val="0"/>
        <w:widowControl/>
        <w:suppressLineNumbers w:val="0"/>
      </w:pPr>
      <w:r>
        <w:rPr>
          <w:rFonts w:hint="eastAsia" w:ascii="宋体" w:hAnsi="宋体" w:eastAsia="宋体" w:cs="宋体"/>
          <w:sz w:val="36"/>
          <w:szCs w:val="36"/>
        </w:rPr>
        <w:t> </w:t>
      </w:r>
    </w:p>
    <w:p>
      <w:pPr>
        <w:pStyle w:val="6"/>
        <w:keepNext w:val="0"/>
        <w:keepLines w:val="0"/>
        <w:widowControl/>
        <w:suppressLineNumbers w:val="0"/>
        <w:jc w:val="center"/>
      </w:pPr>
      <w:r>
        <w:rPr>
          <w:rStyle w:val="10"/>
          <w:rFonts w:hint="eastAsia" w:ascii="宋体" w:hAnsi="宋体" w:eastAsia="宋体" w:cs="宋体"/>
          <w:sz w:val="31"/>
          <w:szCs w:val="31"/>
        </w:rPr>
        <w:t>投标人：</w:t>
      </w:r>
      <w:r>
        <w:rPr>
          <w:rStyle w:val="10"/>
          <w:rFonts w:hint="eastAsia" w:ascii="宋体" w:hAnsi="宋体" w:eastAsia="宋体" w:cs="宋体"/>
          <w:sz w:val="31"/>
          <w:szCs w:val="31"/>
          <w:u w:val="single"/>
        </w:rPr>
        <w:t>（填写“全称”）</w:t>
      </w:r>
    </w:p>
    <w:p>
      <w:pPr>
        <w:pStyle w:val="6"/>
        <w:keepNext w:val="0"/>
        <w:keepLines w:val="0"/>
        <w:widowControl/>
        <w:suppressLineNumbers w:val="0"/>
        <w:jc w:val="center"/>
      </w:pPr>
      <w:r>
        <w:rPr>
          <w:rStyle w:val="10"/>
          <w:rFonts w:hint="eastAsia" w:ascii="宋体" w:hAnsi="宋体" w:eastAsia="宋体" w:cs="宋体"/>
          <w:sz w:val="31"/>
          <w:szCs w:val="31"/>
          <w:u w:val="single"/>
        </w:rPr>
        <w:t>（由投标人填写）</w:t>
      </w:r>
      <w:r>
        <w:rPr>
          <w:rStyle w:val="10"/>
          <w:rFonts w:hint="eastAsia" w:ascii="宋体" w:hAnsi="宋体" w:eastAsia="宋体" w:cs="宋体"/>
          <w:sz w:val="31"/>
          <w:szCs w:val="31"/>
        </w:rPr>
        <w:t>年</w:t>
      </w:r>
      <w:r>
        <w:rPr>
          <w:rStyle w:val="10"/>
          <w:rFonts w:hint="eastAsia" w:ascii="宋体" w:hAnsi="宋体" w:eastAsia="宋体" w:cs="宋体"/>
          <w:sz w:val="31"/>
          <w:szCs w:val="31"/>
          <w:u w:val="single"/>
        </w:rPr>
        <w:t>（由投标人填写）</w:t>
      </w:r>
      <w:r>
        <w:rPr>
          <w:rStyle w:val="10"/>
          <w:rFonts w:hint="eastAsia" w:ascii="宋体" w:hAnsi="宋体" w:eastAsia="宋体" w:cs="宋体"/>
          <w:sz w:val="31"/>
          <w:szCs w:val="31"/>
        </w:rPr>
        <w:t>月</w:t>
      </w:r>
    </w:p>
    <w:p>
      <w:pPr>
        <w:pStyle w:val="6"/>
        <w:keepNext w:val="0"/>
        <w:keepLines w:val="0"/>
        <w:widowControl/>
        <w:suppressLineNumbers w:val="0"/>
      </w:pPr>
      <w:r>
        <w:rPr>
          <w:rFonts w:hint="eastAsia" w:ascii="宋体" w:hAnsi="宋体" w:eastAsia="宋体" w:cs="宋体"/>
          <w:sz w:val="21"/>
          <w:szCs w:val="21"/>
        </w:rPr>
        <w:t> </w:t>
      </w:r>
    </w:p>
    <w:p>
      <w:pPr>
        <w:pStyle w:val="6"/>
        <w:keepNext w:val="0"/>
        <w:keepLines w:val="0"/>
        <w:widowControl/>
        <w:suppressLineNumbers w:val="0"/>
      </w:pPr>
      <w:r>
        <w:rPr>
          <w:rFonts w:hint="eastAsia" w:ascii="宋体" w:hAnsi="宋体" w:eastAsia="宋体" w:cs="宋体"/>
          <w:sz w:val="21"/>
          <w:szCs w:val="21"/>
        </w:rPr>
        <w:t> </w:t>
      </w:r>
    </w:p>
    <w:p>
      <w:pPr>
        <w:pStyle w:val="6"/>
        <w:keepNext w:val="0"/>
        <w:keepLines w:val="0"/>
        <w:widowControl/>
        <w:suppressLineNumbers w:val="0"/>
        <w:jc w:val="center"/>
      </w:pPr>
      <w:r>
        <w:rPr>
          <w:rFonts w:hint="default" w:ascii="Calibri" w:hAnsi="Calibri" w:cs="Calibri"/>
          <w:sz w:val="21"/>
          <w:szCs w:val="21"/>
        </w:rPr>
        <w:br w:type="textWrapping"/>
      </w:r>
      <w:r>
        <w:rPr>
          <w:rStyle w:val="10"/>
          <w:rFonts w:hint="eastAsia" w:ascii="宋体" w:hAnsi="宋体" w:eastAsia="宋体" w:cs="宋体"/>
          <w:sz w:val="28"/>
          <w:szCs w:val="28"/>
        </w:rPr>
        <w:t>索引</w:t>
      </w:r>
    </w:p>
    <w:p>
      <w:pPr>
        <w:pStyle w:val="6"/>
        <w:keepNext w:val="0"/>
        <w:keepLines w:val="0"/>
        <w:widowControl/>
        <w:suppressLineNumbers w:val="0"/>
      </w:pPr>
      <w:r>
        <w:rPr>
          <w:rFonts w:hint="eastAsia" w:ascii="宋体" w:hAnsi="宋体" w:eastAsia="宋体" w:cs="宋体"/>
          <w:sz w:val="28"/>
          <w:szCs w:val="28"/>
        </w:rPr>
        <w:t>一、投标函</w:t>
      </w:r>
    </w:p>
    <w:p>
      <w:pPr>
        <w:pStyle w:val="6"/>
        <w:keepNext w:val="0"/>
        <w:keepLines w:val="0"/>
        <w:widowControl/>
        <w:suppressLineNumbers w:val="0"/>
      </w:pPr>
      <w:r>
        <w:rPr>
          <w:rFonts w:hint="eastAsia" w:ascii="宋体" w:hAnsi="宋体" w:eastAsia="宋体" w:cs="宋体"/>
          <w:sz w:val="28"/>
          <w:szCs w:val="28"/>
        </w:rPr>
        <w:t>二、投标人的资格及资信证明文件</w:t>
      </w:r>
    </w:p>
    <w:p>
      <w:pPr>
        <w:pStyle w:val="6"/>
        <w:keepNext w:val="0"/>
        <w:keepLines w:val="0"/>
        <w:widowControl/>
        <w:suppressLineNumbers w:val="0"/>
      </w:pPr>
      <w:r>
        <w:rPr>
          <w:rFonts w:hint="eastAsia" w:ascii="宋体" w:hAnsi="宋体" w:eastAsia="宋体" w:cs="宋体"/>
          <w:sz w:val="28"/>
          <w:szCs w:val="28"/>
        </w:rPr>
        <w:t>三、投标保证金</w:t>
      </w:r>
    </w:p>
    <w:p>
      <w:pPr>
        <w:pStyle w:val="6"/>
        <w:keepNext w:val="0"/>
        <w:keepLines w:val="0"/>
        <w:widowControl/>
        <w:suppressLineNumbers w:val="0"/>
      </w:pPr>
      <w:r>
        <w:rPr>
          <w:rFonts w:hint="eastAsia" w:ascii="宋体" w:hAnsi="宋体" w:eastAsia="宋体" w:cs="宋体"/>
          <w:sz w:val="21"/>
          <w:szCs w:val="21"/>
        </w:rPr>
        <w:t> </w:t>
      </w:r>
    </w:p>
    <w:p>
      <w:pPr>
        <w:pStyle w:val="6"/>
        <w:keepNext w:val="0"/>
        <w:keepLines w:val="0"/>
        <w:widowControl/>
        <w:suppressLineNumbers w:val="0"/>
      </w:pPr>
      <w:r>
        <w:rPr>
          <w:rFonts w:hint="eastAsia" w:ascii="宋体" w:hAnsi="宋体" w:eastAsia="宋体" w:cs="宋体"/>
          <w:sz w:val="21"/>
          <w:szCs w:val="21"/>
        </w:rPr>
        <w:t> </w:t>
      </w:r>
    </w:p>
    <w:p>
      <w:pPr>
        <w:pStyle w:val="6"/>
        <w:keepNext w:val="0"/>
        <w:keepLines w:val="0"/>
        <w:widowControl/>
        <w:suppressLineNumbers w:val="0"/>
      </w:pPr>
      <w:r>
        <w:rPr>
          <w:rFonts w:hint="eastAsia" w:ascii="宋体" w:hAnsi="宋体" w:eastAsia="宋体" w:cs="宋体"/>
          <w:sz w:val="21"/>
          <w:szCs w:val="21"/>
        </w:rPr>
        <w:t> </w:t>
      </w:r>
    </w:p>
    <w:p>
      <w:pPr>
        <w:pStyle w:val="6"/>
        <w:keepNext w:val="0"/>
        <w:keepLines w:val="0"/>
        <w:widowControl/>
        <w:suppressLineNumbers w:val="0"/>
        <w:jc w:val="center"/>
      </w:pPr>
      <w:r>
        <w:rPr>
          <w:rFonts w:hint="eastAsia" w:ascii="宋体" w:hAnsi="宋体" w:eastAsia="宋体" w:cs="宋体"/>
          <w:sz w:val="21"/>
          <w:szCs w:val="21"/>
        </w:rPr>
        <w:t>★注意</w:t>
      </w:r>
    </w:p>
    <w:p>
      <w:pPr>
        <w:pStyle w:val="6"/>
        <w:keepNext w:val="0"/>
        <w:keepLines w:val="0"/>
        <w:widowControl/>
        <w:suppressLineNumbers w:val="0"/>
        <w:ind w:left="0" w:firstLine="420"/>
      </w:pPr>
      <w:r>
        <w:rPr>
          <w:rFonts w:hint="eastAsia" w:ascii="宋体" w:hAnsi="宋体" w:eastAsia="宋体" w:cs="宋体"/>
          <w:sz w:val="21"/>
          <w:szCs w:val="21"/>
        </w:rPr>
        <w:t>资格及资信证明部分中不得出现报价部分的全部或部分的投标报价信息（或组成资料），否则</w:t>
      </w:r>
      <w:r>
        <w:rPr>
          <w:rStyle w:val="10"/>
          <w:rFonts w:hint="eastAsia" w:ascii="宋体" w:hAnsi="宋体" w:eastAsia="宋体" w:cs="宋体"/>
          <w:sz w:val="21"/>
          <w:szCs w:val="21"/>
        </w:rPr>
        <w:t>资格审查不合格</w:t>
      </w:r>
      <w:r>
        <w:rPr>
          <w:rFonts w:hint="eastAsia" w:ascii="宋体" w:hAnsi="宋体" w:eastAsia="宋体" w:cs="宋体"/>
          <w:sz w:val="21"/>
          <w:szCs w:val="21"/>
        </w:rPr>
        <w:t>。</w:t>
      </w:r>
    </w:p>
    <w:p>
      <w:pPr>
        <w:pStyle w:val="6"/>
        <w:keepNext w:val="0"/>
        <w:keepLines w:val="0"/>
        <w:widowControl/>
        <w:suppressLineNumbers w:val="0"/>
      </w:pPr>
    </w:p>
    <w:p>
      <w:pPr>
        <w:pStyle w:val="6"/>
        <w:keepNext w:val="0"/>
        <w:keepLines w:val="0"/>
        <w:widowControl/>
        <w:suppressLineNumbers w:val="0"/>
        <w:jc w:val="center"/>
      </w:pPr>
      <w:r>
        <w:rPr>
          <w:rFonts w:hint="default" w:ascii="Calibri" w:hAnsi="Calibri" w:cs="Calibri"/>
          <w:sz w:val="21"/>
          <w:szCs w:val="21"/>
        </w:rPr>
        <w:br w:type="textWrapping"/>
      </w:r>
      <w:r>
        <w:rPr>
          <w:rStyle w:val="10"/>
          <w:rFonts w:hint="eastAsia" w:ascii="宋体" w:hAnsi="宋体" w:eastAsia="宋体" w:cs="宋体"/>
          <w:sz w:val="21"/>
          <w:szCs w:val="21"/>
        </w:rPr>
        <w:t>一、投标函</w:t>
      </w:r>
    </w:p>
    <w:p>
      <w:pPr>
        <w:pStyle w:val="6"/>
        <w:keepNext w:val="0"/>
        <w:keepLines w:val="0"/>
        <w:widowControl/>
        <w:suppressLineNumbers w:val="0"/>
      </w:pPr>
      <w:r>
        <w:rPr>
          <w:rFonts w:hint="eastAsia" w:ascii="宋体" w:hAnsi="宋体" w:eastAsia="宋体" w:cs="宋体"/>
          <w:sz w:val="21"/>
          <w:szCs w:val="21"/>
        </w:rPr>
        <w:t>致：</w:t>
      </w:r>
      <w:r>
        <w:rPr>
          <w:rFonts w:hint="eastAsia" w:ascii="宋体" w:hAnsi="宋体" w:eastAsia="宋体" w:cs="宋体"/>
          <w:sz w:val="21"/>
          <w:szCs w:val="21"/>
          <w:u w:val="single"/>
        </w:rPr>
        <w:t>                     </w:t>
      </w:r>
    </w:p>
    <w:p>
      <w:pPr>
        <w:pStyle w:val="6"/>
        <w:keepNext w:val="0"/>
        <w:keepLines w:val="0"/>
        <w:widowControl/>
        <w:suppressLineNumbers w:val="0"/>
        <w:ind w:left="0" w:firstLine="420"/>
      </w:pPr>
      <w:r>
        <w:rPr>
          <w:rFonts w:hint="eastAsia" w:ascii="宋体" w:hAnsi="宋体" w:eastAsia="宋体" w:cs="宋体"/>
          <w:sz w:val="21"/>
          <w:szCs w:val="21"/>
        </w:rPr>
        <w:t>兹收到贵单位关于</w:t>
      </w:r>
      <w:r>
        <w:rPr>
          <w:rFonts w:hint="eastAsia" w:ascii="宋体" w:hAnsi="宋体" w:eastAsia="宋体" w:cs="宋体"/>
          <w:sz w:val="21"/>
          <w:szCs w:val="21"/>
          <w:u w:val="single"/>
        </w:rPr>
        <w:t>（填写“项目名称”）</w:t>
      </w:r>
      <w:r>
        <w:rPr>
          <w:rFonts w:hint="eastAsia" w:ascii="宋体" w:hAnsi="宋体" w:eastAsia="宋体" w:cs="宋体"/>
          <w:sz w:val="21"/>
          <w:szCs w:val="21"/>
        </w:rPr>
        <w:t>项目（招标编号：</w:t>
      </w:r>
      <w:r>
        <w:rPr>
          <w:rFonts w:hint="eastAsia" w:ascii="宋体" w:hAnsi="宋体" w:eastAsia="宋体" w:cs="宋体"/>
          <w:sz w:val="21"/>
          <w:szCs w:val="21"/>
          <w:u w:val="single"/>
        </w:rPr>
        <w:t>     </w:t>
      </w:r>
      <w:r>
        <w:rPr>
          <w:rFonts w:hint="eastAsia" w:ascii="宋体" w:hAnsi="宋体" w:eastAsia="宋体" w:cs="宋体"/>
          <w:sz w:val="21"/>
          <w:szCs w:val="21"/>
        </w:rPr>
        <w:t>）的投标邀请，本投标人代表</w:t>
      </w:r>
      <w:r>
        <w:rPr>
          <w:rFonts w:hint="eastAsia" w:ascii="宋体" w:hAnsi="宋体" w:eastAsia="宋体" w:cs="宋体"/>
          <w:sz w:val="21"/>
          <w:szCs w:val="21"/>
          <w:u w:val="single"/>
        </w:rPr>
        <w:t>（填写“全名”）</w:t>
      </w:r>
      <w:r>
        <w:rPr>
          <w:rFonts w:hint="eastAsia" w:ascii="宋体" w:hAnsi="宋体" w:eastAsia="宋体" w:cs="宋体"/>
          <w:sz w:val="21"/>
          <w:szCs w:val="21"/>
        </w:rPr>
        <w:t>已获得我方正式授权并代表投标人</w:t>
      </w:r>
      <w:r>
        <w:rPr>
          <w:rFonts w:hint="eastAsia" w:ascii="宋体" w:hAnsi="宋体" w:eastAsia="宋体" w:cs="宋体"/>
          <w:sz w:val="21"/>
          <w:szCs w:val="21"/>
          <w:u w:val="single"/>
        </w:rPr>
        <w:t>（填写“全称”）</w:t>
      </w:r>
      <w:r>
        <w:rPr>
          <w:rFonts w:hint="eastAsia" w:ascii="宋体" w:hAnsi="宋体" w:eastAsia="宋体" w:cs="宋体"/>
          <w:sz w:val="21"/>
          <w:szCs w:val="21"/>
        </w:rPr>
        <w:t>参加投标，并提交招标文件规定份数的投标文件正本和副本。我方提交的全部投标文件均由下述部分组成：</w:t>
      </w:r>
    </w:p>
    <w:p>
      <w:pPr>
        <w:pStyle w:val="6"/>
        <w:keepNext w:val="0"/>
        <w:keepLines w:val="0"/>
        <w:widowControl/>
        <w:suppressLineNumbers w:val="0"/>
        <w:ind w:left="0" w:firstLine="420"/>
      </w:pPr>
      <w:r>
        <w:rPr>
          <w:rFonts w:hint="eastAsia" w:ascii="宋体" w:hAnsi="宋体" w:eastAsia="宋体" w:cs="宋体"/>
          <w:sz w:val="21"/>
          <w:szCs w:val="21"/>
        </w:rPr>
        <w:t>（1）资格及资信证明部分</w:t>
      </w:r>
    </w:p>
    <w:p>
      <w:pPr>
        <w:pStyle w:val="6"/>
        <w:keepNext w:val="0"/>
        <w:keepLines w:val="0"/>
        <w:widowControl/>
        <w:suppressLineNumbers w:val="0"/>
        <w:ind w:left="0" w:firstLine="420"/>
      </w:pPr>
      <w:r>
        <w:rPr>
          <w:rFonts w:hint="eastAsia" w:ascii="宋体" w:hAnsi="宋体" w:eastAsia="宋体" w:cs="宋体"/>
          <w:sz w:val="21"/>
          <w:szCs w:val="21"/>
        </w:rPr>
        <w:t>①投标函</w:t>
      </w:r>
    </w:p>
    <w:p>
      <w:pPr>
        <w:pStyle w:val="6"/>
        <w:keepNext w:val="0"/>
        <w:keepLines w:val="0"/>
        <w:widowControl/>
        <w:suppressLineNumbers w:val="0"/>
        <w:ind w:left="0" w:firstLine="420"/>
      </w:pPr>
      <w:r>
        <w:rPr>
          <w:rFonts w:hint="eastAsia" w:ascii="宋体" w:hAnsi="宋体" w:eastAsia="宋体" w:cs="宋体"/>
          <w:sz w:val="21"/>
          <w:szCs w:val="21"/>
        </w:rPr>
        <w:t>②投标人的资格及资信证明文件</w:t>
      </w:r>
    </w:p>
    <w:p>
      <w:pPr>
        <w:pStyle w:val="6"/>
        <w:keepNext w:val="0"/>
        <w:keepLines w:val="0"/>
        <w:widowControl/>
        <w:suppressLineNumbers w:val="0"/>
        <w:ind w:left="0" w:firstLine="420"/>
      </w:pPr>
      <w:r>
        <w:rPr>
          <w:rFonts w:hint="eastAsia" w:ascii="宋体" w:hAnsi="宋体" w:eastAsia="宋体" w:cs="宋体"/>
          <w:sz w:val="21"/>
          <w:szCs w:val="21"/>
        </w:rPr>
        <w:t>③投标保证金</w:t>
      </w:r>
    </w:p>
    <w:p>
      <w:pPr>
        <w:pStyle w:val="6"/>
        <w:keepNext w:val="0"/>
        <w:keepLines w:val="0"/>
        <w:widowControl/>
        <w:suppressLineNumbers w:val="0"/>
        <w:ind w:left="0" w:firstLine="420"/>
      </w:pPr>
      <w:r>
        <w:rPr>
          <w:rFonts w:hint="eastAsia" w:ascii="宋体" w:hAnsi="宋体" w:eastAsia="宋体" w:cs="宋体"/>
          <w:sz w:val="21"/>
          <w:szCs w:val="21"/>
        </w:rPr>
        <w:t>（2）报价部分</w:t>
      </w:r>
    </w:p>
    <w:p>
      <w:pPr>
        <w:pStyle w:val="6"/>
        <w:keepNext w:val="0"/>
        <w:keepLines w:val="0"/>
        <w:widowControl/>
        <w:suppressLineNumbers w:val="0"/>
        <w:ind w:left="0" w:firstLine="420"/>
      </w:pPr>
      <w:r>
        <w:rPr>
          <w:rFonts w:hint="eastAsia" w:ascii="宋体" w:hAnsi="宋体" w:eastAsia="宋体" w:cs="宋体"/>
          <w:sz w:val="21"/>
          <w:szCs w:val="21"/>
        </w:rPr>
        <w:t>①开标一览表</w:t>
      </w:r>
    </w:p>
    <w:p>
      <w:pPr>
        <w:pStyle w:val="6"/>
        <w:keepNext w:val="0"/>
        <w:keepLines w:val="0"/>
        <w:widowControl/>
        <w:suppressLineNumbers w:val="0"/>
        <w:ind w:left="0" w:firstLine="420"/>
      </w:pPr>
      <w:r>
        <w:rPr>
          <w:rFonts w:hint="eastAsia" w:ascii="宋体" w:hAnsi="宋体" w:eastAsia="宋体" w:cs="宋体"/>
          <w:sz w:val="21"/>
          <w:szCs w:val="21"/>
        </w:rPr>
        <w:t>②投标分项报价表</w:t>
      </w:r>
    </w:p>
    <w:p>
      <w:pPr>
        <w:pStyle w:val="6"/>
        <w:keepNext w:val="0"/>
        <w:keepLines w:val="0"/>
        <w:widowControl/>
        <w:suppressLineNumbers w:val="0"/>
        <w:ind w:left="0" w:firstLine="420"/>
      </w:pPr>
      <w:r>
        <w:rPr>
          <w:rFonts w:hint="eastAsia" w:ascii="宋体" w:hAnsi="宋体" w:eastAsia="宋体" w:cs="宋体"/>
          <w:sz w:val="21"/>
          <w:szCs w:val="21"/>
        </w:rPr>
        <w:t>③招标文件规定的价格扣除证明材料（若有）</w:t>
      </w:r>
    </w:p>
    <w:p>
      <w:pPr>
        <w:pStyle w:val="6"/>
        <w:keepNext w:val="0"/>
        <w:keepLines w:val="0"/>
        <w:widowControl/>
        <w:suppressLineNumbers w:val="0"/>
        <w:ind w:left="0" w:firstLine="420"/>
      </w:pPr>
      <w:r>
        <w:rPr>
          <w:rFonts w:hint="eastAsia" w:ascii="宋体" w:hAnsi="宋体" w:eastAsia="宋体" w:cs="宋体"/>
          <w:sz w:val="21"/>
          <w:szCs w:val="21"/>
        </w:rPr>
        <w:t>④招标文件规定的加分证明材料（若有）</w:t>
      </w:r>
    </w:p>
    <w:p>
      <w:pPr>
        <w:pStyle w:val="6"/>
        <w:keepNext w:val="0"/>
        <w:keepLines w:val="0"/>
        <w:widowControl/>
        <w:suppressLineNumbers w:val="0"/>
        <w:ind w:left="0" w:firstLine="420"/>
      </w:pPr>
      <w:r>
        <w:rPr>
          <w:rFonts w:hint="eastAsia" w:ascii="宋体" w:hAnsi="宋体" w:eastAsia="宋体" w:cs="宋体"/>
          <w:sz w:val="21"/>
          <w:szCs w:val="21"/>
        </w:rPr>
        <w:t>（3）技术商务部分</w:t>
      </w:r>
    </w:p>
    <w:p>
      <w:pPr>
        <w:pStyle w:val="6"/>
        <w:keepNext w:val="0"/>
        <w:keepLines w:val="0"/>
        <w:widowControl/>
        <w:suppressLineNumbers w:val="0"/>
        <w:ind w:left="0" w:firstLine="420"/>
      </w:pPr>
      <w:r>
        <w:rPr>
          <w:rFonts w:hint="eastAsia" w:ascii="宋体" w:hAnsi="宋体" w:eastAsia="宋体" w:cs="宋体"/>
          <w:sz w:val="21"/>
          <w:szCs w:val="21"/>
        </w:rPr>
        <w:t>①标的说明一览表</w:t>
      </w:r>
    </w:p>
    <w:p>
      <w:pPr>
        <w:pStyle w:val="6"/>
        <w:keepNext w:val="0"/>
        <w:keepLines w:val="0"/>
        <w:widowControl/>
        <w:suppressLineNumbers w:val="0"/>
        <w:ind w:left="0" w:firstLine="420"/>
      </w:pPr>
      <w:r>
        <w:rPr>
          <w:rFonts w:hint="eastAsia" w:ascii="宋体" w:hAnsi="宋体" w:eastAsia="宋体" w:cs="宋体"/>
          <w:sz w:val="21"/>
          <w:szCs w:val="21"/>
        </w:rPr>
        <w:t>②技术和服务要求响应表</w:t>
      </w:r>
    </w:p>
    <w:p>
      <w:pPr>
        <w:pStyle w:val="6"/>
        <w:keepNext w:val="0"/>
        <w:keepLines w:val="0"/>
        <w:widowControl/>
        <w:suppressLineNumbers w:val="0"/>
        <w:ind w:left="0" w:firstLine="420"/>
      </w:pPr>
      <w:r>
        <w:rPr>
          <w:rFonts w:hint="eastAsia" w:ascii="宋体" w:hAnsi="宋体" w:eastAsia="宋体" w:cs="宋体"/>
          <w:sz w:val="21"/>
          <w:szCs w:val="21"/>
        </w:rPr>
        <w:t>③商务条件响应表</w:t>
      </w:r>
    </w:p>
    <w:p>
      <w:pPr>
        <w:pStyle w:val="6"/>
        <w:keepNext w:val="0"/>
        <w:keepLines w:val="0"/>
        <w:widowControl/>
        <w:suppressLineNumbers w:val="0"/>
        <w:ind w:left="0" w:firstLine="420"/>
      </w:pPr>
      <w:r>
        <w:rPr>
          <w:rFonts w:hint="eastAsia" w:ascii="宋体" w:hAnsi="宋体" w:eastAsia="宋体" w:cs="宋体"/>
          <w:sz w:val="21"/>
          <w:szCs w:val="21"/>
        </w:rPr>
        <w:t>④投标人提交的其他资料（若有）</w:t>
      </w:r>
    </w:p>
    <w:p>
      <w:pPr>
        <w:pStyle w:val="6"/>
        <w:keepNext w:val="0"/>
        <w:keepLines w:val="0"/>
        <w:widowControl/>
        <w:suppressLineNumbers w:val="0"/>
        <w:ind w:left="0" w:firstLine="420"/>
      </w:pPr>
      <w:r>
        <w:rPr>
          <w:rFonts w:hint="eastAsia" w:ascii="宋体" w:hAnsi="宋体" w:eastAsia="宋体" w:cs="宋体"/>
          <w:sz w:val="21"/>
          <w:szCs w:val="21"/>
        </w:rPr>
        <w:t>根据本函，本投标人代表宣布我方保证遵守招标文件的全部规定，同时：</w:t>
      </w:r>
    </w:p>
    <w:p>
      <w:pPr>
        <w:pStyle w:val="6"/>
        <w:keepNext w:val="0"/>
        <w:keepLines w:val="0"/>
        <w:widowControl/>
        <w:suppressLineNumbers w:val="0"/>
        <w:ind w:left="0" w:firstLine="420"/>
      </w:pPr>
      <w:r>
        <w:rPr>
          <w:rFonts w:hint="eastAsia" w:ascii="宋体" w:hAnsi="宋体" w:eastAsia="宋体" w:cs="宋体"/>
          <w:sz w:val="21"/>
          <w:szCs w:val="21"/>
        </w:rPr>
        <w:t>1、</w:t>
      </w:r>
      <w:r>
        <w:rPr>
          <w:rStyle w:val="10"/>
          <w:rFonts w:hint="eastAsia" w:ascii="宋体" w:hAnsi="宋体" w:eastAsia="宋体" w:cs="宋体"/>
          <w:sz w:val="21"/>
          <w:szCs w:val="21"/>
        </w:rPr>
        <w:t>确认：</w:t>
      </w:r>
    </w:p>
    <w:p>
      <w:pPr>
        <w:pStyle w:val="6"/>
        <w:keepNext w:val="0"/>
        <w:keepLines w:val="0"/>
        <w:widowControl/>
        <w:suppressLineNumbers w:val="0"/>
        <w:ind w:left="0" w:firstLine="420"/>
      </w:pPr>
      <w:r>
        <w:rPr>
          <w:rFonts w:hint="eastAsia" w:ascii="宋体" w:hAnsi="宋体" w:eastAsia="宋体" w:cs="宋体"/>
          <w:sz w:val="21"/>
          <w:szCs w:val="21"/>
        </w:rPr>
        <w:t>1.1所投合同包的投标报价详见“开标一览表”及“投标分项报价表”。</w:t>
      </w:r>
    </w:p>
    <w:p>
      <w:pPr>
        <w:pStyle w:val="6"/>
        <w:keepNext w:val="0"/>
        <w:keepLines w:val="0"/>
        <w:widowControl/>
        <w:suppressLineNumbers w:val="0"/>
        <w:ind w:left="0" w:firstLine="420"/>
      </w:pPr>
      <w:r>
        <w:rPr>
          <w:rFonts w:hint="eastAsia" w:ascii="宋体" w:hAnsi="宋体" w:eastAsia="宋体" w:cs="宋体"/>
          <w:sz w:val="21"/>
          <w:szCs w:val="21"/>
        </w:rPr>
        <w:t>1.2我方已详细审查全部招标文件</w:t>
      </w:r>
      <w:r>
        <w:rPr>
          <w:rFonts w:hint="default" w:ascii="Calibri" w:hAnsi="Calibri" w:eastAsia="宋体" w:cs="Calibri"/>
          <w:sz w:val="21"/>
          <w:szCs w:val="21"/>
        </w:rPr>
        <w:t>[</w:t>
      </w:r>
      <w:r>
        <w:rPr>
          <w:rFonts w:hint="eastAsia" w:ascii="宋体" w:hAnsi="宋体" w:eastAsia="宋体" w:cs="宋体"/>
          <w:sz w:val="21"/>
          <w:szCs w:val="21"/>
        </w:rPr>
        <w:t>包括但不限于：有关附件（若有）、澄清或修改（若有）等</w:t>
      </w:r>
      <w:r>
        <w:rPr>
          <w:rFonts w:hint="default" w:ascii="Calibri" w:hAnsi="Calibri" w:eastAsia="宋体" w:cs="Calibri"/>
          <w:sz w:val="21"/>
          <w:szCs w:val="21"/>
        </w:rPr>
        <w:t>]</w:t>
      </w:r>
      <w:r>
        <w:rPr>
          <w:rFonts w:hint="eastAsia" w:ascii="宋体" w:hAnsi="宋体" w:eastAsia="宋体" w:cs="宋体"/>
          <w:sz w:val="21"/>
          <w:szCs w:val="21"/>
        </w:rPr>
        <w:t>，并自行承担因对全部招标文件理解不正确或误解而产生的相应后果和责任。</w:t>
      </w:r>
    </w:p>
    <w:p>
      <w:pPr>
        <w:pStyle w:val="6"/>
        <w:keepNext w:val="0"/>
        <w:keepLines w:val="0"/>
        <w:widowControl/>
        <w:suppressLineNumbers w:val="0"/>
        <w:ind w:left="0" w:firstLine="420"/>
      </w:pPr>
      <w:r>
        <w:rPr>
          <w:rFonts w:hint="eastAsia" w:ascii="宋体" w:hAnsi="宋体" w:eastAsia="宋体" w:cs="宋体"/>
          <w:sz w:val="21"/>
          <w:szCs w:val="21"/>
        </w:rPr>
        <w:t>2、</w:t>
      </w:r>
      <w:r>
        <w:rPr>
          <w:rStyle w:val="10"/>
          <w:rFonts w:hint="eastAsia" w:ascii="宋体" w:hAnsi="宋体" w:eastAsia="宋体" w:cs="宋体"/>
          <w:sz w:val="21"/>
          <w:szCs w:val="21"/>
        </w:rPr>
        <w:t>承诺及声明：</w:t>
      </w:r>
    </w:p>
    <w:p>
      <w:pPr>
        <w:pStyle w:val="6"/>
        <w:keepNext w:val="0"/>
        <w:keepLines w:val="0"/>
        <w:widowControl/>
        <w:suppressLineNumbers w:val="0"/>
        <w:ind w:left="0" w:firstLine="420"/>
      </w:pPr>
      <w:r>
        <w:rPr>
          <w:rFonts w:hint="eastAsia" w:ascii="宋体" w:hAnsi="宋体" w:eastAsia="宋体" w:cs="宋体"/>
          <w:sz w:val="21"/>
          <w:szCs w:val="21"/>
        </w:rPr>
        <w:t>2.1我方具备招标文件第一章载明的“投标人的资格要求”且符合招标文件第三章载明的“二、投标人”之规定，否则</w:t>
      </w:r>
      <w:r>
        <w:rPr>
          <w:rStyle w:val="10"/>
          <w:rFonts w:hint="eastAsia" w:ascii="宋体" w:hAnsi="宋体" w:eastAsia="宋体" w:cs="宋体"/>
          <w:sz w:val="21"/>
          <w:szCs w:val="21"/>
        </w:rPr>
        <w:t>投标无效。</w:t>
      </w:r>
    </w:p>
    <w:p>
      <w:pPr>
        <w:pStyle w:val="6"/>
        <w:keepNext w:val="0"/>
        <w:keepLines w:val="0"/>
        <w:widowControl/>
        <w:suppressLineNumbers w:val="0"/>
        <w:ind w:left="0" w:firstLine="420"/>
      </w:pPr>
      <w:r>
        <w:rPr>
          <w:rFonts w:hint="eastAsia" w:ascii="宋体" w:hAnsi="宋体" w:eastAsia="宋体" w:cs="宋体"/>
          <w:sz w:val="21"/>
          <w:szCs w:val="21"/>
        </w:rPr>
        <w:t>2.2我方提交的投标文件各组成部分的全部内容及资料是不可割离且真实、有效、准确、完整和不具有任何误导性的，否则产生不利后果由我方承担责任。</w:t>
      </w:r>
    </w:p>
    <w:p>
      <w:pPr>
        <w:pStyle w:val="6"/>
        <w:keepNext w:val="0"/>
        <w:keepLines w:val="0"/>
        <w:widowControl/>
        <w:suppressLineNumbers w:val="0"/>
        <w:ind w:left="0" w:firstLine="420"/>
      </w:pPr>
      <w:r>
        <w:rPr>
          <w:rFonts w:hint="eastAsia" w:ascii="宋体" w:hAnsi="宋体" w:eastAsia="宋体" w:cs="宋体"/>
          <w:sz w:val="21"/>
          <w:szCs w:val="21"/>
        </w:rPr>
        <w:t>2.3我方提供的标的价格不高于同期市场价格，否则产生不利后果由我方承担责任。</w:t>
      </w:r>
    </w:p>
    <w:p>
      <w:pPr>
        <w:pStyle w:val="6"/>
        <w:keepNext w:val="0"/>
        <w:keepLines w:val="0"/>
        <w:widowControl/>
        <w:suppressLineNumbers w:val="0"/>
        <w:ind w:left="0" w:firstLine="420"/>
      </w:pPr>
      <w:r>
        <w:rPr>
          <w:rFonts w:hint="eastAsia" w:ascii="宋体" w:hAnsi="宋体" w:eastAsia="宋体" w:cs="宋体"/>
          <w:sz w:val="21"/>
          <w:szCs w:val="21"/>
        </w:rPr>
        <w:t>2.4投标保证金：若出现招标文件第三章规定的不予退还情形，同意贵单位不予退还。</w:t>
      </w:r>
    </w:p>
    <w:p>
      <w:pPr>
        <w:pStyle w:val="6"/>
        <w:keepNext w:val="0"/>
        <w:keepLines w:val="0"/>
        <w:widowControl/>
        <w:suppressLineNumbers w:val="0"/>
        <w:ind w:left="0" w:firstLine="420"/>
      </w:pPr>
      <w:r>
        <w:rPr>
          <w:rFonts w:hint="eastAsia" w:ascii="宋体" w:hAnsi="宋体" w:eastAsia="宋体" w:cs="宋体"/>
          <w:sz w:val="21"/>
          <w:szCs w:val="21"/>
        </w:rPr>
        <w:t>2.5投标有效期：按照招标文件第三章规定执行，并在招标文件第二章载明的期限内保持有效。</w:t>
      </w:r>
    </w:p>
    <w:p>
      <w:pPr>
        <w:pStyle w:val="6"/>
        <w:keepNext w:val="0"/>
        <w:keepLines w:val="0"/>
        <w:widowControl/>
        <w:suppressLineNumbers w:val="0"/>
        <w:ind w:left="0" w:firstLine="420"/>
      </w:pPr>
      <w:r>
        <w:rPr>
          <w:rFonts w:hint="eastAsia" w:ascii="宋体" w:hAnsi="宋体" w:eastAsia="宋体" w:cs="宋体"/>
          <w:sz w:val="21"/>
          <w:szCs w:val="21"/>
        </w:rPr>
        <w:t>2.6若中标，将按照招标文件、我方投标文件及政府采购合同履行责任和义务。</w:t>
      </w:r>
    </w:p>
    <w:p>
      <w:pPr>
        <w:pStyle w:val="6"/>
        <w:keepNext w:val="0"/>
        <w:keepLines w:val="0"/>
        <w:widowControl/>
        <w:suppressLineNumbers w:val="0"/>
        <w:ind w:left="0" w:firstLine="420"/>
      </w:pPr>
      <w:r>
        <w:rPr>
          <w:rFonts w:hint="eastAsia" w:ascii="宋体" w:hAnsi="宋体" w:eastAsia="宋体" w:cs="宋体"/>
          <w:sz w:val="21"/>
          <w:szCs w:val="21"/>
        </w:rPr>
        <w:t>2.7若贵单位要求，我方同意提供与本项目投标有关的一切资料、数据或文件，并完全理解贵单位不一定要接受最低的投标报价或收到的任何投标。</w:t>
      </w:r>
    </w:p>
    <w:p>
      <w:pPr>
        <w:pStyle w:val="6"/>
        <w:keepNext w:val="0"/>
        <w:keepLines w:val="0"/>
        <w:widowControl/>
        <w:suppressLineNumbers w:val="0"/>
        <w:ind w:left="0" w:firstLine="420"/>
      </w:pPr>
      <w:r>
        <w:rPr>
          <w:rFonts w:hint="eastAsia" w:ascii="宋体" w:hAnsi="宋体" w:eastAsia="宋体" w:cs="宋体"/>
          <w:sz w:val="21"/>
          <w:szCs w:val="21"/>
        </w:rPr>
        <w:t>2.8除招标文件另有规定外，对于贵单位按照下述联络方式发出的任何信息或通知，均视为我方已收悉前述信息或通知的全部内容：</w:t>
      </w:r>
    </w:p>
    <w:p>
      <w:pPr>
        <w:pStyle w:val="6"/>
        <w:keepNext w:val="0"/>
        <w:keepLines w:val="0"/>
        <w:widowControl/>
        <w:suppressLineNumbers w:val="0"/>
        <w:ind w:left="0" w:firstLine="420"/>
      </w:pPr>
      <w:r>
        <w:rPr>
          <w:rFonts w:hint="eastAsia" w:ascii="宋体" w:hAnsi="宋体" w:eastAsia="宋体" w:cs="宋体"/>
          <w:sz w:val="21"/>
          <w:szCs w:val="21"/>
        </w:rPr>
        <w:t>通信地址：</w:t>
      </w:r>
      <w:r>
        <w:rPr>
          <w:rFonts w:hint="eastAsia" w:ascii="宋体" w:hAnsi="宋体" w:eastAsia="宋体" w:cs="宋体"/>
          <w:sz w:val="21"/>
          <w:szCs w:val="21"/>
          <w:u w:val="single"/>
        </w:rPr>
        <w:t>                                        </w:t>
      </w:r>
      <w:r>
        <w:rPr>
          <w:rFonts w:hint="eastAsia" w:ascii="宋体" w:hAnsi="宋体" w:eastAsia="宋体" w:cs="宋体"/>
          <w:sz w:val="21"/>
          <w:szCs w:val="21"/>
        </w:rPr>
        <w:t>邮编：</w:t>
      </w:r>
      <w:r>
        <w:rPr>
          <w:rFonts w:hint="eastAsia" w:ascii="宋体" w:hAnsi="宋体" w:eastAsia="宋体" w:cs="宋体"/>
          <w:sz w:val="21"/>
          <w:szCs w:val="21"/>
          <w:u w:val="single"/>
        </w:rPr>
        <w:t>                 </w:t>
      </w:r>
    </w:p>
    <w:p>
      <w:pPr>
        <w:pStyle w:val="6"/>
        <w:keepNext w:val="0"/>
        <w:keepLines w:val="0"/>
        <w:widowControl/>
        <w:suppressLineNumbers w:val="0"/>
        <w:ind w:left="0" w:firstLine="420"/>
      </w:pPr>
      <w:r>
        <w:rPr>
          <w:rFonts w:hint="eastAsia" w:ascii="宋体" w:hAnsi="宋体" w:eastAsia="宋体" w:cs="宋体"/>
          <w:sz w:val="21"/>
          <w:szCs w:val="21"/>
        </w:rPr>
        <w:t>联系方法：</w:t>
      </w:r>
      <w:r>
        <w:rPr>
          <w:rFonts w:hint="eastAsia" w:ascii="宋体" w:hAnsi="宋体" w:eastAsia="宋体" w:cs="宋体"/>
          <w:sz w:val="21"/>
          <w:szCs w:val="21"/>
          <w:u w:val="single"/>
        </w:rPr>
        <w:t>（包括但不限于：联系人、联系电话、手机、传真、电子邮箱等）</w:t>
      </w:r>
    </w:p>
    <w:p>
      <w:pPr>
        <w:pStyle w:val="6"/>
        <w:keepNext w:val="0"/>
        <w:keepLines w:val="0"/>
        <w:widowControl/>
        <w:suppressLineNumbers w:val="0"/>
        <w:ind w:left="0" w:firstLine="420"/>
      </w:pPr>
      <w:r>
        <w:rPr>
          <w:rFonts w:hint="eastAsia" w:ascii="宋体" w:hAnsi="宋体" w:eastAsia="宋体" w:cs="宋体"/>
          <w:sz w:val="21"/>
          <w:szCs w:val="21"/>
        </w:rPr>
        <w:t> </w:t>
      </w:r>
    </w:p>
    <w:p>
      <w:pPr>
        <w:pStyle w:val="6"/>
        <w:keepNext w:val="0"/>
        <w:keepLines w:val="0"/>
        <w:widowControl/>
        <w:suppressLineNumbers w:val="0"/>
        <w:ind w:left="0" w:firstLine="42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6"/>
        <w:keepNext w:val="0"/>
        <w:keepLines w:val="0"/>
        <w:widowControl/>
        <w:suppressLineNumbers w:val="0"/>
        <w:ind w:left="0" w:firstLine="42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6"/>
        <w:keepNext w:val="0"/>
        <w:keepLines w:val="0"/>
        <w:widowControl/>
        <w:suppressLineNumbers w:val="0"/>
        <w:ind w:left="0" w:firstLine="42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6"/>
        <w:keepNext w:val="0"/>
        <w:keepLines w:val="0"/>
        <w:widowControl/>
        <w:suppressLineNumbers w:val="0"/>
        <w:jc w:val="center"/>
      </w:pPr>
      <w:r>
        <w:rPr>
          <w:rFonts w:hint="default" w:ascii="Calibri" w:hAnsi="Calibri" w:cs="Calibri"/>
          <w:sz w:val="21"/>
          <w:szCs w:val="21"/>
        </w:rPr>
        <w:br w:type="textWrapping"/>
      </w:r>
      <w:r>
        <w:rPr>
          <w:rStyle w:val="10"/>
          <w:rFonts w:hint="eastAsia" w:ascii="宋体" w:hAnsi="宋体" w:eastAsia="宋体" w:cs="宋体"/>
          <w:sz w:val="21"/>
          <w:szCs w:val="21"/>
        </w:rPr>
        <w:t>二、投标人的资格及资信证明文件</w:t>
      </w:r>
    </w:p>
    <w:p>
      <w:pPr>
        <w:pStyle w:val="6"/>
        <w:keepNext w:val="0"/>
        <w:keepLines w:val="0"/>
        <w:widowControl/>
        <w:suppressLineNumbers w:val="0"/>
      </w:pPr>
      <w:r>
        <w:rPr>
          <w:rFonts w:hint="eastAsia" w:ascii="宋体" w:hAnsi="宋体" w:eastAsia="宋体" w:cs="宋体"/>
          <w:sz w:val="21"/>
          <w:szCs w:val="21"/>
        </w:rPr>
        <w:t> </w:t>
      </w:r>
    </w:p>
    <w:p>
      <w:pPr>
        <w:pStyle w:val="6"/>
        <w:keepNext w:val="0"/>
        <w:keepLines w:val="0"/>
        <w:widowControl/>
        <w:suppressLineNumbers w:val="0"/>
        <w:jc w:val="center"/>
      </w:pPr>
      <w:r>
        <w:rPr>
          <w:rStyle w:val="10"/>
          <w:rFonts w:hint="eastAsia" w:ascii="宋体" w:hAnsi="宋体" w:eastAsia="宋体" w:cs="宋体"/>
          <w:sz w:val="21"/>
          <w:szCs w:val="21"/>
        </w:rPr>
        <w:t>二-1单位负责人授权书（若有）</w:t>
      </w:r>
    </w:p>
    <w:p>
      <w:pPr>
        <w:pStyle w:val="6"/>
        <w:keepNext w:val="0"/>
        <w:keepLines w:val="0"/>
        <w:widowControl/>
        <w:suppressLineNumbers w:val="0"/>
      </w:pPr>
      <w:r>
        <w:rPr>
          <w:rFonts w:hint="eastAsia" w:ascii="宋体" w:hAnsi="宋体" w:eastAsia="宋体" w:cs="宋体"/>
          <w:sz w:val="21"/>
          <w:szCs w:val="21"/>
        </w:rPr>
        <w:t> </w:t>
      </w:r>
    </w:p>
    <w:p>
      <w:pPr>
        <w:pStyle w:val="6"/>
        <w:keepNext w:val="0"/>
        <w:keepLines w:val="0"/>
        <w:widowControl/>
        <w:suppressLineNumbers w:val="0"/>
      </w:pPr>
      <w:r>
        <w:rPr>
          <w:rFonts w:hint="eastAsia" w:ascii="宋体" w:hAnsi="宋体" w:eastAsia="宋体" w:cs="宋体"/>
          <w:sz w:val="21"/>
          <w:szCs w:val="21"/>
        </w:rPr>
        <w:t>致：</w:t>
      </w:r>
      <w:r>
        <w:rPr>
          <w:rFonts w:hint="eastAsia" w:ascii="宋体" w:hAnsi="宋体" w:eastAsia="宋体" w:cs="宋体"/>
          <w:sz w:val="21"/>
          <w:szCs w:val="21"/>
          <w:u w:val="single"/>
        </w:rPr>
        <w:t>                     </w:t>
      </w:r>
    </w:p>
    <w:p>
      <w:pPr>
        <w:pStyle w:val="6"/>
        <w:keepNext w:val="0"/>
        <w:keepLines w:val="0"/>
        <w:widowControl/>
        <w:suppressLineNumbers w:val="0"/>
        <w:ind w:left="0" w:firstLine="420"/>
      </w:pPr>
      <w:r>
        <w:rPr>
          <w:rFonts w:hint="eastAsia" w:ascii="宋体" w:hAnsi="宋体" w:eastAsia="宋体" w:cs="宋体"/>
          <w:sz w:val="21"/>
          <w:szCs w:val="21"/>
        </w:rPr>
        <w:t>我方的单位负责人</w:t>
      </w:r>
      <w:r>
        <w:rPr>
          <w:rFonts w:hint="eastAsia" w:ascii="宋体" w:hAnsi="宋体" w:eastAsia="宋体" w:cs="宋体"/>
          <w:sz w:val="21"/>
          <w:szCs w:val="21"/>
          <w:u w:val="single"/>
        </w:rPr>
        <w:t>（填写“单位负责人全名”）</w:t>
      </w:r>
      <w:r>
        <w:rPr>
          <w:rFonts w:hint="eastAsia" w:ascii="宋体" w:hAnsi="宋体" w:eastAsia="宋体" w:cs="宋体"/>
          <w:sz w:val="21"/>
          <w:szCs w:val="21"/>
        </w:rPr>
        <w:t>授权</w:t>
      </w:r>
      <w:r>
        <w:rPr>
          <w:rFonts w:hint="eastAsia" w:ascii="宋体" w:hAnsi="宋体" w:eastAsia="宋体" w:cs="宋体"/>
          <w:sz w:val="21"/>
          <w:szCs w:val="21"/>
          <w:u w:val="single"/>
        </w:rPr>
        <w:t>（填写“投标人代表全名”）</w:t>
      </w:r>
      <w:r>
        <w:rPr>
          <w:rFonts w:hint="eastAsia" w:ascii="宋体" w:hAnsi="宋体" w:eastAsia="宋体" w:cs="宋体"/>
          <w:sz w:val="21"/>
          <w:szCs w:val="21"/>
        </w:rPr>
        <w:t>为投标人代表，代表我方参加</w:t>
      </w:r>
      <w:r>
        <w:rPr>
          <w:rFonts w:hint="eastAsia" w:ascii="宋体" w:hAnsi="宋体" w:eastAsia="宋体" w:cs="宋体"/>
          <w:sz w:val="21"/>
          <w:szCs w:val="21"/>
          <w:u w:val="single"/>
        </w:rPr>
        <w:t>（填写“项目名称”）</w:t>
      </w:r>
      <w:r>
        <w:rPr>
          <w:rFonts w:hint="eastAsia" w:ascii="宋体" w:hAnsi="宋体" w:eastAsia="宋体" w:cs="宋体"/>
          <w:sz w:val="21"/>
          <w:szCs w:val="21"/>
        </w:rPr>
        <w:t>项目（招标编号：</w:t>
      </w:r>
      <w:r>
        <w:rPr>
          <w:rFonts w:hint="eastAsia" w:ascii="宋体" w:hAnsi="宋体" w:eastAsia="宋体" w:cs="宋体"/>
          <w:sz w:val="21"/>
          <w:szCs w:val="21"/>
          <w:u w:val="single"/>
        </w:rPr>
        <w:t>         </w:t>
      </w:r>
      <w:r>
        <w:rPr>
          <w:rFonts w:hint="eastAsia" w:ascii="宋体" w:hAnsi="宋体" w:eastAsia="宋体" w:cs="宋体"/>
          <w:sz w:val="21"/>
          <w:szCs w:val="21"/>
        </w:rPr>
        <w:t>）的投标，全权代表我方处理投标过程的一切事宜，包括但不限于：投标、参加开标、谈判、澄清、签约等。投标人代表在投标过程中所签署的一切文件和处理与之有关的一切事务，我方均予以认可并对此承担责任。</w:t>
      </w:r>
    </w:p>
    <w:p>
      <w:pPr>
        <w:pStyle w:val="6"/>
        <w:keepNext w:val="0"/>
        <w:keepLines w:val="0"/>
        <w:widowControl/>
        <w:suppressLineNumbers w:val="0"/>
        <w:ind w:left="0" w:firstLine="420"/>
      </w:pPr>
      <w:r>
        <w:rPr>
          <w:rFonts w:hint="eastAsia" w:ascii="宋体" w:hAnsi="宋体" w:eastAsia="宋体" w:cs="宋体"/>
          <w:sz w:val="21"/>
          <w:szCs w:val="21"/>
        </w:rPr>
        <w:t>投标人代表无转委权。特此授权。</w:t>
      </w:r>
    </w:p>
    <w:p>
      <w:pPr>
        <w:pStyle w:val="6"/>
        <w:keepNext w:val="0"/>
        <w:keepLines w:val="0"/>
        <w:widowControl/>
        <w:suppressLineNumbers w:val="0"/>
        <w:jc w:val="center"/>
      </w:pPr>
      <w:r>
        <w:rPr>
          <w:rFonts w:hint="eastAsia" w:ascii="宋体" w:hAnsi="宋体" w:eastAsia="宋体" w:cs="宋体"/>
          <w:sz w:val="21"/>
          <w:szCs w:val="21"/>
        </w:rPr>
        <w:t>（以下无正文）</w:t>
      </w:r>
    </w:p>
    <w:p>
      <w:pPr>
        <w:pStyle w:val="6"/>
        <w:keepNext w:val="0"/>
        <w:keepLines w:val="0"/>
        <w:widowControl/>
        <w:suppressLineNumbers w:val="0"/>
      </w:pPr>
      <w:r>
        <w:rPr>
          <w:rFonts w:hint="eastAsia" w:ascii="宋体" w:hAnsi="宋体" w:eastAsia="宋体" w:cs="宋体"/>
          <w:sz w:val="21"/>
          <w:szCs w:val="21"/>
        </w:rPr>
        <w:t> </w:t>
      </w:r>
    </w:p>
    <w:p>
      <w:pPr>
        <w:pStyle w:val="6"/>
        <w:keepNext w:val="0"/>
        <w:keepLines w:val="0"/>
        <w:widowControl/>
        <w:suppressLineNumbers w:val="0"/>
      </w:pPr>
      <w:r>
        <w:rPr>
          <w:rFonts w:hint="eastAsia" w:ascii="宋体" w:hAnsi="宋体" w:eastAsia="宋体" w:cs="宋体"/>
          <w:sz w:val="21"/>
          <w:szCs w:val="21"/>
        </w:rPr>
        <w:t>单位负责人：</w:t>
      </w:r>
      <w:r>
        <w:rPr>
          <w:rFonts w:hint="eastAsia" w:ascii="宋体" w:hAnsi="宋体" w:eastAsia="宋体" w:cs="宋体"/>
          <w:sz w:val="21"/>
          <w:szCs w:val="21"/>
          <w:u w:val="single"/>
        </w:rPr>
        <w:t>             </w:t>
      </w:r>
      <w:r>
        <w:rPr>
          <w:rFonts w:hint="eastAsia" w:ascii="宋体" w:hAnsi="宋体" w:eastAsia="宋体" w:cs="宋体"/>
          <w:sz w:val="21"/>
          <w:szCs w:val="21"/>
        </w:rPr>
        <w:t>身份证号：</w:t>
      </w:r>
      <w:r>
        <w:rPr>
          <w:rFonts w:hint="eastAsia" w:ascii="宋体" w:hAnsi="宋体" w:eastAsia="宋体" w:cs="宋体"/>
          <w:sz w:val="21"/>
          <w:szCs w:val="21"/>
          <w:u w:val="single"/>
        </w:rPr>
        <w:t>                        </w:t>
      </w:r>
      <w:r>
        <w:rPr>
          <w:rFonts w:hint="eastAsia" w:ascii="宋体" w:hAnsi="宋体" w:eastAsia="宋体" w:cs="宋体"/>
          <w:sz w:val="21"/>
          <w:szCs w:val="21"/>
        </w:rPr>
        <w:t>手机：</w:t>
      </w:r>
      <w:r>
        <w:rPr>
          <w:rFonts w:hint="eastAsia" w:ascii="宋体" w:hAnsi="宋体" w:eastAsia="宋体" w:cs="宋体"/>
          <w:sz w:val="21"/>
          <w:szCs w:val="21"/>
          <w:u w:val="single"/>
        </w:rPr>
        <w:t>              </w:t>
      </w:r>
    </w:p>
    <w:p>
      <w:pPr>
        <w:pStyle w:val="6"/>
        <w:keepNext w:val="0"/>
        <w:keepLines w:val="0"/>
        <w:widowControl/>
        <w:suppressLineNumbers w:val="0"/>
      </w:pPr>
      <w:r>
        <w:rPr>
          <w:rFonts w:hint="eastAsia" w:ascii="宋体" w:hAnsi="宋体" w:eastAsia="宋体" w:cs="宋体"/>
          <w:sz w:val="21"/>
          <w:szCs w:val="21"/>
        </w:rPr>
        <w:t>投标人代表：</w:t>
      </w:r>
      <w:r>
        <w:rPr>
          <w:rFonts w:hint="eastAsia" w:ascii="宋体" w:hAnsi="宋体" w:eastAsia="宋体" w:cs="宋体"/>
          <w:sz w:val="21"/>
          <w:szCs w:val="21"/>
          <w:u w:val="single"/>
        </w:rPr>
        <w:t>             </w:t>
      </w:r>
      <w:r>
        <w:rPr>
          <w:rFonts w:hint="eastAsia" w:ascii="宋体" w:hAnsi="宋体" w:eastAsia="宋体" w:cs="宋体"/>
          <w:sz w:val="21"/>
          <w:szCs w:val="21"/>
        </w:rPr>
        <w:t>身份证号：</w:t>
      </w:r>
      <w:r>
        <w:rPr>
          <w:rFonts w:hint="eastAsia" w:ascii="宋体" w:hAnsi="宋体" w:eastAsia="宋体" w:cs="宋体"/>
          <w:sz w:val="21"/>
          <w:szCs w:val="21"/>
          <w:u w:val="single"/>
        </w:rPr>
        <w:t>                        </w:t>
      </w:r>
      <w:r>
        <w:rPr>
          <w:rFonts w:hint="eastAsia" w:ascii="宋体" w:hAnsi="宋体" w:eastAsia="宋体" w:cs="宋体"/>
          <w:sz w:val="21"/>
          <w:szCs w:val="21"/>
        </w:rPr>
        <w:t>手机：</w:t>
      </w:r>
      <w:r>
        <w:rPr>
          <w:rFonts w:hint="eastAsia" w:ascii="宋体" w:hAnsi="宋体" w:eastAsia="宋体" w:cs="宋体"/>
          <w:sz w:val="21"/>
          <w:szCs w:val="21"/>
          <w:u w:val="single"/>
        </w:rPr>
        <w:t>              </w:t>
      </w:r>
    </w:p>
    <w:p>
      <w:pPr>
        <w:pStyle w:val="6"/>
        <w:keepNext w:val="0"/>
        <w:keepLines w:val="0"/>
        <w:widowControl/>
        <w:suppressLineNumbers w:val="0"/>
      </w:pPr>
      <w:r>
        <w:rPr>
          <w:rFonts w:hint="default" w:ascii="Calibri" w:hAnsi="Calibri" w:cs="Calibri"/>
          <w:sz w:val="21"/>
          <w:szCs w:val="21"/>
        </w:rPr>
        <w:t> </w:t>
      </w:r>
    </w:p>
    <w:p>
      <w:pPr>
        <w:pStyle w:val="6"/>
        <w:keepNext w:val="0"/>
        <w:keepLines w:val="0"/>
        <w:widowControl/>
        <w:suppressLineNumbers w:val="0"/>
      </w:pPr>
      <w:r>
        <w:rPr>
          <w:rFonts w:hint="eastAsia" w:ascii="宋体" w:hAnsi="宋体" w:eastAsia="宋体" w:cs="宋体"/>
          <w:sz w:val="21"/>
          <w:szCs w:val="21"/>
        </w:rPr>
        <w:t>授权方</w:t>
      </w:r>
    </w:p>
    <w:p>
      <w:pPr>
        <w:pStyle w:val="6"/>
        <w:keepNext w:val="0"/>
        <w:keepLines w:val="0"/>
        <w:widowControl/>
        <w:suppressLineNumbers w:val="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6"/>
        <w:keepNext w:val="0"/>
        <w:keepLines w:val="0"/>
        <w:widowControl/>
        <w:suppressLineNumbers w:val="0"/>
      </w:pPr>
      <w:r>
        <w:rPr>
          <w:rFonts w:hint="eastAsia" w:ascii="宋体" w:hAnsi="宋体" w:eastAsia="宋体" w:cs="宋体"/>
          <w:sz w:val="21"/>
          <w:szCs w:val="21"/>
        </w:rPr>
        <w:t>单位负责人签字或盖章：</w:t>
      </w:r>
      <w:r>
        <w:rPr>
          <w:rFonts w:hint="eastAsia" w:ascii="宋体" w:hAnsi="宋体" w:eastAsia="宋体" w:cs="宋体"/>
          <w:sz w:val="21"/>
          <w:szCs w:val="21"/>
          <w:u w:val="single"/>
        </w:rPr>
        <w:t>                   </w:t>
      </w:r>
    </w:p>
    <w:p>
      <w:pPr>
        <w:pStyle w:val="6"/>
        <w:keepNext w:val="0"/>
        <w:keepLines w:val="0"/>
        <w:widowControl/>
        <w:suppressLineNumbers w:val="0"/>
      </w:pPr>
      <w:r>
        <w:rPr>
          <w:rFonts w:hint="default" w:ascii="Calibri" w:hAnsi="Calibri" w:cs="Calibri"/>
          <w:sz w:val="21"/>
          <w:szCs w:val="21"/>
        </w:rPr>
        <w:t> </w:t>
      </w:r>
    </w:p>
    <w:p>
      <w:pPr>
        <w:pStyle w:val="6"/>
        <w:keepNext w:val="0"/>
        <w:keepLines w:val="0"/>
        <w:widowControl/>
        <w:suppressLineNumbers w:val="0"/>
      </w:pPr>
      <w:r>
        <w:rPr>
          <w:rFonts w:hint="eastAsia" w:ascii="宋体" w:hAnsi="宋体" w:eastAsia="宋体" w:cs="宋体"/>
          <w:sz w:val="21"/>
          <w:szCs w:val="21"/>
        </w:rPr>
        <w:t>接受授权方</w:t>
      </w:r>
    </w:p>
    <w:p>
      <w:pPr>
        <w:pStyle w:val="6"/>
        <w:keepNext w:val="0"/>
        <w:keepLines w:val="0"/>
        <w:widowControl/>
        <w:suppressLineNumbers w:val="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6"/>
        <w:keepNext w:val="0"/>
        <w:keepLines w:val="0"/>
        <w:widowControl/>
        <w:suppressLineNumbers w:val="0"/>
      </w:pPr>
      <w:r>
        <w:rPr>
          <w:rFonts w:hint="eastAsia" w:ascii="宋体" w:hAnsi="宋体" w:eastAsia="宋体" w:cs="宋体"/>
          <w:sz w:val="21"/>
          <w:szCs w:val="21"/>
        </w:rPr>
        <w:t> </w:t>
      </w:r>
    </w:p>
    <w:p>
      <w:pPr>
        <w:pStyle w:val="6"/>
        <w:keepNext w:val="0"/>
        <w:keepLines w:val="0"/>
        <w:widowControl/>
        <w:suppressLineNumbers w:val="0"/>
        <w:jc w:val="right"/>
      </w:pPr>
      <w:r>
        <w:rPr>
          <w:rFonts w:hint="eastAsia" w:ascii="宋体" w:hAnsi="宋体" w:eastAsia="宋体" w:cs="宋体"/>
          <w:sz w:val="21"/>
          <w:szCs w:val="21"/>
        </w:rPr>
        <w:t>签署日期：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6"/>
        <w:keepNext w:val="0"/>
        <w:keepLines w:val="0"/>
        <w:widowControl/>
        <w:suppressLineNumbers w:val="0"/>
      </w:pPr>
      <w:r>
        <w:rPr>
          <w:rFonts w:hint="default" w:ascii="Calibri" w:hAnsi="Calibri" w:cs="Calibri"/>
          <w:sz w:val="21"/>
          <w:szCs w:val="21"/>
        </w:rPr>
        <w:t> </w:t>
      </w:r>
    </w:p>
    <w:p>
      <w:pPr>
        <w:pStyle w:val="6"/>
        <w:keepNext w:val="0"/>
        <w:keepLines w:val="0"/>
        <w:widowControl/>
        <w:suppressLineNumbers w:val="0"/>
      </w:pPr>
      <w:r>
        <w:rPr>
          <w:rFonts w:hint="eastAsia" w:ascii="宋体" w:hAnsi="宋体" w:eastAsia="宋体" w:cs="宋体"/>
          <w:sz w:val="21"/>
          <w:szCs w:val="21"/>
        </w:rPr>
        <w:t>附：单位负责人、投标人代表的身份证正反面复印件</w:t>
      </w:r>
    </w:p>
    <w:tbl>
      <w:tblPr>
        <w:tblStyle w:val="7"/>
        <w:tblW w:w="8520"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
      <w:tblGrid>
        <w:gridCol w:w="852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Ex>
        <w:trPr>
          <w:tblCellSpacing w:w="15" w:type="dxa"/>
        </w:trPr>
        <w:tc>
          <w:tcPr>
            <w:tcW w:w="8460" w:type="dxa"/>
            <w:tcBorders>
              <w:top w:val="nil"/>
              <w:left w:val="nil"/>
              <w:bottom w:val="nil"/>
              <w:right w:val="nil"/>
            </w:tcBorders>
            <w:shd w:val="clear" w:color="auto" w:fill="auto"/>
            <w:tcMar>
              <w:top w:w="0" w:type="dxa"/>
              <w:left w:w="105" w:type="dxa"/>
              <w:bottom w:w="0" w:type="dxa"/>
              <w:right w:w="105" w:type="dxa"/>
            </w:tcMar>
            <w:vAlign w:val="center"/>
          </w:tcPr>
          <w:p>
            <w:pPr>
              <w:pStyle w:val="6"/>
              <w:keepNext w:val="0"/>
              <w:keepLines w:val="0"/>
              <w:widowControl/>
              <w:suppressLineNumbers w:val="0"/>
              <w:jc w:val="center"/>
            </w:pPr>
            <w:r>
              <w:rPr>
                <w:rStyle w:val="10"/>
                <w:rFonts w:hint="eastAsia" w:ascii="宋体" w:hAnsi="宋体" w:eastAsia="宋体" w:cs="宋体"/>
                <w:sz w:val="21"/>
                <w:szCs w:val="21"/>
              </w:rPr>
              <w:t> </w:t>
            </w:r>
          </w:p>
          <w:p>
            <w:pPr>
              <w:pStyle w:val="6"/>
              <w:keepNext w:val="0"/>
              <w:keepLines w:val="0"/>
              <w:widowControl/>
              <w:suppressLineNumbers w:val="0"/>
              <w:jc w:val="center"/>
            </w:pPr>
            <w:r>
              <w:rPr>
                <w:rStyle w:val="10"/>
                <w:rFonts w:hint="eastAsia" w:ascii="宋体" w:hAnsi="宋体" w:eastAsia="宋体" w:cs="宋体"/>
                <w:sz w:val="21"/>
                <w:szCs w:val="21"/>
              </w:rPr>
              <w:t>要求：真实有效且内容完整、清晰、整洁。</w:t>
            </w:r>
          </w:p>
          <w:p>
            <w:pPr>
              <w:pStyle w:val="6"/>
              <w:keepNext w:val="0"/>
              <w:keepLines w:val="0"/>
              <w:widowControl/>
              <w:suppressLineNumbers w:val="0"/>
              <w:jc w:val="center"/>
            </w:pPr>
            <w:r>
              <w:rPr>
                <w:rStyle w:val="10"/>
                <w:rFonts w:hint="eastAsia" w:ascii="宋体" w:hAnsi="宋体" w:eastAsia="宋体" w:cs="宋体"/>
                <w:sz w:val="21"/>
                <w:szCs w:val="21"/>
              </w:rPr>
              <w:t> </w:t>
            </w:r>
          </w:p>
        </w:tc>
      </w:tr>
    </w:tbl>
    <w:p>
      <w:pPr>
        <w:pStyle w:val="6"/>
        <w:keepNext w:val="0"/>
        <w:keepLines w:val="0"/>
        <w:widowControl/>
        <w:suppressLineNumbers w:val="0"/>
      </w:pPr>
      <w:r>
        <w:rPr>
          <w:rFonts w:hint="eastAsia" w:ascii="宋体" w:hAnsi="宋体" w:eastAsia="宋体" w:cs="宋体"/>
          <w:sz w:val="21"/>
          <w:szCs w:val="21"/>
        </w:rPr>
        <w:t> </w:t>
      </w:r>
    </w:p>
    <w:p>
      <w:pPr>
        <w:pStyle w:val="6"/>
        <w:keepNext w:val="0"/>
        <w:keepLines w:val="0"/>
        <w:widowControl/>
        <w:suppressLineNumbers w:val="0"/>
      </w:pPr>
      <w:r>
        <w:rPr>
          <w:rFonts w:hint="eastAsia" w:ascii="宋体" w:hAnsi="宋体" w:eastAsia="宋体" w:cs="宋体"/>
          <w:sz w:val="21"/>
          <w:szCs w:val="21"/>
        </w:rPr>
        <w:t>★注意：</w:t>
      </w:r>
    </w:p>
    <w:p>
      <w:pPr>
        <w:pStyle w:val="6"/>
        <w:keepNext w:val="0"/>
        <w:keepLines w:val="0"/>
        <w:widowControl/>
        <w:suppressLineNumbers w:val="0"/>
      </w:pPr>
      <w:r>
        <w:rPr>
          <w:rFonts w:hint="eastAsia" w:ascii="宋体" w:hAnsi="宋体" w:eastAsia="宋体" w:cs="宋体"/>
          <w:sz w:val="21"/>
          <w:szCs w:val="21"/>
        </w:rPr>
        <w:t>1、企业（银行、保险、石油石化、电力、电信等行业除外）、事业单位和社会团体法人的“单位负责人”指</w:t>
      </w:r>
      <w:r>
        <w:rPr>
          <w:rStyle w:val="10"/>
          <w:rFonts w:hint="eastAsia" w:ascii="宋体" w:hAnsi="宋体" w:eastAsia="宋体" w:cs="宋体"/>
          <w:sz w:val="21"/>
          <w:szCs w:val="21"/>
        </w:rPr>
        <w:t>法定代表人</w:t>
      </w:r>
      <w:r>
        <w:rPr>
          <w:rFonts w:hint="eastAsia" w:ascii="宋体" w:hAnsi="宋体" w:eastAsia="宋体" w:cs="宋体"/>
          <w:sz w:val="21"/>
          <w:szCs w:val="21"/>
        </w:rPr>
        <w:t>，即与实际提交的“营业执照等证明文件”载明的一致。</w:t>
      </w:r>
    </w:p>
    <w:p>
      <w:pPr>
        <w:pStyle w:val="6"/>
        <w:keepNext w:val="0"/>
        <w:keepLines w:val="0"/>
        <w:widowControl/>
        <w:suppressLineNumbers w:val="0"/>
      </w:pPr>
      <w:r>
        <w:rPr>
          <w:rFonts w:hint="eastAsia" w:ascii="宋体" w:hAnsi="宋体" w:eastAsia="宋体" w:cs="宋体"/>
          <w:sz w:val="21"/>
          <w:szCs w:val="21"/>
        </w:rPr>
        <w:t>2、银行、保险、石油石化、电力、电信等行业：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w:t>
      </w:r>
    </w:p>
    <w:p>
      <w:pPr>
        <w:pStyle w:val="6"/>
        <w:keepNext w:val="0"/>
        <w:keepLines w:val="0"/>
        <w:widowControl/>
        <w:suppressLineNumbers w:val="0"/>
      </w:pPr>
      <w:r>
        <w:rPr>
          <w:rFonts w:hint="eastAsia" w:ascii="宋体" w:hAnsi="宋体" w:eastAsia="宋体" w:cs="宋体"/>
          <w:sz w:val="21"/>
          <w:szCs w:val="21"/>
        </w:rPr>
        <w:t>3、投标人（自然人除外）：若投标人代表为单位负责人授权的委托代理人，应提供本授权书；若投标人代表为单位负责人，应在此项下提交其身份证正反面复印件，可不提供本授权书。</w:t>
      </w:r>
      <w:r>
        <w:rPr>
          <w:rFonts w:hint="eastAsia" w:ascii="宋体" w:hAnsi="宋体" w:eastAsia="宋体" w:cs="宋体"/>
          <w:sz w:val="21"/>
          <w:szCs w:val="21"/>
        </w:rPr>
        <w:br w:type="textWrapping"/>
      </w:r>
      <w:r>
        <w:rPr>
          <w:rFonts w:hint="eastAsia" w:ascii="宋体" w:hAnsi="宋体" w:eastAsia="宋体" w:cs="宋体"/>
          <w:sz w:val="21"/>
          <w:szCs w:val="21"/>
        </w:rPr>
        <w:t>4、投标人为自然人的，可不填写本授权书。</w:t>
      </w:r>
      <w:r>
        <w:rPr>
          <w:rFonts w:hint="eastAsia" w:ascii="宋体" w:hAnsi="宋体" w:eastAsia="宋体" w:cs="宋体"/>
          <w:sz w:val="21"/>
          <w:szCs w:val="21"/>
        </w:rPr>
        <w:br w:type="textWrapping"/>
      </w:r>
      <w:r>
        <w:rPr>
          <w:rFonts w:hint="eastAsia" w:ascii="宋体" w:hAnsi="宋体" w:eastAsia="宋体" w:cs="宋体"/>
          <w:sz w:val="21"/>
          <w:szCs w:val="21"/>
        </w:rPr>
        <w:t>5、纸质投标文件正本中的本授权书（若有）应为原件。</w:t>
      </w:r>
    </w:p>
    <w:p>
      <w:pPr>
        <w:pStyle w:val="6"/>
        <w:keepNext w:val="0"/>
        <w:keepLines w:val="0"/>
        <w:widowControl/>
        <w:suppressLineNumbers w:val="0"/>
      </w:pPr>
    </w:p>
    <w:p>
      <w:pPr>
        <w:pStyle w:val="6"/>
        <w:keepNext w:val="0"/>
        <w:keepLines w:val="0"/>
        <w:widowControl/>
        <w:suppressLineNumbers w:val="0"/>
      </w:pPr>
      <w:r>
        <w:rPr>
          <w:rFonts w:hint="eastAsia" w:ascii="宋体" w:hAnsi="宋体" w:eastAsia="宋体" w:cs="宋体"/>
          <w:sz w:val="21"/>
          <w:szCs w:val="21"/>
        </w:rPr>
        <w:t> </w:t>
      </w:r>
    </w:p>
    <w:p>
      <w:pPr>
        <w:pStyle w:val="6"/>
        <w:keepNext w:val="0"/>
        <w:keepLines w:val="0"/>
        <w:widowControl/>
        <w:suppressLineNumbers w:val="0"/>
      </w:pPr>
      <w:r>
        <w:rPr>
          <w:rFonts w:hint="eastAsia" w:ascii="宋体" w:hAnsi="宋体" w:eastAsia="宋体" w:cs="宋体"/>
          <w:sz w:val="21"/>
          <w:szCs w:val="21"/>
        </w:rPr>
        <w:t> </w:t>
      </w:r>
    </w:p>
    <w:p>
      <w:pPr>
        <w:pStyle w:val="6"/>
        <w:keepNext w:val="0"/>
        <w:keepLines w:val="0"/>
        <w:widowControl/>
        <w:suppressLineNumbers w:val="0"/>
        <w:jc w:val="center"/>
      </w:pPr>
      <w:r>
        <w:rPr>
          <w:rFonts w:hint="default" w:ascii="Calibri" w:hAnsi="Calibri" w:cs="Calibri"/>
          <w:sz w:val="21"/>
          <w:szCs w:val="21"/>
        </w:rPr>
        <w:br w:type="textWrapping"/>
      </w:r>
      <w:r>
        <w:rPr>
          <w:rStyle w:val="10"/>
          <w:rFonts w:hint="eastAsia" w:ascii="宋体" w:hAnsi="宋体" w:eastAsia="宋体" w:cs="宋体"/>
          <w:sz w:val="21"/>
          <w:szCs w:val="21"/>
        </w:rPr>
        <w:t>二-2营业执照等证明文件</w:t>
      </w:r>
    </w:p>
    <w:p>
      <w:pPr>
        <w:pStyle w:val="6"/>
        <w:keepNext w:val="0"/>
        <w:keepLines w:val="0"/>
        <w:widowControl/>
        <w:suppressLineNumbers w:val="0"/>
      </w:pPr>
      <w:r>
        <w:rPr>
          <w:rFonts w:hint="default" w:ascii="Calibri" w:hAnsi="Calibri" w:cs="Calibri"/>
          <w:sz w:val="21"/>
          <w:szCs w:val="21"/>
        </w:rPr>
        <w:t> </w:t>
      </w:r>
    </w:p>
    <w:p>
      <w:pPr>
        <w:pStyle w:val="6"/>
        <w:keepNext w:val="0"/>
        <w:keepLines w:val="0"/>
        <w:widowControl/>
        <w:suppressLineNumbers w:val="0"/>
      </w:pPr>
      <w:r>
        <w:rPr>
          <w:rFonts w:hint="eastAsia" w:ascii="宋体" w:hAnsi="宋体" w:eastAsia="宋体" w:cs="宋体"/>
          <w:sz w:val="21"/>
          <w:szCs w:val="21"/>
        </w:rPr>
        <w:t>致：</w:t>
      </w:r>
      <w:r>
        <w:rPr>
          <w:rFonts w:hint="eastAsia" w:ascii="宋体" w:hAnsi="宋体" w:eastAsia="宋体" w:cs="宋体"/>
          <w:sz w:val="21"/>
          <w:szCs w:val="21"/>
          <w:u w:val="single"/>
        </w:rPr>
        <w:t>                     </w:t>
      </w:r>
    </w:p>
    <w:p>
      <w:pPr>
        <w:pStyle w:val="6"/>
        <w:keepNext w:val="0"/>
        <w:keepLines w:val="0"/>
        <w:widowControl/>
        <w:suppressLineNumbers w:val="0"/>
        <w:ind w:left="0" w:firstLine="420"/>
      </w:pPr>
      <w:r>
        <w:rPr>
          <w:rFonts w:hint="eastAsia" w:ascii="宋体" w:hAnsi="宋体" w:eastAsia="宋体" w:cs="宋体"/>
          <w:sz w:val="21"/>
          <w:szCs w:val="21"/>
        </w:rPr>
        <w:t>（ ）投标人为法人（包括企业、事业单位和社会团体）的</w:t>
      </w:r>
    </w:p>
    <w:p>
      <w:pPr>
        <w:pStyle w:val="6"/>
        <w:keepNext w:val="0"/>
        <w:keepLines w:val="0"/>
        <w:widowControl/>
        <w:suppressLineNumbers w:val="0"/>
        <w:ind w:left="0" w:firstLine="420"/>
      </w:pPr>
      <w:r>
        <w:rPr>
          <w:rFonts w:hint="eastAsia" w:ascii="宋体" w:hAnsi="宋体" w:eastAsia="宋体" w:cs="宋体"/>
          <w:sz w:val="21"/>
          <w:szCs w:val="21"/>
        </w:rPr>
        <w:t>现附上由</w:t>
      </w:r>
      <w:r>
        <w:rPr>
          <w:rFonts w:hint="eastAsia" w:ascii="宋体" w:hAnsi="宋体" w:eastAsia="宋体" w:cs="宋体"/>
          <w:sz w:val="21"/>
          <w:szCs w:val="21"/>
          <w:u w:val="single"/>
        </w:rPr>
        <w:t>（填写“签发机关全称”）</w:t>
      </w:r>
      <w:r>
        <w:rPr>
          <w:rFonts w:hint="eastAsia" w:ascii="宋体" w:hAnsi="宋体" w:eastAsia="宋体" w:cs="宋体"/>
          <w:sz w:val="21"/>
          <w:szCs w:val="21"/>
        </w:rPr>
        <w:t>签发的我方统一社会信用代码</w:t>
      </w:r>
      <w:r>
        <w:rPr>
          <w:rFonts w:hint="eastAsia" w:ascii="宋体" w:hAnsi="宋体" w:eastAsia="宋体" w:cs="宋体"/>
          <w:sz w:val="21"/>
          <w:szCs w:val="21"/>
          <w:u w:val="single"/>
        </w:rPr>
        <w:t>（请填写法人的具体证照名称）</w:t>
      </w:r>
      <w:r>
        <w:rPr>
          <w:rFonts w:hint="eastAsia" w:ascii="宋体" w:hAnsi="宋体" w:eastAsia="宋体" w:cs="宋体"/>
          <w:sz w:val="21"/>
          <w:szCs w:val="21"/>
        </w:rPr>
        <w:t>复印件，该证明材料真实有效，否则我方负全部责任。</w:t>
      </w:r>
    </w:p>
    <w:p>
      <w:pPr>
        <w:pStyle w:val="6"/>
        <w:keepNext w:val="0"/>
        <w:keepLines w:val="0"/>
        <w:widowControl/>
        <w:suppressLineNumbers w:val="0"/>
        <w:ind w:left="0" w:firstLine="420"/>
      </w:pPr>
      <w:r>
        <w:rPr>
          <w:rFonts w:hint="eastAsia" w:ascii="宋体" w:hAnsi="宋体" w:eastAsia="宋体" w:cs="宋体"/>
          <w:sz w:val="21"/>
          <w:szCs w:val="21"/>
        </w:rPr>
        <w:t>（ ）投标人为非法人（包括其他组织、自然人）的</w:t>
      </w:r>
    </w:p>
    <w:p>
      <w:pPr>
        <w:pStyle w:val="6"/>
        <w:keepNext w:val="0"/>
        <w:keepLines w:val="0"/>
        <w:widowControl/>
        <w:suppressLineNumbers w:val="0"/>
        <w:ind w:left="0" w:firstLine="420"/>
      </w:pPr>
      <w:r>
        <w:rPr>
          <w:rFonts w:hint="eastAsia" w:ascii="宋体" w:hAnsi="宋体" w:eastAsia="宋体" w:cs="宋体"/>
          <w:sz w:val="21"/>
          <w:szCs w:val="21"/>
        </w:rPr>
        <w:t>□现附上由</w:t>
      </w:r>
      <w:r>
        <w:rPr>
          <w:rFonts w:hint="eastAsia" w:ascii="宋体" w:hAnsi="宋体" w:eastAsia="宋体" w:cs="宋体"/>
          <w:sz w:val="21"/>
          <w:szCs w:val="21"/>
          <w:u w:val="single"/>
        </w:rPr>
        <w:t>（填写“签发机关全称”）</w:t>
      </w:r>
      <w:r>
        <w:rPr>
          <w:rFonts w:hint="eastAsia" w:ascii="宋体" w:hAnsi="宋体" w:eastAsia="宋体" w:cs="宋体"/>
          <w:sz w:val="21"/>
          <w:szCs w:val="21"/>
        </w:rPr>
        <w:t>签发的我方</w:t>
      </w:r>
      <w:r>
        <w:rPr>
          <w:rFonts w:hint="eastAsia" w:ascii="宋体" w:hAnsi="宋体" w:eastAsia="宋体" w:cs="宋体"/>
          <w:sz w:val="21"/>
          <w:szCs w:val="21"/>
          <w:u w:val="single"/>
        </w:rPr>
        <w:t>（请填写非自然人的非法人的具体证照名称）</w:t>
      </w:r>
      <w:r>
        <w:rPr>
          <w:rFonts w:hint="eastAsia" w:ascii="宋体" w:hAnsi="宋体" w:eastAsia="宋体" w:cs="宋体"/>
          <w:sz w:val="21"/>
          <w:szCs w:val="21"/>
        </w:rPr>
        <w:t>复印件，该证明材料真实有效，否则我方负全部责任。</w:t>
      </w:r>
    </w:p>
    <w:p>
      <w:pPr>
        <w:pStyle w:val="6"/>
        <w:keepNext w:val="0"/>
        <w:keepLines w:val="0"/>
        <w:widowControl/>
        <w:suppressLineNumbers w:val="0"/>
        <w:ind w:left="0" w:firstLine="420"/>
      </w:pPr>
      <w:r>
        <w:rPr>
          <w:rFonts w:hint="eastAsia" w:ascii="宋体" w:hAnsi="宋体" w:eastAsia="宋体" w:cs="宋体"/>
          <w:sz w:val="21"/>
          <w:szCs w:val="21"/>
        </w:rPr>
        <w:t>□现附上由</w:t>
      </w:r>
      <w:r>
        <w:rPr>
          <w:rFonts w:hint="eastAsia" w:ascii="宋体" w:hAnsi="宋体" w:eastAsia="宋体" w:cs="宋体"/>
          <w:sz w:val="21"/>
          <w:szCs w:val="21"/>
          <w:u w:val="single"/>
        </w:rPr>
        <w:t>（填写“签发机关全称”）</w:t>
      </w:r>
      <w:r>
        <w:rPr>
          <w:rFonts w:hint="eastAsia" w:ascii="宋体" w:hAnsi="宋体" w:eastAsia="宋体" w:cs="宋体"/>
          <w:sz w:val="21"/>
          <w:szCs w:val="21"/>
        </w:rPr>
        <w:t>签发的我方</w:t>
      </w:r>
      <w:r>
        <w:rPr>
          <w:rFonts w:hint="eastAsia" w:ascii="宋体" w:hAnsi="宋体" w:eastAsia="宋体" w:cs="宋体"/>
          <w:sz w:val="21"/>
          <w:szCs w:val="21"/>
          <w:u w:val="single"/>
        </w:rPr>
        <w:t>（请填写自然人的身份证件名称）</w:t>
      </w:r>
      <w:r>
        <w:rPr>
          <w:rFonts w:hint="eastAsia" w:ascii="宋体" w:hAnsi="宋体" w:eastAsia="宋体" w:cs="宋体"/>
          <w:sz w:val="21"/>
          <w:szCs w:val="21"/>
        </w:rPr>
        <w:t>复印件，该证明材料真实有效，否则我方负全部责任。</w:t>
      </w:r>
    </w:p>
    <w:p>
      <w:pPr>
        <w:pStyle w:val="6"/>
        <w:keepNext w:val="0"/>
        <w:keepLines w:val="0"/>
        <w:widowControl/>
        <w:suppressLineNumbers w:val="0"/>
      </w:pPr>
      <w:r>
        <w:rPr>
          <w:rFonts w:hint="default" w:ascii="Calibri" w:hAnsi="Calibri" w:cs="Calibri"/>
          <w:sz w:val="21"/>
          <w:szCs w:val="21"/>
        </w:rPr>
        <w:t> </w:t>
      </w:r>
    </w:p>
    <w:p>
      <w:pPr>
        <w:pStyle w:val="6"/>
        <w:keepNext w:val="0"/>
        <w:keepLines w:val="0"/>
        <w:widowControl/>
        <w:suppressLineNumbers w:val="0"/>
      </w:pPr>
      <w:r>
        <w:rPr>
          <w:rFonts w:hint="eastAsia" w:ascii="宋体" w:hAnsi="宋体" w:eastAsia="宋体" w:cs="宋体"/>
          <w:sz w:val="21"/>
          <w:szCs w:val="21"/>
        </w:rPr>
        <w:t>★注意：</w:t>
      </w:r>
    </w:p>
    <w:p>
      <w:pPr>
        <w:pStyle w:val="6"/>
        <w:keepNext w:val="0"/>
        <w:keepLines w:val="0"/>
        <w:widowControl/>
        <w:suppressLineNumbers w:val="0"/>
      </w:pPr>
      <w:r>
        <w:rPr>
          <w:rFonts w:hint="eastAsia" w:ascii="宋体" w:hAnsi="宋体" w:eastAsia="宋体" w:cs="宋体"/>
          <w:sz w:val="21"/>
          <w:szCs w:val="21"/>
        </w:rPr>
        <w:t>1、请投标人按照实际情况编制填写，在相应的（）中打“√”并选择相应的“□”（若有）后，再按照本格式的要求提供相应证明材料的复印件。</w:t>
      </w:r>
    </w:p>
    <w:p>
      <w:pPr>
        <w:pStyle w:val="6"/>
        <w:keepNext w:val="0"/>
        <w:keepLines w:val="0"/>
        <w:widowControl/>
        <w:suppressLineNumbers w:val="0"/>
      </w:pPr>
      <w:r>
        <w:rPr>
          <w:rFonts w:hint="eastAsia" w:ascii="宋体" w:hAnsi="宋体" w:eastAsia="宋体" w:cs="宋体"/>
          <w:sz w:val="21"/>
          <w:szCs w:val="21"/>
        </w:rPr>
        <w:t>2、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p>
      <w:pPr>
        <w:pStyle w:val="6"/>
        <w:keepNext w:val="0"/>
        <w:keepLines w:val="0"/>
        <w:widowControl/>
        <w:suppressLineNumbers w:val="0"/>
      </w:pPr>
      <w:r>
        <w:rPr>
          <w:rFonts w:hint="eastAsia" w:ascii="宋体" w:hAnsi="宋体" w:eastAsia="宋体" w:cs="宋体"/>
          <w:sz w:val="21"/>
          <w:szCs w:val="21"/>
        </w:rPr>
        <w:t>3、投标人提供的相应证明材料复印件均应符合：内容完整、清晰、整洁，并由投标人加盖其单位公章。</w:t>
      </w:r>
    </w:p>
    <w:p>
      <w:pPr>
        <w:pStyle w:val="6"/>
        <w:keepNext w:val="0"/>
        <w:keepLines w:val="0"/>
        <w:widowControl/>
        <w:suppressLineNumbers w:val="0"/>
      </w:pPr>
      <w:r>
        <w:rPr>
          <w:rFonts w:hint="default" w:ascii="Calibri" w:hAnsi="Calibri" w:cs="Calibri"/>
          <w:sz w:val="21"/>
          <w:szCs w:val="21"/>
        </w:rPr>
        <w:t> </w:t>
      </w:r>
    </w:p>
    <w:p>
      <w:pPr>
        <w:pStyle w:val="6"/>
        <w:keepNext w:val="0"/>
        <w:keepLines w:val="0"/>
        <w:widowControl/>
        <w:suppressLineNumbers w:val="0"/>
      </w:pPr>
      <w:r>
        <w:rPr>
          <w:rFonts w:hint="default" w:ascii="Calibri" w:hAnsi="Calibri" w:cs="Calibri"/>
          <w:sz w:val="21"/>
          <w:szCs w:val="21"/>
        </w:rPr>
        <w:t> </w:t>
      </w:r>
    </w:p>
    <w:p>
      <w:pPr>
        <w:pStyle w:val="6"/>
        <w:keepNext w:val="0"/>
        <w:keepLines w:val="0"/>
        <w:widowControl/>
        <w:suppressLineNumbers w:val="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6"/>
        <w:keepNext w:val="0"/>
        <w:keepLines w:val="0"/>
        <w:widowControl/>
        <w:suppressLineNumbers w:val="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6"/>
        <w:keepNext w:val="0"/>
        <w:keepLines w:val="0"/>
        <w:widowControl/>
        <w:suppressLineNumbers w:val="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6"/>
        <w:keepNext w:val="0"/>
        <w:keepLines w:val="0"/>
        <w:widowControl/>
        <w:suppressLineNumbers w:val="0"/>
      </w:pPr>
      <w:r>
        <w:rPr>
          <w:rFonts w:hint="eastAsia" w:ascii="宋体" w:hAnsi="宋体" w:eastAsia="宋体" w:cs="宋体"/>
          <w:sz w:val="21"/>
          <w:szCs w:val="21"/>
        </w:rPr>
        <w:t> </w:t>
      </w:r>
    </w:p>
    <w:p>
      <w:pPr>
        <w:pStyle w:val="6"/>
        <w:keepNext w:val="0"/>
        <w:keepLines w:val="0"/>
        <w:widowControl/>
        <w:suppressLineNumbers w:val="0"/>
      </w:pPr>
      <w:r>
        <w:rPr>
          <w:rFonts w:hint="eastAsia" w:ascii="宋体" w:hAnsi="宋体" w:eastAsia="宋体" w:cs="宋体"/>
          <w:sz w:val="21"/>
          <w:szCs w:val="21"/>
        </w:rPr>
        <w:t> </w:t>
      </w:r>
    </w:p>
    <w:p>
      <w:pPr>
        <w:pStyle w:val="6"/>
        <w:keepNext w:val="0"/>
        <w:keepLines w:val="0"/>
        <w:widowControl/>
        <w:suppressLineNumbers w:val="0"/>
        <w:jc w:val="center"/>
      </w:pPr>
      <w:r>
        <w:rPr>
          <w:rFonts w:hint="default" w:ascii="Calibri" w:hAnsi="Calibri" w:cs="Calibri"/>
          <w:sz w:val="21"/>
          <w:szCs w:val="21"/>
        </w:rPr>
        <w:br w:type="textWrapping"/>
      </w:r>
      <w:r>
        <w:rPr>
          <w:rStyle w:val="10"/>
          <w:rFonts w:hint="eastAsia" w:ascii="宋体" w:hAnsi="宋体" w:eastAsia="宋体" w:cs="宋体"/>
          <w:sz w:val="21"/>
          <w:szCs w:val="21"/>
        </w:rPr>
        <w:t>二-3财务状况报告（财务报告、或资信证明、或投标担保函）</w:t>
      </w:r>
    </w:p>
    <w:p>
      <w:pPr>
        <w:pStyle w:val="6"/>
        <w:keepNext w:val="0"/>
        <w:keepLines w:val="0"/>
        <w:widowControl/>
        <w:suppressLineNumbers w:val="0"/>
      </w:pPr>
      <w:r>
        <w:rPr>
          <w:rFonts w:hint="eastAsia" w:ascii="宋体" w:hAnsi="宋体" w:eastAsia="宋体" w:cs="宋体"/>
          <w:sz w:val="21"/>
          <w:szCs w:val="21"/>
        </w:rPr>
        <w:t> </w:t>
      </w:r>
    </w:p>
    <w:p>
      <w:pPr>
        <w:pStyle w:val="6"/>
        <w:keepNext w:val="0"/>
        <w:keepLines w:val="0"/>
        <w:widowControl/>
        <w:suppressLineNumbers w:val="0"/>
      </w:pPr>
      <w:r>
        <w:rPr>
          <w:rFonts w:hint="eastAsia" w:ascii="宋体" w:hAnsi="宋体" w:eastAsia="宋体" w:cs="宋体"/>
          <w:sz w:val="21"/>
          <w:szCs w:val="21"/>
        </w:rPr>
        <w:t>致：</w:t>
      </w:r>
      <w:r>
        <w:rPr>
          <w:rFonts w:hint="eastAsia" w:ascii="宋体" w:hAnsi="宋体" w:eastAsia="宋体" w:cs="宋体"/>
          <w:sz w:val="21"/>
          <w:szCs w:val="21"/>
          <w:u w:val="single"/>
        </w:rPr>
        <w:t>                     </w:t>
      </w:r>
    </w:p>
    <w:p>
      <w:pPr>
        <w:pStyle w:val="6"/>
        <w:keepNext w:val="0"/>
        <w:keepLines w:val="0"/>
        <w:widowControl/>
        <w:suppressLineNumbers w:val="0"/>
        <w:ind w:left="0" w:firstLine="420"/>
      </w:pPr>
      <w:r>
        <w:rPr>
          <w:rFonts w:hint="eastAsia" w:ascii="宋体" w:hAnsi="宋体" w:eastAsia="宋体" w:cs="宋体"/>
          <w:sz w:val="21"/>
          <w:szCs w:val="21"/>
        </w:rPr>
        <w:t>（ ）投标人提供财务报告的</w:t>
      </w:r>
    </w:p>
    <w:p>
      <w:pPr>
        <w:pStyle w:val="6"/>
        <w:keepNext w:val="0"/>
        <w:keepLines w:val="0"/>
        <w:widowControl/>
        <w:suppressLineNumbers w:val="0"/>
        <w:ind w:left="0" w:firstLine="420"/>
      </w:pPr>
      <w:r>
        <w:rPr>
          <w:rFonts w:hint="eastAsia" w:ascii="宋体" w:hAnsi="宋体" w:eastAsia="宋体" w:cs="宋体"/>
          <w:sz w:val="21"/>
          <w:szCs w:val="21"/>
        </w:rPr>
        <w:t>□企业适用：现附上我方</w:t>
      </w:r>
      <w:r>
        <w:rPr>
          <w:rFonts w:hint="eastAsia" w:ascii="宋体" w:hAnsi="宋体" w:eastAsia="宋体" w:cs="宋体"/>
          <w:sz w:val="21"/>
          <w:szCs w:val="21"/>
          <w:u w:val="single"/>
        </w:rPr>
        <w:t>（填写“具体的年度、或半年度、或季度”）</w:t>
      </w:r>
      <w:r>
        <w:rPr>
          <w:rFonts w:hint="eastAsia" w:ascii="宋体" w:hAnsi="宋体" w:eastAsia="宋体" w:cs="宋体"/>
          <w:sz w:val="21"/>
          <w:szCs w:val="21"/>
        </w:rPr>
        <w:t>财务报告复印件，包括资产负债表、利润表、现金流量表、所有者权益变动表（若有）及其附注（若有），上述证明材料真实有效，否则我方负全部责任。</w:t>
      </w:r>
    </w:p>
    <w:p>
      <w:pPr>
        <w:pStyle w:val="6"/>
        <w:keepNext w:val="0"/>
        <w:keepLines w:val="0"/>
        <w:widowControl/>
        <w:suppressLineNumbers w:val="0"/>
        <w:ind w:left="0" w:firstLine="420"/>
      </w:pPr>
      <w:r>
        <w:rPr>
          <w:rFonts w:hint="eastAsia" w:ascii="宋体" w:hAnsi="宋体" w:eastAsia="宋体" w:cs="宋体"/>
          <w:sz w:val="21"/>
          <w:szCs w:val="21"/>
        </w:rPr>
        <w:t>□事业单位适用：现附上我方</w:t>
      </w:r>
      <w:r>
        <w:rPr>
          <w:rFonts w:hint="eastAsia" w:ascii="宋体" w:hAnsi="宋体" w:eastAsia="宋体" w:cs="宋体"/>
          <w:sz w:val="21"/>
          <w:szCs w:val="21"/>
          <w:u w:val="single"/>
        </w:rPr>
        <w:t>（填写“具体的年度、或半年度、或季度”）</w:t>
      </w:r>
      <w:r>
        <w:rPr>
          <w:rFonts w:hint="eastAsia" w:ascii="宋体" w:hAnsi="宋体" w:eastAsia="宋体" w:cs="宋体"/>
          <w:sz w:val="21"/>
          <w:szCs w:val="21"/>
        </w:rPr>
        <w:t>财务报告复印件，包括资产负债表、收入支出表（或收入费用表）、财政补助收入支出表（若有），上述证明材料真实有效，否则我方负全部责任。</w:t>
      </w:r>
    </w:p>
    <w:p>
      <w:pPr>
        <w:pStyle w:val="6"/>
        <w:keepNext w:val="0"/>
        <w:keepLines w:val="0"/>
        <w:widowControl/>
        <w:suppressLineNumbers w:val="0"/>
        <w:ind w:left="0" w:firstLine="420"/>
      </w:pPr>
      <w:r>
        <w:rPr>
          <w:rFonts w:hint="eastAsia" w:ascii="宋体" w:hAnsi="宋体" w:eastAsia="宋体" w:cs="宋体"/>
          <w:sz w:val="21"/>
          <w:szCs w:val="21"/>
        </w:rPr>
        <w:t>□社会团体适用：现附上我方</w:t>
      </w:r>
      <w:r>
        <w:rPr>
          <w:rFonts w:hint="eastAsia" w:ascii="宋体" w:hAnsi="宋体" w:eastAsia="宋体" w:cs="宋体"/>
          <w:sz w:val="21"/>
          <w:szCs w:val="21"/>
          <w:u w:val="single"/>
        </w:rPr>
        <w:t>（填写“具体的年度、或半年度、或季度”）</w:t>
      </w:r>
      <w:r>
        <w:rPr>
          <w:rFonts w:hint="eastAsia" w:ascii="宋体" w:hAnsi="宋体" w:eastAsia="宋体" w:cs="宋体"/>
          <w:sz w:val="21"/>
          <w:szCs w:val="21"/>
        </w:rPr>
        <w:t>财务报告复印件，包括资产负债表、业务活动表、现金流量表，上述证明材料真实有效，否则我方负全部责任。</w:t>
      </w:r>
    </w:p>
    <w:p>
      <w:pPr>
        <w:pStyle w:val="6"/>
        <w:keepNext w:val="0"/>
        <w:keepLines w:val="0"/>
        <w:widowControl/>
        <w:suppressLineNumbers w:val="0"/>
        <w:ind w:left="0" w:firstLine="420"/>
      </w:pPr>
      <w:r>
        <w:rPr>
          <w:rFonts w:hint="eastAsia" w:ascii="宋体" w:hAnsi="宋体" w:eastAsia="宋体" w:cs="宋体"/>
          <w:sz w:val="21"/>
          <w:szCs w:val="21"/>
        </w:rPr>
        <w:t>（ ）投标人提供资信证明的</w:t>
      </w:r>
    </w:p>
    <w:p>
      <w:pPr>
        <w:pStyle w:val="6"/>
        <w:keepNext w:val="0"/>
        <w:keepLines w:val="0"/>
        <w:widowControl/>
        <w:suppressLineNumbers w:val="0"/>
        <w:ind w:left="0" w:firstLine="420"/>
      </w:pPr>
      <w:r>
        <w:rPr>
          <w:rFonts w:hint="eastAsia" w:ascii="宋体" w:hAnsi="宋体" w:eastAsia="宋体" w:cs="宋体"/>
          <w:sz w:val="21"/>
          <w:szCs w:val="21"/>
        </w:rPr>
        <w:t>□非自然人适用（包括企业、事业单位、社会团体和其他组织）：现附上我方开户（基本存款账户）许可证复印件及我方银行：（填写“基本存款账户的开户银行全称”）出具的资信证明复印件，上述证明材料真实有效，否则我方负全部责任。</w:t>
      </w:r>
    </w:p>
    <w:p>
      <w:pPr>
        <w:pStyle w:val="6"/>
        <w:keepNext w:val="0"/>
        <w:keepLines w:val="0"/>
        <w:widowControl/>
        <w:suppressLineNumbers w:val="0"/>
        <w:ind w:left="0" w:firstLine="420"/>
      </w:pPr>
      <w:r>
        <w:rPr>
          <w:rFonts w:hint="eastAsia" w:ascii="宋体" w:hAnsi="宋体" w:eastAsia="宋体" w:cs="宋体"/>
          <w:sz w:val="21"/>
          <w:szCs w:val="21"/>
        </w:rPr>
        <w:t>□自然人适用：现附上我方银行：</w:t>
      </w:r>
      <w:r>
        <w:rPr>
          <w:rFonts w:hint="eastAsia" w:ascii="宋体" w:hAnsi="宋体" w:eastAsia="宋体" w:cs="宋体"/>
          <w:sz w:val="21"/>
          <w:szCs w:val="21"/>
          <w:u w:val="single"/>
        </w:rPr>
        <w:t>（填写自然人的“个人账户的开户银行全称”）</w:t>
      </w:r>
      <w:r>
        <w:rPr>
          <w:rFonts w:hint="eastAsia" w:ascii="宋体" w:hAnsi="宋体" w:eastAsia="宋体" w:cs="宋体"/>
          <w:sz w:val="21"/>
          <w:szCs w:val="21"/>
        </w:rPr>
        <w:t>出具的资信证明复印件，上述证明材料真实有效，否则我方负全部责任。</w:t>
      </w:r>
    </w:p>
    <w:p>
      <w:pPr>
        <w:pStyle w:val="6"/>
        <w:keepNext w:val="0"/>
        <w:keepLines w:val="0"/>
        <w:widowControl/>
        <w:suppressLineNumbers w:val="0"/>
        <w:ind w:left="0" w:firstLine="420"/>
      </w:pPr>
      <w:r>
        <w:rPr>
          <w:rFonts w:hint="eastAsia" w:ascii="宋体" w:hAnsi="宋体" w:eastAsia="宋体" w:cs="宋体"/>
          <w:sz w:val="21"/>
          <w:szCs w:val="21"/>
        </w:rPr>
        <w:t>（ ）投标人提供投标担保函的</w:t>
      </w:r>
    </w:p>
    <w:p>
      <w:pPr>
        <w:pStyle w:val="6"/>
        <w:keepNext w:val="0"/>
        <w:keepLines w:val="0"/>
        <w:widowControl/>
        <w:suppressLineNumbers w:val="0"/>
        <w:ind w:left="0" w:firstLine="420"/>
      </w:pPr>
      <w:r>
        <w:rPr>
          <w:rFonts w:hint="eastAsia" w:ascii="宋体" w:hAnsi="宋体" w:eastAsia="宋体" w:cs="宋体"/>
          <w:sz w:val="21"/>
          <w:szCs w:val="21"/>
        </w:rPr>
        <w:t>现附上由财政部门认可的政府采购专业担保机构：</w:t>
      </w:r>
      <w:r>
        <w:rPr>
          <w:rFonts w:hint="eastAsia" w:ascii="宋体" w:hAnsi="宋体" w:eastAsia="宋体" w:cs="宋体"/>
          <w:sz w:val="21"/>
          <w:szCs w:val="21"/>
          <w:u w:val="single"/>
        </w:rPr>
        <w:t>（填写“担保机构全称”）</w:t>
      </w:r>
      <w:r>
        <w:rPr>
          <w:rFonts w:hint="eastAsia" w:ascii="宋体" w:hAnsi="宋体" w:eastAsia="宋体" w:cs="宋体"/>
          <w:sz w:val="21"/>
          <w:szCs w:val="21"/>
        </w:rPr>
        <w:t>出具的投标担保函复印件，上述证明材料真实有效，否则我方负全部责任。</w:t>
      </w:r>
    </w:p>
    <w:p>
      <w:pPr>
        <w:pStyle w:val="6"/>
        <w:keepNext w:val="0"/>
        <w:keepLines w:val="0"/>
        <w:widowControl/>
        <w:suppressLineNumbers w:val="0"/>
      </w:pPr>
      <w:r>
        <w:rPr>
          <w:rFonts w:hint="default" w:ascii="Calibri" w:hAnsi="Calibri" w:cs="Calibri"/>
          <w:sz w:val="21"/>
          <w:szCs w:val="21"/>
        </w:rPr>
        <w:t> </w:t>
      </w:r>
    </w:p>
    <w:p>
      <w:pPr>
        <w:pStyle w:val="6"/>
        <w:keepNext w:val="0"/>
        <w:keepLines w:val="0"/>
        <w:widowControl/>
        <w:suppressLineNumbers w:val="0"/>
      </w:pPr>
      <w:r>
        <w:rPr>
          <w:rFonts w:hint="eastAsia" w:ascii="宋体" w:hAnsi="宋体" w:eastAsia="宋体" w:cs="宋体"/>
          <w:sz w:val="21"/>
          <w:szCs w:val="21"/>
        </w:rPr>
        <w:t>★注意：</w:t>
      </w:r>
    </w:p>
    <w:p>
      <w:pPr>
        <w:pStyle w:val="6"/>
        <w:keepNext w:val="0"/>
        <w:keepLines w:val="0"/>
        <w:widowControl/>
        <w:suppressLineNumbers w:val="0"/>
      </w:pPr>
      <w:r>
        <w:rPr>
          <w:rFonts w:hint="eastAsia" w:ascii="宋体" w:hAnsi="宋体" w:eastAsia="宋体" w:cs="宋体"/>
          <w:sz w:val="21"/>
          <w:szCs w:val="21"/>
        </w:rPr>
        <w:t>1、请投标人按照实际情况编制填写，在相应的（）中打“√”并选择相应的“□”（若有）后，再按照本格式的要求提供相应证明材料的复印件。</w:t>
      </w:r>
    </w:p>
    <w:p>
      <w:pPr>
        <w:pStyle w:val="6"/>
        <w:keepNext w:val="0"/>
        <w:keepLines w:val="0"/>
        <w:widowControl/>
        <w:suppressLineNumbers w:val="0"/>
      </w:pPr>
      <w:r>
        <w:rPr>
          <w:rFonts w:hint="eastAsia" w:ascii="宋体" w:hAnsi="宋体" w:eastAsia="宋体" w:cs="宋体"/>
          <w:sz w:val="21"/>
          <w:szCs w:val="21"/>
        </w:rPr>
        <w:t>2、投标人提供的财务报告复印件（成立年限按照投标截止时间推算）应符合下列规定：</w:t>
      </w:r>
    </w:p>
    <w:p>
      <w:pPr>
        <w:pStyle w:val="6"/>
        <w:keepNext w:val="0"/>
        <w:keepLines w:val="0"/>
        <w:widowControl/>
        <w:suppressLineNumbers w:val="0"/>
      </w:pPr>
      <w:r>
        <w:rPr>
          <w:rFonts w:hint="eastAsia" w:ascii="宋体" w:hAnsi="宋体" w:eastAsia="宋体" w:cs="宋体"/>
          <w:sz w:val="21"/>
          <w:szCs w:val="21"/>
        </w:rPr>
        <w:t>2.1成立年限满</w:t>
      </w:r>
      <w:r>
        <w:rPr>
          <w:rFonts w:hint="default" w:ascii="Calibri" w:hAnsi="Calibri" w:eastAsia="宋体" w:cs="Calibri"/>
          <w:sz w:val="21"/>
          <w:szCs w:val="21"/>
        </w:rPr>
        <w:t>1</w:t>
      </w:r>
      <w:r>
        <w:rPr>
          <w:rFonts w:hint="eastAsia" w:ascii="宋体" w:hAnsi="宋体" w:eastAsia="宋体" w:cs="宋体"/>
          <w:sz w:val="21"/>
          <w:szCs w:val="21"/>
        </w:rPr>
        <w:t>年及以上的投标人，提供经审计的上一年度的年度财务报告。</w:t>
      </w:r>
    </w:p>
    <w:p>
      <w:pPr>
        <w:pStyle w:val="6"/>
        <w:keepNext w:val="0"/>
        <w:keepLines w:val="0"/>
        <w:widowControl/>
        <w:suppressLineNumbers w:val="0"/>
      </w:pPr>
      <w:r>
        <w:rPr>
          <w:rFonts w:hint="eastAsia" w:ascii="宋体" w:hAnsi="宋体" w:eastAsia="宋体" w:cs="宋体"/>
          <w:sz w:val="21"/>
          <w:szCs w:val="21"/>
        </w:rPr>
        <w:t>2.2成立年限满半年但不足</w:t>
      </w:r>
      <w:r>
        <w:rPr>
          <w:rFonts w:hint="default" w:ascii="Calibri" w:hAnsi="Calibri" w:eastAsia="宋体" w:cs="Calibri"/>
          <w:sz w:val="21"/>
          <w:szCs w:val="21"/>
        </w:rPr>
        <w:t>1</w:t>
      </w:r>
      <w:r>
        <w:rPr>
          <w:rFonts w:hint="eastAsia" w:ascii="宋体" w:hAnsi="宋体" w:eastAsia="宋体" w:cs="宋体"/>
          <w:sz w:val="21"/>
          <w:szCs w:val="21"/>
        </w:rPr>
        <w:t>年的投标人，提供该半年度中任一季度的季度财务报告或该半年度的半年度财务报告。</w:t>
      </w:r>
    </w:p>
    <w:p>
      <w:pPr>
        <w:pStyle w:val="6"/>
        <w:keepNext w:val="0"/>
        <w:keepLines w:val="0"/>
        <w:widowControl/>
        <w:suppressLineNumbers w:val="0"/>
      </w:pPr>
      <w:r>
        <w:rPr>
          <w:rStyle w:val="10"/>
          <w:rFonts w:hint="eastAsia" w:ascii="宋体" w:hAnsi="宋体" w:eastAsia="宋体" w:cs="宋体"/>
          <w:sz w:val="24"/>
          <w:szCs w:val="24"/>
        </w:rPr>
        <w:t>※无法按照本格式第2.1、2.2条规定提供财务报告复印件的投标人（包括但不限于：成立年限满1年及以上的投标人、成立年限满半年但不足1年的投标人、成立年限不足半年的投标人），应按照本格式的要求选择提供资信证明复印件或投标担保函复印件，其中：非自然人的投标人选择提供资信证明的，还应附上其开户（基本存款账户）许可证复印件。</w:t>
      </w:r>
    </w:p>
    <w:p>
      <w:pPr>
        <w:pStyle w:val="6"/>
        <w:keepNext w:val="0"/>
        <w:keepLines w:val="0"/>
        <w:widowControl/>
        <w:suppressLineNumbers w:val="0"/>
      </w:pPr>
      <w:r>
        <w:rPr>
          <w:rFonts w:hint="eastAsia" w:ascii="宋体" w:hAnsi="宋体" w:eastAsia="宋体" w:cs="宋体"/>
          <w:sz w:val="21"/>
          <w:szCs w:val="21"/>
        </w:rPr>
        <w:t>3、“财政部门认可的政府采购专业担保机构”应符合《财政部关于开展政府采购信用担保试点工作方案》（财库</w:t>
      </w:r>
      <w:r>
        <w:rPr>
          <w:rFonts w:hint="default" w:ascii="Calibri" w:hAnsi="Calibri" w:eastAsia="宋体" w:cs="Calibri"/>
          <w:sz w:val="21"/>
          <w:szCs w:val="21"/>
        </w:rPr>
        <w:t>[2012]124</w:t>
      </w:r>
      <w:r>
        <w:rPr>
          <w:rFonts w:hint="eastAsia" w:ascii="宋体" w:hAnsi="宋体" w:eastAsia="宋体" w:cs="宋体"/>
          <w:sz w:val="21"/>
          <w:szCs w:val="21"/>
        </w:rPr>
        <w:t>号）的规定。</w:t>
      </w:r>
    </w:p>
    <w:p>
      <w:pPr>
        <w:pStyle w:val="6"/>
        <w:keepNext w:val="0"/>
        <w:keepLines w:val="0"/>
        <w:widowControl/>
        <w:suppressLineNumbers w:val="0"/>
      </w:pPr>
      <w:r>
        <w:rPr>
          <w:rFonts w:hint="eastAsia" w:ascii="宋体" w:hAnsi="宋体" w:eastAsia="宋体" w:cs="宋体"/>
          <w:sz w:val="21"/>
          <w:szCs w:val="21"/>
        </w:rPr>
        <w:t>4、投标人提供的相应证明材料复印件均应符合：内容完整、清晰、整洁，并由投标人加盖其单位公章。</w:t>
      </w:r>
    </w:p>
    <w:p>
      <w:pPr>
        <w:pStyle w:val="6"/>
        <w:keepNext w:val="0"/>
        <w:keepLines w:val="0"/>
        <w:widowControl/>
        <w:suppressLineNumbers w:val="0"/>
      </w:pPr>
      <w:r>
        <w:rPr>
          <w:rFonts w:hint="default" w:ascii="Calibri" w:hAnsi="Calibri" w:cs="Calibri"/>
          <w:sz w:val="21"/>
          <w:szCs w:val="21"/>
        </w:rPr>
        <w:t> </w:t>
      </w:r>
    </w:p>
    <w:p>
      <w:pPr>
        <w:pStyle w:val="6"/>
        <w:keepNext w:val="0"/>
        <w:keepLines w:val="0"/>
        <w:widowControl/>
        <w:suppressLineNumbers w:val="0"/>
      </w:pPr>
      <w:r>
        <w:rPr>
          <w:rFonts w:hint="default" w:ascii="Calibri" w:hAnsi="Calibri" w:cs="Calibri"/>
          <w:sz w:val="21"/>
          <w:szCs w:val="21"/>
        </w:rPr>
        <w:t> </w:t>
      </w:r>
    </w:p>
    <w:p>
      <w:pPr>
        <w:pStyle w:val="6"/>
        <w:keepNext w:val="0"/>
        <w:keepLines w:val="0"/>
        <w:widowControl/>
        <w:suppressLineNumbers w:val="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6"/>
        <w:keepNext w:val="0"/>
        <w:keepLines w:val="0"/>
        <w:widowControl/>
        <w:suppressLineNumbers w:val="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6"/>
        <w:keepNext w:val="0"/>
        <w:keepLines w:val="0"/>
        <w:widowControl/>
        <w:suppressLineNumbers w:val="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6"/>
        <w:keepNext w:val="0"/>
        <w:keepLines w:val="0"/>
        <w:widowControl/>
        <w:suppressLineNumbers w:val="0"/>
      </w:pPr>
      <w:r>
        <w:rPr>
          <w:rFonts w:hint="eastAsia" w:ascii="宋体" w:hAnsi="宋体" w:eastAsia="宋体" w:cs="宋体"/>
          <w:sz w:val="21"/>
          <w:szCs w:val="21"/>
        </w:rPr>
        <w:t> </w:t>
      </w:r>
    </w:p>
    <w:p>
      <w:pPr>
        <w:pStyle w:val="6"/>
        <w:keepNext w:val="0"/>
        <w:keepLines w:val="0"/>
        <w:widowControl/>
        <w:suppressLineNumbers w:val="0"/>
      </w:pPr>
      <w:r>
        <w:rPr>
          <w:rFonts w:hint="eastAsia" w:ascii="宋体" w:hAnsi="宋体" w:eastAsia="宋体" w:cs="宋体"/>
          <w:sz w:val="21"/>
          <w:szCs w:val="21"/>
        </w:rPr>
        <w:t> </w:t>
      </w:r>
    </w:p>
    <w:p>
      <w:pPr>
        <w:pStyle w:val="6"/>
        <w:keepNext w:val="0"/>
        <w:keepLines w:val="0"/>
        <w:widowControl/>
        <w:suppressLineNumbers w:val="0"/>
        <w:jc w:val="center"/>
      </w:pPr>
      <w:r>
        <w:rPr>
          <w:rFonts w:hint="default" w:ascii="Calibri" w:hAnsi="Calibri" w:cs="Calibri"/>
          <w:sz w:val="21"/>
          <w:szCs w:val="21"/>
        </w:rPr>
        <w:br w:type="textWrapping"/>
      </w:r>
      <w:r>
        <w:rPr>
          <w:rFonts w:hint="eastAsia" w:ascii="宋体" w:hAnsi="宋体" w:eastAsia="宋体" w:cs="宋体"/>
          <w:sz w:val="21"/>
          <w:szCs w:val="21"/>
        </w:rPr>
        <w:t>二</w:t>
      </w:r>
      <w:r>
        <w:rPr>
          <w:rStyle w:val="10"/>
          <w:rFonts w:hint="eastAsia" w:ascii="宋体" w:hAnsi="宋体" w:eastAsia="宋体" w:cs="宋体"/>
          <w:sz w:val="21"/>
          <w:szCs w:val="21"/>
        </w:rPr>
        <w:t>-4依法缴纳税收证明材料</w:t>
      </w:r>
    </w:p>
    <w:p>
      <w:pPr>
        <w:pStyle w:val="6"/>
        <w:keepNext w:val="0"/>
        <w:keepLines w:val="0"/>
        <w:widowControl/>
        <w:suppressLineNumbers w:val="0"/>
      </w:pPr>
      <w:r>
        <w:rPr>
          <w:rFonts w:hint="eastAsia" w:ascii="宋体" w:hAnsi="宋体" w:eastAsia="宋体" w:cs="宋体"/>
          <w:sz w:val="21"/>
          <w:szCs w:val="21"/>
        </w:rPr>
        <w:t> </w:t>
      </w:r>
    </w:p>
    <w:p>
      <w:pPr>
        <w:pStyle w:val="6"/>
        <w:keepNext w:val="0"/>
        <w:keepLines w:val="0"/>
        <w:widowControl/>
        <w:suppressLineNumbers w:val="0"/>
      </w:pPr>
      <w:r>
        <w:rPr>
          <w:rFonts w:hint="eastAsia" w:ascii="宋体" w:hAnsi="宋体" w:eastAsia="宋体" w:cs="宋体"/>
          <w:sz w:val="21"/>
          <w:szCs w:val="21"/>
        </w:rPr>
        <w:t>致：</w:t>
      </w:r>
      <w:r>
        <w:rPr>
          <w:rFonts w:hint="eastAsia" w:ascii="宋体" w:hAnsi="宋体" w:eastAsia="宋体" w:cs="宋体"/>
          <w:sz w:val="21"/>
          <w:szCs w:val="21"/>
          <w:u w:val="single"/>
        </w:rPr>
        <w:t>                     </w:t>
      </w:r>
    </w:p>
    <w:p>
      <w:pPr>
        <w:pStyle w:val="6"/>
        <w:keepNext w:val="0"/>
        <w:keepLines w:val="0"/>
        <w:widowControl/>
        <w:suppressLineNumbers w:val="0"/>
        <w:ind w:left="0" w:firstLine="420"/>
      </w:pPr>
      <w:r>
        <w:rPr>
          <w:rFonts w:hint="eastAsia" w:ascii="宋体" w:hAnsi="宋体" w:eastAsia="宋体" w:cs="宋体"/>
          <w:sz w:val="21"/>
          <w:szCs w:val="21"/>
        </w:rPr>
        <w:t>1、依法缴纳税收的投标人</w:t>
      </w:r>
    </w:p>
    <w:p>
      <w:pPr>
        <w:pStyle w:val="6"/>
        <w:keepNext w:val="0"/>
        <w:keepLines w:val="0"/>
        <w:widowControl/>
        <w:suppressLineNumbers w:val="0"/>
        <w:ind w:left="0" w:firstLine="420"/>
      </w:pPr>
      <w:r>
        <w:rPr>
          <w:rFonts w:hint="eastAsia" w:ascii="宋体" w:hAnsi="宋体" w:eastAsia="宋体" w:cs="宋体"/>
          <w:sz w:val="21"/>
          <w:szCs w:val="21"/>
        </w:rPr>
        <w:t>（ ）法人（包括企业、事业单位和社会团体）的</w:t>
      </w:r>
    </w:p>
    <w:p>
      <w:pPr>
        <w:pStyle w:val="6"/>
        <w:keepNext w:val="0"/>
        <w:keepLines w:val="0"/>
        <w:widowControl/>
        <w:suppressLineNumbers w:val="0"/>
        <w:ind w:left="0" w:firstLine="420"/>
      </w:pPr>
      <w:r>
        <w:rPr>
          <w:rFonts w:hint="eastAsia" w:ascii="宋体" w:hAnsi="宋体" w:eastAsia="宋体" w:cs="宋体"/>
          <w:sz w:val="21"/>
          <w:szCs w:val="21"/>
        </w:rPr>
        <w:t>现附上自</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日至</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日期间我方缴纳的</w:t>
      </w:r>
      <w:r>
        <w:rPr>
          <w:rFonts w:hint="eastAsia" w:ascii="宋体" w:hAnsi="宋体" w:eastAsia="宋体" w:cs="宋体"/>
          <w:sz w:val="21"/>
          <w:szCs w:val="21"/>
          <w:u w:val="single"/>
        </w:rPr>
        <w:t>（按照投标人实际缴纳的税种名称填写，如：增值税、所得税等）</w:t>
      </w:r>
      <w:r>
        <w:rPr>
          <w:rFonts w:hint="eastAsia" w:ascii="宋体" w:hAnsi="宋体" w:eastAsia="宋体" w:cs="宋体"/>
          <w:sz w:val="21"/>
          <w:szCs w:val="21"/>
        </w:rPr>
        <w:t>税收凭据复印件，上述证明材料真实有效，否则我方负全部责任。</w:t>
      </w:r>
    </w:p>
    <w:p>
      <w:pPr>
        <w:pStyle w:val="6"/>
        <w:keepNext w:val="0"/>
        <w:keepLines w:val="0"/>
        <w:widowControl/>
        <w:suppressLineNumbers w:val="0"/>
        <w:ind w:left="0" w:firstLine="420"/>
      </w:pPr>
      <w:r>
        <w:rPr>
          <w:rFonts w:hint="eastAsia" w:ascii="宋体" w:hAnsi="宋体" w:eastAsia="宋体" w:cs="宋体"/>
          <w:sz w:val="21"/>
          <w:szCs w:val="21"/>
        </w:rPr>
        <w:t>（ ）非法人（包括其他组织、自然人）的</w:t>
      </w:r>
    </w:p>
    <w:p>
      <w:pPr>
        <w:pStyle w:val="6"/>
        <w:keepNext w:val="0"/>
        <w:keepLines w:val="0"/>
        <w:widowControl/>
        <w:suppressLineNumbers w:val="0"/>
        <w:ind w:left="0" w:firstLine="420"/>
      </w:pPr>
      <w:r>
        <w:rPr>
          <w:rFonts w:hint="eastAsia" w:ascii="宋体" w:hAnsi="宋体" w:eastAsia="宋体" w:cs="宋体"/>
          <w:sz w:val="21"/>
          <w:szCs w:val="21"/>
        </w:rPr>
        <w:t>现附上自</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日至</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日期间我方缴纳的</w:t>
      </w:r>
      <w:r>
        <w:rPr>
          <w:rFonts w:hint="eastAsia" w:ascii="宋体" w:hAnsi="宋体" w:eastAsia="宋体" w:cs="宋体"/>
          <w:sz w:val="21"/>
          <w:szCs w:val="21"/>
          <w:u w:val="single"/>
        </w:rPr>
        <w:t>（按照投标人实际缴纳的税种名称填写）</w:t>
      </w:r>
      <w:r>
        <w:rPr>
          <w:rFonts w:hint="eastAsia" w:ascii="宋体" w:hAnsi="宋体" w:eastAsia="宋体" w:cs="宋体"/>
          <w:sz w:val="21"/>
          <w:szCs w:val="21"/>
        </w:rPr>
        <w:t>税收凭据复印件，上述证明材料真实有效，否则我方负全部责任。</w:t>
      </w:r>
    </w:p>
    <w:p>
      <w:pPr>
        <w:pStyle w:val="6"/>
        <w:keepNext w:val="0"/>
        <w:keepLines w:val="0"/>
        <w:widowControl/>
        <w:suppressLineNumbers w:val="0"/>
        <w:ind w:left="0" w:firstLine="420"/>
      </w:pPr>
      <w:r>
        <w:rPr>
          <w:rFonts w:hint="eastAsia" w:ascii="宋体" w:hAnsi="宋体" w:eastAsia="宋体" w:cs="宋体"/>
          <w:sz w:val="21"/>
          <w:szCs w:val="21"/>
        </w:rPr>
        <w:t>2、依法免税的投标人</w:t>
      </w:r>
    </w:p>
    <w:p>
      <w:pPr>
        <w:pStyle w:val="6"/>
        <w:keepNext w:val="0"/>
        <w:keepLines w:val="0"/>
        <w:widowControl/>
        <w:suppressLineNumbers w:val="0"/>
        <w:ind w:left="0" w:firstLine="420"/>
      </w:pPr>
      <w:r>
        <w:rPr>
          <w:rFonts w:hint="eastAsia" w:ascii="宋体" w:hAnsi="宋体" w:eastAsia="宋体" w:cs="宋体"/>
          <w:sz w:val="21"/>
          <w:szCs w:val="21"/>
        </w:rPr>
        <w:t>（ ）现附上我方依法免税证明材料复印件，上述证明材料真实有效，否则我方负全部责任。</w:t>
      </w:r>
    </w:p>
    <w:p>
      <w:pPr>
        <w:pStyle w:val="6"/>
        <w:keepNext w:val="0"/>
        <w:keepLines w:val="0"/>
        <w:widowControl/>
        <w:suppressLineNumbers w:val="0"/>
      </w:pPr>
      <w:r>
        <w:rPr>
          <w:rFonts w:hint="default" w:ascii="Calibri" w:hAnsi="Calibri" w:cs="Calibri"/>
          <w:sz w:val="21"/>
          <w:szCs w:val="21"/>
        </w:rPr>
        <w:t> </w:t>
      </w:r>
    </w:p>
    <w:p>
      <w:pPr>
        <w:pStyle w:val="6"/>
        <w:keepNext w:val="0"/>
        <w:keepLines w:val="0"/>
        <w:widowControl/>
        <w:suppressLineNumbers w:val="0"/>
      </w:pPr>
      <w:r>
        <w:rPr>
          <w:rFonts w:hint="eastAsia" w:ascii="宋体" w:hAnsi="宋体" w:eastAsia="宋体" w:cs="宋体"/>
          <w:sz w:val="21"/>
          <w:szCs w:val="21"/>
        </w:rPr>
        <w:t>★注意：</w:t>
      </w:r>
    </w:p>
    <w:p>
      <w:pPr>
        <w:pStyle w:val="6"/>
        <w:keepNext w:val="0"/>
        <w:keepLines w:val="0"/>
        <w:widowControl/>
        <w:suppressLineNumbers w:val="0"/>
      </w:pPr>
      <w:r>
        <w:rPr>
          <w:rFonts w:hint="eastAsia" w:ascii="宋体" w:hAnsi="宋体" w:eastAsia="宋体" w:cs="宋体"/>
          <w:sz w:val="21"/>
          <w:szCs w:val="21"/>
        </w:rPr>
        <w:t>1、请投标人按照实际情况编制填写，在相应的（）中打“√”，并按照本格式的要求提供相应证明材料的复印件。</w:t>
      </w:r>
    </w:p>
    <w:p>
      <w:pPr>
        <w:pStyle w:val="6"/>
        <w:keepNext w:val="0"/>
        <w:keepLines w:val="0"/>
        <w:widowControl/>
        <w:suppressLineNumbers w:val="0"/>
      </w:pPr>
      <w:r>
        <w:rPr>
          <w:rFonts w:hint="eastAsia" w:ascii="宋体" w:hAnsi="宋体" w:eastAsia="宋体" w:cs="宋体"/>
          <w:sz w:val="21"/>
          <w:szCs w:val="21"/>
        </w:rPr>
        <w:t>2、投标人提供的税收凭据复印件应符合下列规定：</w:t>
      </w:r>
    </w:p>
    <w:p>
      <w:pPr>
        <w:pStyle w:val="6"/>
        <w:keepNext w:val="0"/>
        <w:keepLines w:val="0"/>
        <w:widowControl/>
        <w:suppressLineNumbers w:val="0"/>
      </w:pPr>
      <w:r>
        <w:rPr>
          <w:rFonts w:hint="eastAsia" w:ascii="宋体" w:hAnsi="宋体" w:eastAsia="宋体" w:cs="宋体"/>
          <w:sz w:val="21"/>
          <w:szCs w:val="21"/>
        </w:rPr>
        <w:t>2.1投标截止时间前（不含投标截止时间的当月）已依法缴纳税收的投标人，提供投标截止时间前六个月（不含投标截止时间的当月）中任一月份的税收凭据复印件。</w:t>
      </w:r>
    </w:p>
    <w:p>
      <w:pPr>
        <w:pStyle w:val="6"/>
        <w:keepNext w:val="0"/>
        <w:keepLines w:val="0"/>
        <w:widowControl/>
        <w:suppressLineNumbers w:val="0"/>
      </w:pPr>
      <w:r>
        <w:rPr>
          <w:rFonts w:hint="eastAsia" w:ascii="宋体" w:hAnsi="宋体" w:eastAsia="宋体" w:cs="宋体"/>
          <w:sz w:val="21"/>
          <w:szCs w:val="21"/>
        </w:rPr>
        <w:t>2.2投标截止时间的当月成立且已依法缴纳税收的投标人，提供投标截止时间当月的税收凭据复印件。</w:t>
      </w:r>
    </w:p>
    <w:p>
      <w:pPr>
        <w:pStyle w:val="6"/>
        <w:keepNext w:val="0"/>
        <w:keepLines w:val="0"/>
        <w:widowControl/>
        <w:suppressLineNumbers w:val="0"/>
      </w:pPr>
      <w:r>
        <w:rPr>
          <w:rFonts w:hint="eastAsia" w:ascii="宋体" w:hAnsi="宋体" w:eastAsia="宋体" w:cs="宋体"/>
          <w:sz w:val="21"/>
          <w:szCs w:val="21"/>
        </w:rPr>
        <w:t>2.3投标截止时间的当月成立但因税务机关原因导致其尚未依法缴纳税收的投标人，提供依法缴纳税收承诺书原件（格式自拟），该承诺书视同税收凭据。</w:t>
      </w:r>
    </w:p>
    <w:p>
      <w:pPr>
        <w:pStyle w:val="6"/>
        <w:keepNext w:val="0"/>
        <w:keepLines w:val="0"/>
        <w:widowControl/>
        <w:suppressLineNumbers w:val="0"/>
      </w:pPr>
      <w:r>
        <w:rPr>
          <w:rFonts w:hint="eastAsia" w:ascii="宋体" w:hAnsi="宋体" w:eastAsia="宋体" w:cs="宋体"/>
          <w:sz w:val="21"/>
          <w:szCs w:val="21"/>
        </w:rPr>
        <w:t>3、</w:t>
      </w:r>
      <w:r>
        <w:rPr>
          <w:rStyle w:val="10"/>
          <w:rFonts w:hint="eastAsia" w:ascii="宋体" w:hAnsi="宋体" w:eastAsia="宋体" w:cs="宋体"/>
          <w:sz w:val="21"/>
          <w:szCs w:val="21"/>
        </w:rPr>
        <w:t>“依法缴纳税收证明材料”</w:t>
      </w:r>
      <w:r>
        <w:rPr>
          <w:rFonts w:hint="eastAsia" w:ascii="宋体" w:hAnsi="宋体" w:eastAsia="宋体" w:cs="宋体"/>
          <w:sz w:val="21"/>
          <w:szCs w:val="21"/>
        </w:rPr>
        <w:t>有欠缴记录的，视为</w:t>
      </w:r>
      <w:r>
        <w:rPr>
          <w:rStyle w:val="10"/>
          <w:rFonts w:hint="eastAsia" w:ascii="宋体" w:hAnsi="宋体" w:eastAsia="宋体" w:cs="宋体"/>
          <w:sz w:val="21"/>
          <w:szCs w:val="21"/>
        </w:rPr>
        <w:t>未依法缴纳税收。</w:t>
      </w:r>
    </w:p>
    <w:p>
      <w:pPr>
        <w:pStyle w:val="6"/>
        <w:keepNext w:val="0"/>
        <w:keepLines w:val="0"/>
        <w:widowControl/>
        <w:suppressLineNumbers w:val="0"/>
      </w:pPr>
      <w:r>
        <w:rPr>
          <w:rFonts w:hint="eastAsia" w:ascii="宋体" w:hAnsi="宋体" w:eastAsia="宋体" w:cs="宋体"/>
          <w:sz w:val="21"/>
          <w:szCs w:val="21"/>
        </w:rPr>
        <w:t>4、投标人提供的相应证明材料复印件均应符合：内容完整、清晰、整洁，并由投标人加盖其单位公章。</w:t>
      </w:r>
    </w:p>
    <w:p>
      <w:pPr>
        <w:pStyle w:val="6"/>
        <w:keepNext w:val="0"/>
        <w:keepLines w:val="0"/>
        <w:widowControl/>
        <w:suppressLineNumbers w:val="0"/>
      </w:pPr>
      <w:r>
        <w:rPr>
          <w:rFonts w:hint="default" w:ascii="Calibri" w:hAnsi="Calibri" w:cs="Calibri"/>
          <w:sz w:val="21"/>
          <w:szCs w:val="21"/>
        </w:rPr>
        <w:t> </w:t>
      </w:r>
    </w:p>
    <w:p>
      <w:pPr>
        <w:pStyle w:val="6"/>
        <w:keepNext w:val="0"/>
        <w:keepLines w:val="0"/>
        <w:widowControl/>
        <w:suppressLineNumbers w:val="0"/>
      </w:pPr>
      <w:r>
        <w:rPr>
          <w:rFonts w:hint="default" w:ascii="Calibri" w:hAnsi="Calibri" w:cs="Calibri"/>
          <w:sz w:val="21"/>
          <w:szCs w:val="21"/>
        </w:rPr>
        <w:t> </w:t>
      </w:r>
    </w:p>
    <w:p>
      <w:pPr>
        <w:pStyle w:val="6"/>
        <w:keepNext w:val="0"/>
        <w:keepLines w:val="0"/>
        <w:widowControl/>
        <w:suppressLineNumbers w:val="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6"/>
        <w:keepNext w:val="0"/>
        <w:keepLines w:val="0"/>
        <w:widowControl/>
        <w:suppressLineNumbers w:val="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6"/>
        <w:keepNext w:val="0"/>
        <w:keepLines w:val="0"/>
        <w:widowControl/>
        <w:suppressLineNumbers w:val="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6"/>
        <w:keepNext w:val="0"/>
        <w:keepLines w:val="0"/>
        <w:widowControl/>
        <w:suppressLineNumbers w:val="0"/>
      </w:pPr>
      <w:r>
        <w:rPr>
          <w:rFonts w:hint="eastAsia" w:ascii="宋体" w:hAnsi="宋体" w:eastAsia="宋体" w:cs="宋体"/>
          <w:sz w:val="21"/>
          <w:szCs w:val="21"/>
        </w:rPr>
        <w:t> </w:t>
      </w:r>
    </w:p>
    <w:p>
      <w:pPr>
        <w:pStyle w:val="6"/>
        <w:keepNext w:val="0"/>
        <w:keepLines w:val="0"/>
        <w:widowControl/>
        <w:suppressLineNumbers w:val="0"/>
      </w:pPr>
      <w:r>
        <w:rPr>
          <w:rFonts w:hint="eastAsia" w:ascii="宋体" w:hAnsi="宋体" w:eastAsia="宋体" w:cs="宋体"/>
          <w:sz w:val="21"/>
          <w:szCs w:val="21"/>
        </w:rPr>
        <w:t> </w:t>
      </w:r>
    </w:p>
    <w:p>
      <w:pPr>
        <w:pStyle w:val="6"/>
        <w:keepNext w:val="0"/>
        <w:keepLines w:val="0"/>
        <w:widowControl/>
        <w:suppressLineNumbers w:val="0"/>
        <w:jc w:val="center"/>
      </w:pPr>
      <w:r>
        <w:rPr>
          <w:rFonts w:hint="default" w:ascii="Calibri" w:hAnsi="Calibri" w:cs="Calibri"/>
          <w:sz w:val="21"/>
          <w:szCs w:val="21"/>
        </w:rPr>
        <w:br w:type="textWrapping"/>
      </w:r>
      <w:r>
        <w:rPr>
          <w:rStyle w:val="10"/>
          <w:rFonts w:hint="eastAsia" w:ascii="宋体" w:hAnsi="宋体" w:eastAsia="宋体" w:cs="宋体"/>
          <w:sz w:val="21"/>
          <w:szCs w:val="21"/>
        </w:rPr>
        <w:t>二-5依法缴纳社会保障资金证明材料</w:t>
      </w:r>
    </w:p>
    <w:p>
      <w:pPr>
        <w:pStyle w:val="6"/>
        <w:keepNext w:val="0"/>
        <w:keepLines w:val="0"/>
        <w:widowControl/>
        <w:suppressLineNumbers w:val="0"/>
      </w:pPr>
      <w:r>
        <w:rPr>
          <w:rFonts w:hint="eastAsia" w:ascii="宋体" w:hAnsi="宋体" w:eastAsia="宋体" w:cs="宋体"/>
          <w:sz w:val="21"/>
          <w:szCs w:val="21"/>
        </w:rPr>
        <w:t> </w:t>
      </w:r>
    </w:p>
    <w:p>
      <w:pPr>
        <w:pStyle w:val="6"/>
        <w:keepNext w:val="0"/>
        <w:keepLines w:val="0"/>
        <w:widowControl/>
        <w:suppressLineNumbers w:val="0"/>
      </w:pPr>
      <w:r>
        <w:rPr>
          <w:rFonts w:hint="eastAsia" w:ascii="宋体" w:hAnsi="宋体" w:eastAsia="宋体" w:cs="宋体"/>
          <w:sz w:val="21"/>
          <w:szCs w:val="21"/>
        </w:rPr>
        <w:t>致：</w:t>
      </w:r>
      <w:r>
        <w:rPr>
          <w:rFonts w:hint="eastAsia" w:ascii="宋体" w:hAnsi="宋体" w:eastAsia="宋体" w:cs="宋体"/>
          <w:sz w:val="21"/>
          <w:szCs w:val="21"/>
          <w:u w:val="single"/>
        </w:rPr>
        <w:t>                     </w:t>
      </w:r>
    </w:p>
    <w:p>
      <w:pPr>
        <w:pStyle w:val="6"/>
        <w:keepNext w:val="0"/>
        <w:keepLines w:val="0"/>
        <w:widowControl/>
        <w:suppressLineNumbers w:val="0"/>
        <w:ind w:left="0" w:firstLine="420"/>
      </w:pPr>
      <w:r>
        <w:rPr>
          <w:rFonts w:hint="eastAsia" w:ascii="宋体" w:hAnsi="宋体" w:eastAsia="宋体" w:cs="宋体"/>
          <w:sz w:val="21"/>
          <w:szCs w:val="21"/>
        </w:rPr>
        <w:t>1、依法缴纳社会保障资金的投标人</w:t>
      </w:r>
    </w:p>
    <w:p>
      <w:pPr>
        <w:pStyle w:val="6"/>
        <w:keepNext w:val="0"/>
        <w:keepLines w:val="0"/>
        <w:widowControl/>
        <w:suppressLineNumbers w:val="0"/>
        <w:ind w:left="0" w:firstLine="420"/>
      </w:pPr>
      <w:r>
        <w:rPr>
          <w:rFonts w:hint="eastAsia" w:ascii="宋体" w:hAnsi="宋体" w:eastAsia="宋体" w:cs="宋体"/>
          <w:sz w:val="21"/>
          <w:szCs w:val="21"/>
        </w:rPr>
        <w:t>（ ）法人（包括企业、事业单位和社会团体）的</w:t>
      </w:r>
    </w:p>
    <w:p>
      <w:pPr>
        <w:pStyle w:val="6"/>
        <w:keepNext w:val="0"/>
        <w:keepLines w:val="0"/>
        <w:widowControl/>
        <w:suppressLineNumbers w:val="0"/>
        <w:ind w:left="0" w:firstLine="420"/>
      </w:pPr>
      <w:r>
        <w:rPr>
          <w:rFonts w:hint="eastAsia" w:ascii="宋体" w:hAnsi="宋体" w:eastAsia="宋体" w:cs="宋体"/>
          <w:sz w:val="21"/>
          <w:szCs w:val="21"/>
        </w:rPr>
        <w:t>现附上自</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日至</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日我方缴纳的社会保险凭据（限：税务机关/社会保障资金管理机关的专用收据或社会保险缴纳清单，或社会保险的银行缴款收讫凭证）复印件，上述证明材料真实有效，否则我方负全部责任。</w:t>
      </w:r>
    </w:p>
    <w:p>
      <w:pPr>
        <w:pStyle w:val="6"/>
        <w:keepNext w:val="0"/>
        <w:keepLines w:val="0"/>
        <w:widowControl/>
        <w:suppressLineNumbers w:val="0"/>
        <w:ind w:left="0" w:firstLine="420"/>
      </w:pPr>
      <w:r>
        <w:rPr>
          <w:rFonts w:hint="eastAsia" w:ascii="宋体" w:hAnsi="宋体" w:eastAsia="宋体" w:cs="宋体"/>
          <w:sz w:val="21"/>
          <w:szCs w:val="21"/>
        </w:rPr>
        <w:t>（ ）非法人（包括其他组织、自然人）的</w:t>
      </w:r>
    </w:p>
    <w:p>
      <w:pPr>
        <w:pStyle w:val="6"/>
        <w:keepNext w:val="0"/>
        <w:keepLines w:val="0"/>
        <w:widowControl/>
        <w:suppressLineNumbers w:val="0"/>
        <w:ind w:left="0" w:firstLine="420"/>
      </w:pPr>
      <w:r>
        <w:rPr>
          <w:rFonts w:hint="eastAsia" w:ascii="宋体" w:hAnsi="宋体" w:eastAsia="宋体" w:cs="宋体"/>
          <w:sz w:val="21"/>
          <w:szCs w:val="21"/>
        </w:rPr>
        <w:t>自</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日至</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日我方缴纳的社会保险凭据（限：税务机关/社会保障资金管理机关的专用收据或社会保险缴纳清单，或社会保险的银行缴款收讫凭证）复印件，上述证明材料真实有效，否则我方负全部责任。</w:t>
      </w:r>
    </w:p>
    <w:p>
      <w:pPr>
        <w:pStyle w:val="6"/>
        <w:keepNext w:val="0"/>
        <w:keepLines w:val="0"/>
        <w:widowControl/>
        <w:suppressLineNumbers w:val="0"/>
        <w:ind w:left="0" w:firstLine="420"/>
      </w:pPr>
      <w:r>
        <w:rPr>
          <w:rFonts w:hint="eastAsia" w:ascii="宋体" w:hAnsi="宋体" w:eastAsia="宋体" w:cs="宋体"/>
          <w:sz w:val="21"/>
          <w:szCs w:val="21"/>
        </w:rPr>
        <w:t>2、依法不需要缴纳社会保障资金的投标人</w:t>
      </w:r>
    </w:p>
    <w:p>
      <w:pPr>
        <w:pStyle w:val="6"/>
        <w:keepNext w:val="0"/>
        <w:keepLines w:val="0"/>
        <w:widowControl/>
        <w:suppressLineNumbers w:val="0"/>
        <w:ind w:left="0" w:firstLine="420"/>
      </w:pPr>
      <w:r>
        <w:rPr>
          <w:rFonts w:hint="eastAsia" w:ascii="宋体" w:hAnsi="宋体" w:eastAsia="宋体" w:cs="宋体"/>
          <w:sz w:val="21"/>
          <w:szCs w:val="21"/>
        </w:rPr>
        <w:t>（ ）现附上我方依法不需要缴纳社会保障资金证明材料复印件，上述证明材料真实有效，否则我方负全部责任。</w:t>
      </w:r>
    </w:p>
    <w:p>
      <w:pPr>
        <w:pStyle w:val="6"/>
        <w:keepNext w:val="0"/>
        <w:keepLines w:val="0"/>
        <w:widowControl/>
        <w:suppressLineNumbers w:val="0"/>
      </w:pPr>
      <w:r>
        <w:rPr>
          <w:rFonts w:hint="default" w:ascii="Calibri" w:hAnsi="Calibri" w:cs="Calibri"/>
          <w:sz w:val="21"/>
          <w:szCs w:val="21"/>
        </w:rPr>
        <w:t> </w:t>
      </w:r>
    </w:p>
    <w:p>
      <w:pPr>
        <w:pStyle w:val="6"/>
        <w:keepNext w:val="0"/>
        <w:keepLines w:val="0"/>
        <w:widowControl/>
        <w:suppressLineNumbers w:val="0"/>
      </w:pPr>
      <w:r>
        <w:rPr>
          <w:rFonts w:hint="eastAsia" w:ascii="宋体" w:hAnsi="宋体" w:eastAsia="宋体" w:cs="宋体"/>
          <w:sz w:val="21"/>
          <w:szCs w:val="21"/>
        </w:rPr>
        <w:t>★注意：</w:t>
      </w:r>
    </w:p>
    <w:p>
      <w:pPr>
        <w:pStyle w:val="6"/>
        <w:keepNext w:val="0"/>
        <w:keepLines w:val="0"/>
        <w:widowControl/>
        <w:suppressLineNumbers w:val="0"/>
      </w:pPr>
      <w:r>
        <w:rPr>
          <w:rFonts w:hint="eastAsia" w:ascii="宋体" w:hAnsi="宋体" w:eastAsia="宋体" w:cs="宋体"/>
          <w:sz w:val="21"/>
          <w:szCs w:val="21"/>
        </w:rPr>
        <w:t>1、请投标人按照实际情况编制填写，在相应的（）中打“√”，并按照本格式的要求提供相应证明材料的复印件。</w:t>
      </w:r>
    </w:p>
    <w:p>
      <w:pPr>
        <w:pStyle w:val="6"/>
        <w:keepNext w:val="0"/>
        <w:keepLines w:val="0"/>
        <w:widowControl/>
        <w:suppressLineNumbers w:val="0"/>
      </w:pPr>
      <w:r>
        <w:rPr>
          <w:rFonts w:hint="eastAsia" w:ascii="宋体" w:hAnsi="宋体" w:eastAsia="宋体" w:cs="宋体"/>
          <w:sz w:val="21"/>
          <w:szCs w:val="21"/>
        </w:rPr>
        <w:t>2、投标人提供的社会保险凭据复印件应符合下列规定：</w:t>
      </w:r>
    </w:p>
    <w:p>
      <w:pPr>
        <w:pStyle w:val="6"/>
        <w:keepNext w:val="0"/>
        <w:keepLines w:val="0"/>
        <w:widowControl/>
        <w:suppressLineNumbers w:val="0"/>
      </w:pPr>
      <w:r>
        <w:rPr>
          <w:rFonts w:hint="eastAsia" w:ascii="宋体" w:hAnsi="宋体" w:eastAsia="宋体" w:cs="宋体"/>
          <w:sz w:val="21"/>
          <w:szCs w:val="21"/>
        </w:rPr>
        <w:t>2.1投标截止时间前（不含投标截止时间的当月）已依法缴纳社会保障资金的投标人，提供投标截止时间前六个月（不含投标截止时间的当月）中任一月份的社会保险凭据复印件。</w:t>
      </w:r>
    </w:p>
    <w:p>
      <w:pPr>
        <w:pStyle w:val="6"/>
        <w:keepNext w:val="0"/>
        <w:keepLines w:val="0"/>
        <w:widowControl/>
        <w:suppressLineNumbers w:val="0"/>
      </w:pPr>
      <w:r>
        <w:rPr>
          <w:rFonts w:hint="eastAsia" w:ascii="宋体" w:hAnsi="宋体" w:eastAsia="宋体" w:cs="宋体"/>
          <w:sz w:val="21"/>
          <w:szCs w:val="21"/>
        </w:rPr>
        <w:t>2.2投标截止时间的当月成立且已依法缴纳社会保障资金的投标人，提供投标截止时间当月的社会保险凭据复印件。</w:t>
      </w:r>
    </w:p>
    <w:p>
      <w:pPr>
        <w:pStyle w:val="6"/>
        <w:keepNext w:val="0"/>
        <w:keepLines w:val="0"/>
        <w:widowControl/>
        <w:suppressLineNumbers w:val="0"/>
      </w:pPr>
      <w:r>
        <w:rPr>
          <w:rFonts w:hint="eastAsia" w:ascii="宋体" w:hAnsi="宋体" w:eastAsia="宋体" w:cs="宋体"/>
          <w:sz w:val="21"/>
          <w:szCs w:val="21"/>
        </w:rPr>
        <w:t>2.3投标截止时间的当月成立但因税务机关</w:t>
      </w:r>
      <w:r>
        <w:rPr>
          <w:rFonts w:hint="default" w:ascii="Calibri" w:hAnsi="Calibri" w:eastAsia="宋体" w:cs="Calibri"/>
          <w:sz w:val="21"/>
          <w:szCs w:val="21"/>
        </w:rPr>
        <w:t>/</w:t>
      </w:r>
      <w:r>
        <w:rPr>
          <w:rFonts w:hint="eastAsia" w:ascii="宋体" w:hAnsi="宋体" w:eastAsia="宋体" w:cs="宋体"/>
          <w:sz w:val="21"/>
          <w:szCs w:val="21"/>
        </w:rPr>
        <w:t>社会保障资金管理机关原因导致其尚未依法缴纳社会保障资金的投标人，提供依法缴纳社会保障资金承诺书原件（格式自拟），该承诺书视同社会保险凭据。</w:t>
      </w:r>
    </w:p>
    <w:p>
      <w:pPr>
        <w:pStyle w:val="6"/>
        <w:keepNext w:val="0"/>
        <w:keepLines w:val="0"/>
        <w:widowControl/>
        <w:suppressLineNumbers w:val="0"/>
      </w:pPr>
      <w:r>
        <w:rPr>
          <w:rFonts w:hint="eastAsia" w:ascii="宋体" w:hAnsi="宋体" w:eastAsia="宋体" w:cs="宋体"/>
          <w:sz w:val="21"/>
          <w:szCs w:val="21"/>
        </w:rPr>
        <w:t>3、</w:t>
      </w:r>
      <w:r>
        <w:rPr>
          <w:rStyle w:val="10"/>
          <w:rFonts w:hint="eastAsia" w:ascii="宋体" w:hAnsi="宋体" w:eastAsia="宋体" w:cs="宋体"/>
          <w:sz w:val="21"/>
          <w:szCs w:val="21"/>
        </w:rPr>
        <w:t>“依法缴纳社会保障资金证明材料”</w:t>
      </w:r>
      <w:r>
        <w:rPr>
          <w:rFonts w:hint="eastAsia" w:ascii="宋体" w:hAnsi="宋体" w:eastAsia="宋体" w:cs="宋体"/>
          <w:sz w:val="21"/>
          <w:szCs w:val="21"/>
        </w:rPr>
        <w:t>有欠缴记录的，视为</w:t>
      </w:r>
      <w:r>
        <w:rPr>
          <w:rStyle w:val="10"/>
          <w:rFonts w:hint="eastAsia" w:ascii="宋体" w:hAnsi="宋体" w:eastAsia="宋体" w:cs="宋体"/>
          <w:sz w:val="21"/>
          <w:szCs w:val="21"/>
        </w:rPr>
        <w:t>未依法缴纳社会保障资金。</w:t>
      </w:r>
    </w:p>
    <w:p>
      <w:pPr>
        <w:pStyle w:val="6"/>
        <w:keepNext w:val="0"/>
        <w:keepLines w:val="0"/>
        <w:widowControl/>
        <w:suppressLineNumbers w:val="0"/>
      </w:pPr>
      <w:r>
        <w:rPr>
          <w:rFonts w:hint="eastAsia" w:ascii="宋体" w:hAnsi="宋体" w:eastAsia="宋体" w:cs="宋体"/>
          <w:sz w:val="21"/>
          <w:szCs w:val="21"/>
        </w:rPr>
        <w:t>4、投标人提供的相应证明材料复印件均应符合：内容完整、清晰、整洁，并由投标人加盖其单位公章。</w:t>
      </w:r>
    </w:p>
    <w:p>
      <w:pPr>
        <w:pStyle w:val="6"/>
        <w:keepNext w:val="0"/>
        <w:keepLines w:val="0"/>
        <w:widowControl/>
        <w:suppressLineNumbers w:val="0"/>
      </w:pPr>
      <w:r>
        <w:rPr>
          <w:rFonts w:hint="default" w:ascii="Calibri" w:hAnsi="Calibri" w:cs="Calibri"/>
          <w:sz w:val="21"/>
          <w:szCs w:val="21"/>
        </w:rPr>
        <w:t> </w:t>
      </w:r>
    </w:p>
    <w:p>
      <w:pPr>
        <w:pStyle w:val="6"/>
        <w:keepNext w:val="0"/>
        <w:keepLines w:val="0"/>
        <w:widowControl/>
        <w:suppressLineNumbers w:val="0"/>
      </w:pPr>
      <w:r>
        <w:rPr>
          <w:rFonts w:hint="default" w:ascii="Calibri" w:hAnsi="Calibri" w:cs="Calibri"/>
          <w:sz w:val="21"/>
          <w:szCs w:val="21"/>
        </w:rPr>
        <w:t> </w:t>
      </w:r>
    </w:p>
    <w:p>
      <w:pPr>
        <w:pStyle w:val="6"/>
        <w:keepNext w:val="0"/>
        <w:keepLines w:val="0"/>
        <w:widowControl/>
        <w:suppressLineNumbers w:val="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6"/>
        <w:keepNext w:val="0"/>
        <w:keepLines w:val="0"/>
        <w:widowControl/>
        <w:suppressLineNumbers w:val="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6"/>
        <w:keepNext w:val="0"/>
        <w:keepLines w:val="0"/>
        <w:widowControl/>
        <w:suppressLineNumbers w:val="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6"/>
        <w:keepNext w:val="0"/>
        <w:keepLines w:val="0"/>
        <w:widowControl/>
        <w:suppressLineNumbers w:val="0"/>
      </w:pPr>
      <w:r>
        <w:rPr>
          <w:rFonts w:hint="eastAsia" w:ascii="宋体" w:hAnsi="宋体" w:eastAsia="宋体" w:cs="宋体"/>
          <w:sz w:val="21"/>
          <w:szCs w:val="21"/>
        </w:rPr>
        <w:t> </w:t>
      </w:r>
    </w:p>
    <w:p>
      <w:pPr>
        <w:pStyle w:val="6"/>
        <w:keepNext w:val="0"/>
        <w:keepLines w:val="0"/>
        <w:widowControl/>
        <w:suppressLineNumbers w:val="0"/>
      </w:pPr>
      <w:r>
        <w:rPr>
          <w:rFonts w:hint="eastAsia" w:ascii="宋体" w:hAnsi="宋体" w:eastAsia="宋体" w:cs="宋体"/>
          <w:sz w:val="21"/>
          <w:szCs w:val="21"/>
        </w:rPr>
        <w:t> </w:t>
      </w:r>
    </w:p>
    <w:p>
      <w:pPr>
        <w:pStyle w:val="6"/>
        <w:keepNext w:val="0"/>
        <w:keepLines w:val="0"/>
        <w:widowControl/>
        <w:suppressLineNumbers w:val="0"/>
        <w:jc w:val="center"/>
      </w:pPr>
      <w:r>
        <w:rPr>
          <w:rFonts w:hint="default" w:ascii="Calibri" w:hAnsi="Calibri" w:cs="Calibri"/>
          <w:sz w:val="21"/>
          <w:szCs w:val="21"/>
        </w:rPr>
        <w:br w:type="textWrapping"/>
      </w:r>
      <w:r>
        <w:rPr>
          <w:rFonts w:hint="eastAsia" w:ascii="宋体" w:hAnsi="宋体" w:eastAsia="宋体" w:cs="宋体"/>
          <w:sz w:val="21"/>
          <w:szCs w:val="21"/>
        </w:rPr>
        <w:t>二</w:t>
      </w:r>
      <w:r>
        <w:rPr>
          <w:rStyle w:val="10"/>
          <w:rFonts w:hint="eastAsia" w:ascii="宋体" w:hAnsi="宋体" w:eastAsia="宋体" w:cs="宋体"/>
          <w:sz w:val="21"/>
          <w:szCs w:val="21"/>
        </w:rPr>
        <w:t>-6具备履行合同所必需设备和专业技术能力的声明函（若有）</w:t>
      </w:r>
    </w:p>
    <w:p>
      <w:pPr>
        <w:pStyle w:val="6"/>
        <w:keepNext w:val="0"/>
        <w:keepLines w:val="0"/>
        <w:widowControl/>
        <w:suppressLineNumbers w:val="0"/>
      </w:pPr>
      <w:r>
        <w:rPr>
          <w:rFonts w:hint="eastAsia" w:ascii="宋体" w:hAnsi="宋体" w:eastAsia="宋体" w:cs="宋体"/>
          <w:sz w:val="21"/>
          <w:szCs w:val="21"/>
        </w:rPr>
        <w:t> </w:t>
      </w:r>
    </w:p>
    <w:p>
      <w:pPr>
        <w:pStyle w:val="6"/>
        <w:keepNext w:val="0"/>
        <w:keepLines w:val="0"/>
        <w:widowControl/>
        <w:suppressLineNumbers w:val="0"/>
      </w:pPr>
      <w:r>
        <w:rPr>
          <w:rFonts w:hint="eastAsia" w:ascii="宋体" w:hAnsi="宋体" w:eastAsia="宋体" w:cs="宋体"/>
          <w:sz w:val="21"/>
          <w:szCs w:val="21"/>
        </w:rPr>
        <w:t>致：</w:t>
      </w:r>
      <w:r>
        <w:rPr>
          <w:rFonts w:hint="eastAsia" w:ascii="宋体" w:hAnsi="宋体" w:eastAsia="宋体" w:cs="宋体"/>
          <w:sz w:val="21"/>
          <w:szCs w:val="21"/>
          <w:u w:val="single"/>
        </w:rPr>
        <w:t>                     </w:t>
      </w:r>
    </w:p>
    <w:p>
      <w:pPr>
        <w:pStyle w:val="6"/>
        <w:keepNext w:val="0"/>
        <w:keepLines w:val="0"/>
        <w:widowControl/>
        <w:suppressLineNumbers w:val="0"/>
        <w:ind w:left="0" w:firstLine="420"/>
      </w:pPr>
      <w:r>
        <w:rPr>
          <w:rFonts w:hint="eastAsia" w:ascii="宋体" w:hAnsi="宋体" w:eastAsia="宋体" w:cs="宋体"/>
          <w:sz w:val="21"/>
          <w:szCs w:val="21"/>
        </w:rPr>
        <w:t>我方具备履行合同所必需的设备和专业技术能力，否则产生不利后果由我方承担责任。</w:t>
      </w:r>
    </w:p>
    <w:p>
      <w:pPr>
        <w:pStyle w:val="6"/>
        <w:keepNext w:val="0"/>
        <w:keepLines w:val="0"/>
        <w:widowControl/>
        <w:suppressLineNumbers w:val="0"/>
        <w:ind w:left="0" w:firstLine="420"/>
      </w:pPr>
      <w:r>
        <w:rPr>
          <w:rFonts w:hint="eastAsia" w:ascii="宋体" w:hAnsi="宋体" w:eastAsia="宋体" w:cs="宋体"/>
          <w:sz w:val="21"/>
          <w:szCs w:val="21"/>
        </w:rPr>
        <w:t>特此声明。</w:t>
      </w:r>
    </w:p>
    <w:p>
      <w:pPr>
        <w:pStyle w:val="6"/>
        <w:keepNext w:val="0"/>
        <w:keepLines w:val="0"/>
        <w:widowControl/>
        <w:suppressLineNumbers w:val="0"/>
      </w:pPr>
      <w:r>
        <w:rPr>
          <w:rFonts w:hint="eastAsia" w:ascii="宋体" w:hAnsi="宋体" w:eastAsia="宋体" w:cs="宋体"/>
          <w:sz w:val="21"/>
          <w:szCs w:val="21"/>
        </w:rPr>
        <w:t> </w:t>
      </w:r>
    </w:p>
    <w:p>
      <w:pPr>
        <w:pStyle w:val="6"/>
        <w:keepNext w:val="0"/>
        <w:keepLines w:val="0"/>
        <w:widowControl/>
        <w:suppressLineNumbers w:val="0"/>
      </w:pPr>
      <w:r>
        <w:rPr>
          <w:rFonts w:hint="eastAsia" w:ascii="宋体" w:hAnsi="宋体" w:eastAsia="宋体" w:cs="宋体"/>
          <w:sz w:val="21"/>
          <w:szCs w:val="21"/>
        </w:rPr>
        <w:t>★注意：</w:t>
      </w:r>
    </w:p>
    <w:p>
      <w:pPr>
        <w:pStyle w:val="6"/>
        <w:keepNext w:val="0"/>
        <w:keepLines w:val="0"/>
        <w:widowControl/>
        <w:suppressLineNumbers w:val="0"/>
      </w:pPr>
      <w:r>
        <w:rPr>
          <w:rFonts w:hint="eastAsia" w:ascii="宋体" w:hAnsi="宋体" w:eastAsia="宋体" w:cs="宋体"/>
          <w:sz w:val="21"/>
          <w:szCs w:val="21"/>
        </w:rPr>
        <w:t>1、招标文件未要求投标人提供“具备履行合同所必需的设备和专业技术能力专项证明材料”的，投标人应提供本声明函。</w:t>
      </w:r>
    </w:p>
    <w:p>
      <w:pPr>
        <w:pStyle w:val="6"/>
        <w:keepNext w:val="0"/>
        <w:keepLines w:val="0"/>
        <w:widowControl/>
        <w:suppressLineNumbers w:val="0"/>
      </w:pPr>
      <w:r>
        <w:rPr>
          <w:rFonts w:hint="eastAsia" w:ascii="宋体" w:hAnsi="宋体" w:eastAsia="宋体" w:cs="宋体"/>
          <w:sz w:val="21"/>
          <w:szCs w:val="21"/>
        </w:rPr>
        <w:t>2、招标文件要求投标人提供“具备履行合同所必需的设备和专业技术能力专项证明材料”的，投标人可不提供本声明函。</w:t>
      </w:r>
    </w:p>
    <w:p>
      <w:pPr>
        <w:pStyle w:val="6"/>
        <w:keepNext w:val="0"/>
        <w:keepLines w:val="0"/>
        <w:widowControl/>
        <w:suppressLineNumbers w:val="0"/>
      </w:pPr>
      <w:r>
        <w:rPr>
          <w:rFonts w:hint="eastAsia" w:ascii="宋体" w:hAnsi="宋体" w:eastAsia="宋体" w:cs="宋体"/>
          <w:sz w:val="21"/>
          <w:szCs w:val="21"/>
        </w:rPr>
        <w:t>3、纸质投标文件正本中的本声明函（若有）应为原件。</w:t>
      </w:r>
    </w:p>
    <w:p>
      <w:pPr>
        <w:pStyle w:val="6"/>
        <w:keepNext w:val="0"/>
        <w:keepLines w:val="0"/>
        <w:widowControl/>
        <w:suppressLineNumbers w:val="0"/>
      </w:pPr>
      <w:r>
        <w:rPr>
          <w:rFonts w:hint="eastAsia" w:ascii="宋体" w:hAnsi="宋体" w:eastAsia="宋体" w:cs="宋体"/>
          <w:sz w:val="21"/>
          <w:szCs w:val="21"/>
        </w:rPr>
        <w:t>4、请投标人根据实际情况如实声明，否则</w:t>
      </w:r>
      <w:r>
        <w:rPr>
          <w:rStyle w:val="10"/>
          <w:rFonts w:hint="eastAsia" w:ascii="宋体" w:hAnsi="宋体" w:eastAsia="宋体" w:cs="宋体"/>
          <w:sz w:val="21"/>
          <w:szCs w:val="21"/>
        </w:rPr>
        <w:t>视为提供虚假材料。</w:t>
      </w:r>
    </w:p>
    <w:p>
      <w:pPr>
        <w:pStyle w:val="6"/>
        <w:keepNext w:val="0"/>
        <w:keepLines w:val="0"/>
        <w:widowControl/>
        <w:suppressLineNumbers w:val="0"/>
      </w:pPr>
      <w:r>
        <w:rPr>
          <w:rFonts w:hint="default" w:ascii="Calibri" w:hAnsi="Calibri" w:cs="Calibri"/>
          <w:sz w:val="21"/>
          <w:szCs w:val="21"/>
        </w:rPr>
        <w:t> </w:t>
      </w:r>
    </w:p>
    <w:p>
      <w:pPr>
        <w:pStyle w:val="6"/>
        <w:keepNext w:val="0"/>
        <w:keepLines w:val="0"/>
        <w:widowControl/>
        <w:suppressLineNumbers w:val="0"/>
      </w:pPr>
      <w:r>
        <w:rPr>
          <w:rFonts w:hint="default" w:ascii="Calibri" w:hAnsi="Calibri" w:cs="Calibri"/>
          <w:sz w:val="21"/>
          <w:szCs w:val="21"/>
        </w:rPr>
        <w:t> </w:t>
      </w:r>
    </w:p>
    <w:p>
      <w:pPr>
        <w:pStyle w:val="6"/>
        <w:keepNext w:val="0"/>
        <w:keepLines w:val="0"/>
        <w:widowControl/>
        <w:suppressLineNumbers w:val="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6"/>
        <w:keepNext w:val="0"/>
        <w:keepLines w:val="0"/>
        <w:widowControl/>
        <w:suppressLineNumbers w:val="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6"/>
        <w:keepNext w:val="0"/>
        <w:keepLines w:val="0"/>
        <w:widowControl/>
        <w:suppressLineNumbers w:val="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6"/>
        <w:keepNext w:val="0"/>
        <w:keepLines w:val="0"/>
        <w:widowControl/>
        <w:suppressLineNumbers w:val="0"/>
      </w:pPr>
      <w:r>
        <w:rPr>
          <w:rFonts w:hint="eastAsia" w:ascii="宋体" w:hAnsi="宋体" w:eastAsia="宋体" w:cs="宋体"/>
          <w:sz w:val="21"/>
          <w:szCs w:val="21"/>
        </w:rPr>
        <w:t> </w:t>
      </w:r>
    </w:p>
    <w:p>
      <w:pPr>
        <w:pStyle w:val="6"/>
        <w:keepNext w:val="0"/>
        <w:keepLines w:val="0"/>
        <w:widowControl/>
        <w:suppressLineNumbers w:val="0"/>
      </w:pPr>
      <w:r>
        <w:rPr>
          <w:rFonts w:hint="eastAsia" w:ascii="宋体" w:hAnsi="宋体" w:eastAsia="宋体" w:cs="宋体"/>
          <w:sz w:val="21"/>
          <w:szCs w:val="21"/>
        </w:rPr>
        <w:t> </w:t>
      </w:r>
    </w:p>
    <w:p>
      <w:pPr>
        <w:pStyle w:val="6"/>
        <w:keepNext w:val="0"/>
        <w:keepLines w:val="0"/>
        <w:widowControl/>
        <w:suppressLineNumbers w:val="0"/>
        <w:jc w:val="center"/>
      </w:pPr>
      <w:r>
        <w:rPr>
          <w:rFonts w:hint="default" w:ascii="Calibri" w:hAnsi="Calibri" w:cs="Calibri"/>
          <w:sz w:val="21"/>
          <w:szCs w:val="21"/>
        </w:rPr>
        <w:br w:type="textWrapping"/>
      </w:r>
      <w:r>
        <w:rPr>
          <w:rFonts w:hint="eastAsia" w:ascii="宋体" w:hAnsi="宋体" w:eastAsia="宋体" w:cs="宋体"/>
          <w:sz w:val="21"/>
          <w:szCs w:val="21"/>
        </w:rPr>
        <w:t>二</w:t>
      </w:r>
      <w:r>
        <w:rPr>
          <w:rStyle w:val="10"/>
          <w:rFonts w:hint="eastAsia" w:ascii="宋体" w:hAnsi="宋体" w:eastAsia="宋体" w:cs="宋体"/>
          <w:sz w:val="21"/>
          <w:szCs w:val="21"/>
        </w:rPr>
        <w:t>-7参加采购活动前三年内在经营活动中没有重大违法记录书面声明</w:t>
      </w:r>
    </w:p>
    <w:p>
      <w:pPr>
        <w:pStyle w:val="6"/>
        <w:keepNext w:val="0"/>
        <w:keepLines w:val="0"/>
        <w:widowControl/>
        <w:suppressLineNumbers w:val="0"/>
      </w:pPr>
      <w:r>
        <w:rPr>
          <w:rFonts w:hint="eastAsia" w:ascii="宋体" w:hAnsi="宋体" w:eastAsia="宋体" w:cs="宋体"/>
          <w:sz w:val="21"/>
          <w:szCs w:val="21"/>
        </w:rPr>
        <w:t> </w:t>
      </w:r>
    </w:p>
    <w:p>
      <w:pPr>
        <w:pStyle w:val="6"/>
        <w:keepNext w:val="0"/>
        <w:keepLines w:val="0"/>
        <w:widowControl/>
        <w:suppressLineNumbers w:val="0"/>
      </w:pPr>
      <w:r>
        <w:rPr>
          <w:rFonts w:hint="eastAsia" w:ascii="宋体" w:hAnsi="宋体" w:eastAsia="宋体" w:cs="宋体"/>
          <w:sz w:val="21"/>
          <w:szCs w:val="21"/>
        </w:rPr>
        <w:t>致：</w:t>
      </w:r>
      <w:r>
        <w:rPr>
          <w:rFonts w:hint="eastAsia" w:ascii="宋体" w:hAnsi="宋体" w:eastAsia="宋体" w:cs="宋体"/>
          <w:sz w:val="21"/>
          <w:szCs w:val="21"/>
          <w:u w:val="single"/>
        </w:rPr>
        <w:t>                     </w:t>
      </w:r>
    </w:p>
    <w:p>
      <w:pPr>
        <w:pStyle w:val="6"/>
        <w:keepNext w:val="0"/>
        <w:keepLines w:val="0"/>
        <w:widowControl/>
        <w:suppressLineNumbers w:val="0"/>
        <w:ind w:left="0" w:firstLine="420"/>
      </w:pPr>
      <w:r>
        <w:rPr>
          <w:rFonts w:hint="eastAsia" w:ascii="宋体" w:hAnsi="宋体" w:eastAsia="宋体" w:cs="宋体"/>
          <w:sz w:val="21"/>
          <w:szCs w:val="21"/>
        </w:rPr>
        <w:t>参加采购活动前三年内，我方在经营活动中没有重大违法记录，也无行贿犯罪记录，否则产生不利后果由我方承担责任。</w:t>
      </w:r>
    </w:p>
    <w:p>
      <w:pPr>
        <w:pStyle w:val="6"/>
        <w:keepNext w:val="0"/>
        <w:keepLines w:val="0"/>
        <w:widowControl/>
        <w:suppressLineNumbers w:val="0"/>
        <w:ind w:left="0" w:firstLine="420"/>
      </w:pPr>
      <w:r>
        <w:rPr>
          <w:rFonts w:hint="eastAsia" w:ascii="宋体" w:hAnsi="宋体" w:eastAsia="宋体" w:cs="宋体"/>
          <w:sz w:val="21"/>
          <w:szCs w:val="21"/>
        </w:rPr>
        <w:t>特此声明。</w:t>
      </w:r>
    </w:p>
    <w:p>
      <w:pPr>
        <w:pStyle w:val="6"/>
        <w:keepNext w:val="0"/>
        <w:keepLines w:val="0"/>
        <w:widowControl/>
        <w:suppressLineNumbers w:val="0"/>
      </w:pPr>
      <w:r>
        <w:rPr>
          <w:rFonts w:hint="default" w:ascii="Calibri" w:hAnsi="Calibri" w:cs="Calibri"/>
          <w:sz w:val="21"/>
          <w:szCs w:val="21"/>
        </w:rPr>
        <w:t> </w:t>
      </w:r>
    </w:p>
    <w:p>
      <w:pPr>
        <w:pStyle w:val="6"/>
        <w:keepNext w:val="0"/>
        <w:keepLines w:val="0"/>
        <w:widowControl/>
        <w:suppressLineNumbers w:val="0"/>
      </w:pPr>
      <w:r>
        <w:rPr>
          <w:rFonts w:hint="eastAsia" w:ascii="宋体" w:hAnsi="宋体" w:eastAsia="宋体" w:cs="宋体"/>
          <w:sz w:val="21"/>
          <w:szCs w:val="21"/>
        </w:rPr>
        <w:t>★注意：</w:t>
      </w:r>
    </w:p>
    <w:p>
      <w:pPr>
        <w:pStyle w:val="6"/>
        <w:keepNext w:val="0"/>
        <w:keepLines w:val="0"/>
        <w:widowControl/>
        <w:suppressLineNumbers w:val="0"/>
      </w:pPr>
      <w:r>
        <w:rPr>
          <w:rFonts w:hint="eastAsia" w:ascii="宋体" w:hAnsi="宋体" w:eastAsia="宋体" w:cs="宋体"/>
          <w:sz w:val="21"/>
          <w:szCs w:val="21"/>
        </w:rPr>
        <w:t>1、“重大违法记录”指投标人因违法经营受到刑事处罚或责令停产停业、吊销许可证或执照、较大数额罚款等行政处罚。</w:t>
      </w:r>
    </w:p>
    <w:p>
      <w:pPr>
        <w:pStyle w:val="6"/>
        <w:keepNext w:val="0"/>
        <w:keepLines w:val="0"/>
        <w:widowControl/>
        <w:suppressLineNumbers w:val="0"/>
      </w:pPr>
      <w:r>
        <w:rPr>
          <w:rFonts w:hint="eastAsia" w:ascii="宋体" w:hAnsi="宋体" w:eastAsia="宋体" w:cs="宋体"/>
          <w:sz w:val="21"/>
          <w:szCs w:val="21"/>
        </w:rPr>
        <w:t>2、纸质投标文件正本中的本声明应为原件。</w:t>
      </w:r>
    </w:p>
    <w:p>
      <w:pPr>
        <w:pStyle w:val="6"/>
        <w:keepNext w:val="0"/>
        <w:keepLines w:val="0"/>
        <w:widowControl/>
        <w:suppressLineNumbers w:val="0"/>
      </w:pPr>
      <w:r>
        <w:rPr>
          <w:rFonts w:hint="eastAsia" w:ascii="宋体" w:hAnsi="宋体" w:eastAsia="宋体" w:cs="宋体"/>
          <w:sz w:val="21"/>
          <w:szCs w:val="21"/>
        </w:rPr>
        <w:t>3、请投标人根据实际情况如实声明，否则</w:t>
      </w:r>
      <w:r>
        <w:rPr>
          <w:rStyle w:val="10"/>
          <w:rFonts w:hint="eastAsia" w:ascii="宋体" w:hAnsi="宋体" w:eastAsia="宋体" w:cs="宋体"/>
          <w:sz w:val="21"/>
          <w:szCs w:val="21"/>
        </w:rPr>
        <w:t>视为提供虚假材料。</w:t>
      </w:r>
    </w:p>
    <w:p>
      <w:pPr>
        <w:pStyle w:val="6"/>
        <w:keepNext w:val="0"/>
        <w:keepLines w:val="0"/>
        <w:widowControl/>
        <w:suppressLineNumbers w:val="0"/>
      </w:pPr>
      <w:r>
        <w:rPr>
          <w:rFonts w:hint="eastAsia" w:ascii="宋体" w:hAnsi="宋体" w:eastAsia="宋体" w:cs="宋体"/>
          <w:sz w:val="21"/>
          <w:szCs w:val="21"/>
        </w:rPr>
        <w:t> </w:t>
      </w:r>
    </w:p>
    <w:p>
      <w:pPr>
        <w:pStyle w:val="6"/>
        <w:keepNext w:val="0"/>
        <w:keepLines w:val="0"/>
        <w:widowControl/>
        <w:suppressLineNumbers w:val="0"/>
      </w:pPr>
      <w:r>
        <w:rPr>
          <w:rFonts w:hint="eastAsia" w:ascii="宋体" w:hAnsi="宋体" w:eastAsia="宋体" w:cs="宋体"/>
          <w:sz w:val="21"/>
          <w:szCs w:val="21"/>
        </w:rPr>
        <w:t> </w:t>
      </w:r>
    </w:p>
    <w:p>
      <w:pPr>
        <w:pStyle w:val="6"/>
        <w:keepNext w:val="0"/>
        <w:keepLines w:val="0"/>
        <w:widowControl/>
        <w:suppressLineNumbers w:val="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6"/>
        <w:keepNext w:val="0"/>
        <w:keepLines w:val="0"/>
        <w:widowControl/>
        <w:suppressLineNumbers w:val="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6"/>
        <w:keepNext w:val="0"/>
        <w:keepLines w:val="0"/>
        <w:widowControl/>
        <w:suppressLineNumbers w:val="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6"/>
        <w:keepNext w:val="0"/>
        <w:keepLines w:val="0"/>
        <w:widowControl/>
        <w:suppressLineNumbers w:val="0"/>
      </w:pPr>
      <w:r>
        <w:rPr>
          <w:rFonts w:hint="eastAsia" w:ascii="宋体" w:hAnsi="宋体" w:eastAsia="宋体" w:cs="宋体"/>
          <w:sz w:val="21"/>
          <w:szCs w:val="21"/>
        </w:rPr>
        <w:t> </w:t>
      </w:r>
    </w:p>
    <w:p>
      <w:pPr>
        <w:pStyle w:val="6"/>
        <w:keepNext w:val="0"/>
        <w:keepLines w:val="0"/>
        <w:widowControl/>
        <w:suppressLineNumbers w:val="0"/>
      </w:pPr>
      <w:r>
        <w:rPr>
          <w:rFonts w:hint="eastAsia" w:ascii="宋体" w:hAnsi="宋体" w:eastAsia="宋体" w:cs="宋体"/>
          <w:sz w:val="21"/>
          <w:szCs w:val="21"/>
        </w:rPr>
        <w:t> </w:t>
      </w:r>
    </w:p>
    <w:p>
      <w:pPr>
        <w:pStyle w:val="6"/>
        <w:keepNext w:val="0"/>
        <w:keepLines w:val="0"/>
        <w:widowControl/>
        <w:suppressLineNumbers w:val="0"/>
        <w:jc w:val="center"/>
      </w:pPr>
      <w:r>
        <w:rPr>
          <w:rFonts w:hint="default" w:ascii="Calibri" w:hAnsi="Calibri" w:cs="Calibri"/>
          <w:sz w:val="21"/>
          <w:szCs w:val="21"/>
        </w:rPr>
        <w:br w:type="textWrapping"/>
      </w:r>
      <w:r>
        <w:rPr>
          <w:rFonts w:hint="eastAsia" w:ascii="宋体" w:hAnsi="宋体" w:eastAsia="宋体" w:cs="宋体"/>
          <w:sz w:val="21"/>
          <w:szCs w:val="21"/>
        </w:rPr>
        <w:t>二</w:t>
      </w:r>
      <w:r>
        <w:rPr>
          <w:rStyle w:val="10"/>
          <w:rFonts w:hint="eastAsia" w:ascii="宋体" w:hAnsi="宋体" w:eastAsia="宋体" w:cs="宋体"/>
          <w:sz w:val="21"/>
          <w:szCs w:val="21"/>
        </w:rPr>
        <w:t>-8信用记录查询结果</w:t>
      </w:r>
    </w:p>
    <w:p>
      <w:pPr>
        <w:pStyle w:val="6"/>
        <w:keepNext w:val="0"/>
        <w:keepLines w:val="0"/>
        <w:widowControl/>
        <w:suppressLineNumbers w:val="0"/>
      </w:pPr>
      <w:r>
        <w:rPr>
          <w:rFonts w:hint="eastAsia" w:ascii="宋体" w:hAnsi="宋体" w:eastAsia="宋体" w:cs="宋体"/>
          <w:sz w:val="21"/>
          <w:szCs w:val="21"/>
        </w:rPr>
        <w:t> </w:t>
      </w:r>
    </w:p>
    <w:p>
      <w:pPr>
        <w:pStyle w:val="6"/>
        <w:keepNext w:val="0"/>
        <w:keepLines w:val="0"/>
        <w:widowControl/>
        <w:suppressLineNumbers w:val="0"/>
      </w:pPr>
      <w:r>
        <w:rPr>
          <w:rFonts w:hint="eastAsia" w:ascii="宋体" w:hAnsi="宋体" w:eastAsia="宋体" w:cs="宋体"/>
          <w:sz w:val="21"/>
          <w:szCs w:val="21"/>
        </w:rPr>
        <w:t>致：</w:t>
      </w:r>
      <w:r>
        <w:rPr>
          <w:rFonts w:hint="eastAsia" w:ascii="宋体" w:hAnsi="宋体" w:eastAsia="宋体" w:cs="宋体"/>
          <w:sz w:val="21"/>
          <w:szCs w:val="21"/>
          <w:u w:val="single"/>
        </w:rPr>
        <w:t>                     </w:t>
      </w:r>
    </w:p>
    <w:p>
      <w:pPr>
        <w:pStyle w:val="6"/>
        <w:keepNext w:val="0"/>
        <w:keepLines w:val="0"/>
        <w:widowControl/>
        <w:suppressLineNumbers w:val="0"/>
        <w:ind w:left="0" w:firstLine="420"/>
      </w:pPr>
      <w:r>
        <w:rPr>
          <w:rFonts w:hint="eastAsia" w:ascii="宋体" w:hAnsi="宋体" w:eastAsia="宋体" w:cs="宋体"/>
          <w:sz w:val="21"/>
          <w:szCs w:val="21"/>
        </w:rPr>
        <w:t>现附上截至</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r>
        <w:rPr>
          <w:rFonts w:hint="eastAsia" w:ascii="宋体" w:hAnsi="宋体" w:eastAsia="宋体" w:cs="宋体"/>
          <w:sz w:val="21"/>
          <w:szCs w:val="21"/>
          <w:u w:val="single"/>
        </w:rPr>
        <w:t>   </w:t>
      </w:r>
      <w:r>
        <w:rPr>
          <w:rFonts w:hint="eastAsia" w:ascii="宋体" w:hAnsi="宋体" w:eastAsia="宋体" w:cs="宋体"/>
          <w:sz w:val="21"/>
          <w:szCs w:val="21"/>
        </w:rPr>
        <w:t>时我方通过“信用中国”网站（</w:t>
      </w:r>
      <w:r>
        <w:rPr>
          <w:rFonts w:hint="default" w:ascii="Calibri" w:hAnsi="Calibri" w:eastAsia="宋体" w:cs="Calibri"/>
          <w:sz w:val="21"/>
          <w:szCs w:val="21"/>
        </w:rPr>
        <w:t>www.creditchina.gov.cn</w:t>
      </w:r>
      <w:r>
        <w:rPr>
          <w:rFonts w:hint="eastAsia" w:ascii="宋体" w:hAnsi="宋体" w:eastAsia="宋体" w:cs="宋体"/>
          <w:sz w:val="21"/>
          <w:szCs w:val="21"/>
        </w:rPr>
        <w:t>）获取的我方信用信息查询结果</w:t>
      </w:r>
      <w:r>
        <w:rPr>
          <w:rFonts w:hint="eastAsia" w:ascii="宋体" w:hAnsi="宋体" w:eastAsia="宋体" w:cs="宋体"/>
          <w:sz w:val="21"/>
          <w:szCs w:val="21"/>
          <w:u w:val="single"/>
        </w:rPr>
        <w:t>（填写具体份数）</w:t>
      </w:r>
      <w:r>
        <w:rPr>
          <w:rFonts w:hint="eastAsia" w:ascii="宋体" w:hAnsi="宋体" w:eastAsia="宋体" w:cs="宋体"/>
          <w:sz w:val="21"/>
          <w:szCs w:val="21"/>
        </w:rPr>
        <w:t>份、通过中国政府采购网（www.ccgp.gov.cn）获取的我方信用信息查询结果</w:t>
      </w:r>
      <w:r>
        <w:rPr>
          <w:rFonts w:hint="eastAsia" w:ascii="宋体" w:hAnsi="宋体" w:eastAsia="宋体" w:cs="宋体"/>
          <w:sz w:val="21"/>
          <w:szCs w:val="21"/>
          <w:u w:val="single"/>
        </w:rPr>
        <w:t>（填写具体份数）</w:t>
      </w:r>
      <w:r>
        <w:rPr>
          <w:rFonts w:hint="eastAsia" w:ascii="宋体" w:hAnsi="宋体" w:eastAsia="宋体" w:cs="宋体"/>
          <w:sz w:val="21"/>
          <w:szCs w:val="21"/>
        </w:rPr>
        <w:t>份，上述信用信息查询结果真实有效，否则我方负全部责任。</w:t>
      </w:r>
    </w:p>
    <w:p>
      <w:pPr>
        <w:pStyle w:val="6"/>
        <w:keepNext w:val="0"/>
        <w:keepLines w:val="0"/>
        <w:widowControl/>
        <w:suppressLineNumbers w:val="0"/>
      </w:pPr>
      <w:r>
        <w:rPr>
          <w:rFonts w:hint="default" w:ascii="Calibri" w:hAnsi="Calibri" w:cs="Calibri"/>
          <w:sz w:val="21"/>
          <w:szCs w:val="21"/>
        </w:rPr>
        <w:t> </w:t>
      </w:r>
    </w:p>
    <w:p>
      <w:pPr>
        <w:pStyle w:val="6"/>
        <w:keepNext w:val="0"/>
        <w:keepLines w:val="0"/>
        <w:widowControl/>
        <w:suppressLineNumbers w:val="0"/>
      </w:pPr>
      <w:r>
        <w:rPr>
          <w:rFonts w:hint="eastAsia" w:ascii="宋体" w:hAnsi="宋体" w:eastAsia="宋体" w:cs="宋体"/>
          <w:sz w:val="21"/>
          <w:szCs w:val="21"/>
        </w:rPr>
        <w:t>★注意：</w:t>
      </w:r>
    </w:p>
    <w:p>
      <w:pPr>
        <w:pStyle w:val="6"/>
        <w:keepNext w:val="0"/>
        <w:keepLines w:val="0"/>
        <w:widowControl/>
        <w:suppressLineNumbers w:val="0"/>
      </w:pPr>
      <w:r>
        <w:rPr>
          <w:rFonts w:hint="eastAsia" w:ascii="宋体" w:hAnsi="宋体" w:eastAsia="宋体" w:cs="宋体"/>
          <w:sz w:val="21"/>
          <w:szCs w:val="21"/>
        </w:rPr>
        <w:t>投标人应在招标文件要求的截止时点前分别通过“信用中国”网站（</w:t>
      </w:r>
      <w:r>
        <w:rPr>
          <w:rFonts w:hint="default" w:ascii="Calibri" w:hAnsi="Calibri" w:eastAsia="宋体" w:cs="Calibri"/>
          <w:sz w:val="21"/>
          <w:szCs w:val="21"/>
        </w:rPr>
        <w:t>www.creditchina.gov.cn</w:t>
      </w:r>
      <w:r>
        <w:rPr>
          <w:rFonts w:hint="eastAsia" w:ascii="宋体" w:hAnsi="宋体" w:eastAsia="宋体" w:cs="宋体"/>
          <w:sz w:val="21"/>
          <w:szCs w:val="21"/>
        </w:rPr>
        <w:t>）、中国政府采购网（</w:t>
      </w:r>
      <w:r>
        <w:rPr>
          <w:rFonts w:hint="default" w:ascii="Calibri" w:hAnsi="Calibri" w:eastAsia="宋体" w:cs="Calibri"/>
          <w:sz w:val="21"/>
          <w:szCs w:val="21"/>
        </w:rPr>
        <w:t>www.ccgp.gov.cn</w:t>
      </w:r>
      <w:r>
        <w:rPr>
          <w:rFonts w:hint="eastAsia" w:ascii="宋体" w:hAnsi="宋体" w:eastAsia="宋体" w:cs="宋体"/>
          <w:sz w:val="21"/>
          <w:szCs w:val="21"/>
        </w:rPr>
        <w:t>）查询并打印相应的信用记录，投标人提供的查询结果应为其通过上述网站获取的信用信息查询结果原始页面的打印件（或截图）。</w:t>
      </w:r>
    </w:p>
    <w:p>
      <w:pPr>
        <w:pStyle w:val="6"/>
        <w:keepNext w:val="0"/>
        <w:keepLines w:val="0"/>
        <w:widowControl/>
        <w:suppressLineNumbers w:val="0"/>
      </w:pPr>
    </w:p>
    <w:p>
      <w:pPr>
        <w:pStyle w:val="6"/>
        <w:keepNext w:val="0"/>
        <w:keepLines w:val="0"/>
        <w:widowControl/>
        <w:suppressLineNumbers w:val="0"/>
      </w:pPr>
      <w:r>
        <w:rPr>
          <w:rFonts w:hint="eastAsia" w:ascii="宋体" w:hAnsi="宋体" w:eastAsia="宋体" w:cs="宋体"/>
          <w:sz w:val="21"/>
          <w:szCs w:val="21"/>
        </w:rPr>
        <w:t> </w:t>
      </w:r>
    </w:p>
    <w:p>
      <w:pPr>
        <w:pStyle w:val="6"/>
        <w:keepNext w:val="0"/>
        <w:keepLines w:val="0"/>
        <w:widowControl/>
        <w:suppressLineNumbers w:val="0"/>
      </w:pPr>
      <w:r>
        <w:rPr>
          <w:rFonts w:hint="eastAsia" w:ascii="宋体" w:hAnsi="宋体" w:eastAsia="宋体" w:cs="宋体"/>
          <w:sz w:val="21"/>
          <w:szCs w:val="21"/>
        </w:rPr>
        <w:t> </w:t>
      </w:r>
    </w:p>
    <w:p>
      <w:pPr>
        <w:pStyle w:val="6"/>
        <w:keepNext w:val="0"/>
        <w:keepLines w:val="0"/>
        <w:widowControl/>
        <w:suppressLineNumbers w:val="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6"/>
        <w:keepNext w:val="0"/>
        <w:keepLines w:val="0"/>
        <w:widowControl/>
        <w:suppressLineNumbers w:val="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6"/>
        <w:keepNext w:val="0"/>
        <w:keepLines w:val="0"/>
        <w:widowControl/>
        <w:suppressLineNumbers w:val="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6"/>
        <w:keepNext w:val="0"/>
        <w:keepLines w:val="0"/>
        <w:widowControl/>
        <w:suppressLineNumbers w:val="0"/>
      </w:pPr>
      <w:r>
        <w:rPr>
          <w:rFonts w:hint="eastAsia" w:ascii="宋体" w:hAnsi="宋体" w:eastAsia="宋体" w:cs="宋体"/>
          <w:sz w:val="21"/>
          <w:szCs w:val="21"/>
        </w:rPr>
        <w:t> </w:t>
      </w:r>
    </w:p>
    <w:p>
      <w:pPr>
        <w:pStyle w:val="6"/>
        <w:keepNext w:val="0"/>
        <w:keepLines w:val="0"/>
        <w:widowControl/>
        <w:suppressLineNumbers w:val="0"/>
      </w:pPr>
      <w:r>
        <w:rPr>
          <w:rFonts w:hint="eastAsia" w:ascii="宋体" w:hAnsi="宋体" w:eastAsia="宋体" w:cs="宋体"/>
          <w:sz w:val="21"/>
          <w:szCs w:val="21"/>
        </w:rPr>
        <w:t> </w:t>
      </w:r>
    </w:p>
    <w:p>
      <w:pPr>
        <w:pStyle w:val="6"/>
        <w:keepNext w:val="0"/>
        <w:keepLines w:val="0"/>
        <w:widowControl/>
        <w:suppressLineNumbers w:val="0"/>
        <w:jc w:val="center"/>
      </w:pPr>
      <w:r>
        <w:rPr>
          <w:rStyle w:val="10"/>
          <w:rFonts w:hint="default" w:ascii="Calibri" w:hAnsi="Calibri" w:cs="Calibri"/>
          <w:sz w:val="21"/>
          <w:szCs w:val="21"/>
        </w:rPr>
        <w:br w:type="textWrapping"/>
      </w:r>
      <w:r>
        <w:rPr>
          <w:rStyle w:val="10"/>
          <w:rFonts w:hint="eastAsia" w:ascii="宋体" w:hAnsi="宋体" w:eastAsia="宋体" w:cs="宋体"/>
          <w:sz w:val="21"/>
          <w:szCs w:val="21"/>
        </w:rPr>
        <w:t>二-9检察机关行贿犯罪档案查询结果告知函</w:t>
      </w:r>
    </w:p>
    <w:p>
      <w:pPr>
        <w:pStyle w:val="6"/>
        <w:keepNext w:val="0"/>
        <w:keepLines w:val="0"/>
        <w:widowControl/>
        <w:suppressLineNumbers w:val="0"/>
      </w:pPr>
      <w:r>
        <w:rPr>
          <w:rFonts w:hint="default" w:ascii="Calibri" w:hAnsi="Calibri" w:cs="Calibri"/>
          <w:sz w:val="21"/>
          <w:szCs w:val="21"/>
        </w:rPr>
        <w:t> </w:t>
      </w:r>
    </w:p>
    <w:p>
      <w:pPr>
        <w:pStyle w:val="6"/>
        <w:keepNext w:val="0"/>
        <w:keepLines w:val="0"/>
        <w:widowControl/>
        <w:suppressLineNumbers w:val="0"/>
        <w:ind w:left="0" w:firstLine="420"/>
      </w:pPr>
      <w:r>
        <w:rPr>
          <w:rFonts w:hint="eastAsia" w:ascii="宋体" w:hAnsi="宋体" w:eastAsia="宋体" w:cs="宋体"/>
          <w:sz w:val="21"/>
          <w:szCs w:val="21"/>
        </w:rPr>
        <w:t>检察机关行贿犯罪档案查询结果告知函（以下简称：“告知函”）由投标人向住所地或业务发生地检察院申请查询，具体以检察院出具的为准。</w:t>
      </w:r>
    </w:p>
    <w:p>
      <w:pPr>
        <w:pStyle w:val="6"/>
        <w:keepNext w:val="0"/>
        <w:keepLines w:val="0"/>
        <w:widowControl/>
        <w:suppressLineNumbers w:val="0"/>
      </w:pPr>
      <w:r>
        <w:rPr>
          <w:rFonts w:hint="default" w:ascii="Calibri" w:hAnsi="Calibri" w:cs="Calibri"/>
          <w:sz w:val="21"/>
          <w:szCs w:val="21"/>
        </w:rPr>
        <w:t> </w:t>
      </w:r>
    </w:p>
    <w:p>
      <w:pPr>
        <w:pStyle w:val="6"/>
        <w:keepNext w:val="0"/>
        <w:keepLines w:val="0"/>
        <w:widowControl/>
        <w:suppressLineNumbers w:val="0"/>
      </w:pPr>
      <w:r>
        <w:rPr>
          <w:rFonts w:hint="eastAsia" w:ascii="宋体" w:hAnsi="宋体" w:eastAsia="宋体" w:cs="宋体"/>
          <w:sz w:val="21"/>
          <w:szCs w:val="21"/>
        </w:rPr>
        <w:t>★注意：</w:t>
      </w:r>
    </w:p>
    <w:p>
      <w:pPr>
        <w:pStyle w:val="6"/>
        <w:keepNext w:val="0"/>
        <w:keepLines w:val="0"/>
        <w:widowControl/>
        <w:suppressLineNumbers w:val="0"/>
      </w:pPr>
      <w:r>
        <w:rPr>
          <w:rFonts w:hint="eastAsia" w:ascii="宋体" w:hAnsi="宋体" w:eastAsia="宋体" w:cs="宋体"/>
          <w:sz w:val="21"/>
          <w:szCs w:val="21"/>
        </w:rPr>
        <w:t>1、未提供行贿犯罪档案查询结果或查询结果表明投标人有行贿犯罪记录的，</w:t>
      </w:r>
      <w:r>
        <w:rPr>
          <w:rStyle w:val="10"/>
          <w:rFonts w:hint="eastAsia" w:ascii="宋体" w:hAnsi="宋体" w:eastAsia="宋体" w:cs="宋体"/>
          <w:sz w:val="21"/>
          <w:szCs w:val="21"/>
        </w:rPr>
        <w:t>投标无效。</w:t>
      </w:r>
    </w:p>
    <w:p>
      <w:pPr>
        <w:pStyle w:val="6"/>
        <w:keepNext w:val="0"/>
        <w:keepLines w:val="0"/>
        <w:widowControl/>
        <w:suppressLineNumbers w:val="0"/>
      </w:pPr>
      <w:r>
        <w:rPr>
          <w:rFonts w:hint="eastAsia" w:ascii="宋体" w:hAnsi="宋体" w:eastAsia="宋体" w:cs="宋体"/>
          <w:sz w:val="21"/>
          <w:szCs w:val="21"/>
        </w:rPr>
        <w:t>2、若从检察机关指定网站下载打印或截图告知函，则告知函应为从前述指定网站获取的查询结果原始页面的打印件（或截图），否则</w:t>
      </w:r>
      <w:r>
        <w:rPr>
          <w:rStyle w:val="10"/>
          <w:rFonts w:hint="eastAsia" w:ascii="宋体" w:hAnsi="宋体" w:eastAsia="宋体" w:cs="宋体"/>
          <w:sz w:val="21"/>
          <w:szCs w:val="21"/>
        </w:rPr>
        <w:t>投标无效。</w:t>
      </w:r>
    </w:p>
    <w:p>
      <w:pPr>
        <w:pStyle w:val="6"/>
        <w:keepNext w:val="0"/>
        <w:keepLines w:val="0"/>
        <w:widowControl/>
        <w:suppressLineNumbers w:val="0"/>
      </w:pPr>
      <w:r>
        <w:rPr>
          <w:rFonts w:hint="eastAsia" w:ascii="宋体" w:hAnsi="宋体" w:eastAsia="宋体" w:cs="宋体"/>
          <w:sz w:val="21"/>
          <w:szCs w:val="21"/>
        </w:rPr>
        <w:t>3、告知函应在有效期内且内容完整、清晰、整洁，否则</w:t>
      </w:r>
      <w:r>
        <w:rPr>
          <w:rStyle w:val="10"/>
          <w:rFonts w:hint="eastAsia" w:ascii="宋体" w:hAnsi="宋体" w:eastAsia="宋体" w:cs="宋体"/>
          <w:sz w:val="21"/>
          <w:szCs w:val="21"/>
        </w:rPr>
        <w:t>投标无效。</w:t>
      </w:r>
    </w:p>
    <w:p>
      <w:pPr>
        <w:pStyle w:val="6"/>
        <w:keepNext w:val="0"/>
        <w:keepLines w:val="0"/>
        <w:widowControl/>
        <w:suppressLineNumbers w:val="0"/>
      </w:pPr>
      <w:r>
        <w:rPr>
          <w:rFonts w:hint="eastAsia" w:ascii="宋体" w:hAnsi="宋体" w:eastAsia="宋体" w:cs="宋体"/>
          <w:sz w:val="21"/>
          <w:szCs w:val="21"/>
        </w:rPr>
        <w:t>4、有效期内的告知函复印件（含扫描件）及符合招标文件第七章规定的打印件（或截图），无论内容中是否注明“复印件无效”，</w:t>
      </w:r>
      <w:r>
        <w:rPr>
          <w:rStyle w:val="10"/>
          <w:rFonts w:hint="eastAsia" w:ascii="宋体" w:hAnsi="宋体" w:eastAsia="宋体" w:cs="宋体"/>
          <w:sz w:val="21"/>
          <w:szCs w:val="21"/>
        </w:rPr>
        <w:t>均视同有效。</w:t>
      </w:r>
    </w:p>
    <w:p>
      <w:pPr>
        <w:pStyle w:val="6"/>
        <w:keepNext w:val="0"/>
        <w:keepLines w:val="0"/>
        <w:widowControl/>
        <w:suppressLineNumbers w:val="0"/>
      </w:pPr>
      <w:r>
        <w:rPr>
          <w:rFonts w:hint="eastAsia" w:ascii="宋体" w:hAnsi="宋体" w:eastAsia="宋体" w:cs="宋体"/>
          <w:sz w:val="21"/>
          <w:szCs w:val="21"/>
        </w:rPr>
        <w:t>5、无法获取有效期内检察机关行贿犯罪档案查询结果告知函的，应在《参加采购活动前三年内在经营活动中没有重大违法记录书面声明》中对近三年无行贿犯罪记录进行声明。</w:t>
      </w:r>
    </w:p>
    <w:p>
      <w:pPr>
        <w:pStyle w:val="6"/>
        <w:keepNext w:val="0"/>
        <w:keepLines w:val="0"/>
        <w:widowControl/>
        <w:suppressLineNumbers w:val="0"/>
        <w:jc w:val="center"/>
      </w:pPr>
      <w:r>
        <w:rPr>
          <w:rFonts w:hint="eastAsia" w:ascii="宋体" w:hAnsi="宋体" w:eastAsia="宋体" w:cs="宋体"/>
          <w:sz w:val="21"/>
          <w:szCs w:val="21"/>
        </w:rPr>
        <w:br w:type="textWrapping"/>
      </w:r>
      <w:r>
        <w:rPr>
          <w:rStyle w:val="10"/>
          <w:rFonts w:hint="eastAsia" w:ascii="宋体" w:hAnsi="宋体" w:eastAsia="宋体" w:cs="宋体"/>
          <w:sz w:val="21"/>
          <w:szCs w:val="21"/>
        </w:rPr>
        <w:t>二-10联合体协议（若有）</w:t>
      </w:r>
    </w:p>
    <w:p>
      <w:pPr>
        <w:pStyle w:val="6"/>
        <w:keepNext w:val="0"/>
        <w:keepLines w:val="0"/>
        <w:widowControl/>
        <w:suppressLineNumbers w:val="0"/>
      </w:pPr>
      <w:r>
        <w:rPr>
          <w:rFonts w:hint="eastAsia" w:ascii="宋体" w:hAnsi="宋体" w:eastAsia="宋体" w:cs="宋体"/>
          <w:sz w:val="21"/>
          <w:szCs w:val="21"/>
        </w:rPr>
        <w:t> </w:t>
      </w:r>
    </w:p>
    <w:p>
      <w:pPr>
        <w:pStyle w:val="6"/>
        <w:keepNext w:val="0"/>
        <w:keepLines w:val="0"/>
        <w:widowControl/>
        <w:suppressLineNumbers w:val="0"/>
      </w:pPr>
      <w:r>
        <w:rPr>
          <w:rFonts w:hint="eastAsia" w:ascii="宋体" w:hAnsi="宋体" w:eastAsia="宋体" w:cs="宋体"/>
          <w:sz w:val="21"/>
          <w:szCs w:val="21"/>
        </w:rPr>
        <w:t>致：</w:t>
      </w:r>
      <w:r>
        <w:rPr>
          <w:rFonts w:hint="eastAsia" w:ascii="宋体" w:hAnsi="宋体" w:eastAsia="宋体" w:cs="宋体"/>
          <w:sz w:val="21"/>
          <w:szCs w:val="21"/>
          <w:u w:val="single"/>
        </w:rPr>
        <w:t>                     </w:t>
      </w:r>
    </w:p>
    <w:p>
      <w:pPr>
        <w:pStyle w:val="6"/>
        <w:keepNext w:val="0"/>
        <w:keepLines w:val="0"/>
        <w:widowControl/>
        <w:suppressLineNumbers w:val="0"/>
        <w:ind w:left="0" w:firstLine="420"/>
      </w:pPr>
      <w:r>
        <w:rPr>
          <w:rFonts w:hint="eastAsia" w:ascii="宋体" w:hAnsi="宋体" w:eastAsia="宋体" w:cs="宋体"/>
          <w:sz w:val="21"/>
          <w:szCs w:val="21"/>
        </w:rPr>
        <w:t>兹有</w:t>
      </w:r>
      <w:r>
        <w:rPr>
          <w:rFonts w:hint="eastAsia" w:ascii="宋体" w:hAnsi="宋体" w:eastAsia="宋体" w:cs="宋体"/>
          <w:sz w:val="21"/>
          <w:szCs w:val="21"/>
          <w:u w:val="single"/>
        </w:rPr>
        <w:t>（填写“联合体中各方的全称”，各方的全称之间请用“、”分割）</w:t>
      </w:r>
      <w:r>
        <w:rPr>
          <w:rFonts w:hint="eastAsia" w:ascii="宋体" w:hAnsi="宋体" w:eastAsia="宋体" w:cs="宋体"/>
          <w:sz w:val="21"/>
          <w:szCs w:val="21"/>
        </w:rPr>
        <w:t>自愿组成联合体，共同参加</w:t>
      </w:r>
      <w:r>
        <w:rPr>
          <w:rFonts w:hint="eastAsia" w:ascii="宋体" w:hAnsi="宋体" w:eastAsia="宋体" w:cs="宋体"/>
          <w:sz w:val="21"/>
          <w:szCs w:val="21"/>
          <w:u w:val="single"/>
        </w:rPr>
        <w:t>（填写“项目名称”） </w:t>
      </w:r>
      <w:r>
        <w:rPr>
          <w:rFonts w:hint="eastAsia" w:ascii="宋体" w:hAnsi="宋体" w:eastAsia="宋体" w:cs="宋体"/>
          <w:sz w:val="21"/>
          <w:szCs w:val="21"/>
        </w:rPr>
        <w:t>项目（招标编号：</w:t>
      </w:r>
      <w:r>
        <w:rPr>
          <w:rFonts w:hint="eastAsia" w:ascii="宋体" w:hAnsi="宋体" w:eastAsia="宋体" w:cs="宋体"/>
          <w:sz w:val="21"/>
          <w:szCs w:val="21"/>
          <w:u w:val="single"/>
        </w:rPr>
        <w:t>         </w:t>
      </w:r>
      <w:r>
        <w:rPr>
          <w:rFonts w:hint="eastAsia" w:ascii="宋体" w:hAnsi="宋体" w:eastAsia="宋体" w:cs="宋体"/>
          <w:sz w:val="21"/>
          <w:szCs w:val="21"/>
        </w:rPr>
        <w:t>）的投标。现就联合体参加本项目投标的有关事宜达成下列协议：</w:t>
      </w:r>
    </w:p>
    <w:p>
      <w:pPr>
        <w:pStyle w:val="6"/>
        <w:keepNext w:val="0"/>
        <w:keepLines w:val="0"/>
        <w:widowControl/>
        <w:suppressLineNumbers w:val="0"/>
        <w:ind w:left="0" w:firstLine="420"/>
      </w:pPr>
      <w:r>
        <w:rPr>
          <w:rFonts w:hint="eastAsia" w:ascii="宋体" w:hAnsi="宋体" w:eastAsia="宋体" w:cs="宋体"/>
          <w:sz w:val="21"/>
          <w:szCs w:val="21"/>
        </w:rPr>
        <w:t>一、联合体各方应承担的工作和义务具体如下：</w:t>
      </w:r>
    </w:p>
    <w:p>
      <w:pPr>
        <w:pStyle w:val="6"/>
        <w:keepNext w:val="0"/>
        <w:keepLines w:val="0"/>
        <w:widowControl/>
        <w:suppressLineNumbers w:val="0"/>
        <w:ind w:left="0" w:firstLine="420"/>
      </w:pPr>
      <w:r>
        <w:rPr>
          <w:rFonts w:hint="eastAsia" w:ascii="宋体" w:hAnsi="宋体" w:eastAsia="宋体" w:cs="宋体"/>
          <w:sz w:val="21"/>
          <w:szCs w:val="21"/>
        </w:rPr>
        <w:t>1、牵头方（</w:t>
      </w:r>
      <w:r>
        <w:rPr>
          <w:rFonts w:hint="eastAsia" w:ascii="宋体" w:hAnsi="宋体" w:eastAsia="宋体" w:cs="宋体"/>
          <w:sz w:val="21"/>
          <w:szCs w:val="21"/>
          <w:u w:val="single"/>
        </w:rPr>
        <w:t>全称</w:t>
      </w:r>
      <w:r>
        <w:rPr>
          <w:rFonts w:hint="eastAsia" w:ascii="宋体" w:hAnsi="宋体" w:eastAsia="宋体" w:cs="宋体"/>
          <w:sz w:val="21"/>
          <w:szCs w:val="21"/>
        </w:rPr>
        <w:t>）：</w:t>
      </w:r>
      <w:r>
        <w:rPr>
          <w:rFonts w:hint="eastAsia" w:ascii="宋体" w:hAnsi="宋体" w:eastAsia="宋体" w:cs="宋体"/>
          <w:sz w:val="21"/>
          <w:szCs w:val="21"/>
          <w:u w:val="single"/>
        </w:rPr>
        <w:t> （填写“工作及义务的具体内容”） </w:t>
      </w:r>
      <w:r>
        <w:rPr>
          <w:rFonts w:hint="eastAsia" w:ascii="宋体" w:hAnsi="宋体" w:eastAsia="宋体" w:cs="宋体"/>
          <w:sz w:val="21"/>
          <w:szCs w:val="21"/>
        </w:rPr>
        <w:t>；</w:t>
      </w:r>
    </w:p>
    <w:p>
      <w:pPr>
        <w:pStyle w:val="6"/>
        <w:keepNext w:val="0"/>
        <w:keepLines w:val="0"/>
        <w:widowControl/>
        <w:suppressLineNumbers w:val="0"/>
        <w:ind w:left="0" w:firstLine="420"/>
      </w:pPr>
      <w:r>
        <w:rPr>
          <w:rFonts w:hint="eastAsia" w:ascii="宋体" w:hAnsi="宋体" w:eastAsia="宋体" w:cs="宋体"/>
          <w:sz w:val="21"/>
          <w:szCs w:val="21"/>
        </w:rPr>
        <w:t>2、成员方：</w:t>
      </w:r>
    </w:p>
    <w:p>
      <w:pPr>
        <w:pStyle w:val="6"/>
        <w:keepNext w:val="0"/>
        <w:keepLines w:val="0"/>
        <w:widowControl/>
        <w:suppressLineNumbers w:val="0"/>
        <w:ind w:left="0" w:firstLine="420"/>
      </w:pPr>
      <w:r>
        <w:rPr>
          <w:rFonts w:hint="eastAsia" w:ascii="宋体" w:hAnsi="宋体" w:eastAsia="宋体" w:cs="宋体"/>
          <w:sz w:val="21"/>
          <w:szCs w:val="21"/>
        </w:rPr>
        <w:t>2.1</w:t>
      </w:r>
      <w:r>
        <w:rPr>
          <w:rFonts w:hint="eastAsia" w:ascii="宋体" w:hAnsi="宋体" w:eastAsia="宋体" w:cs="宋体"/>
          <w:sz w:val="21"/>
          <w:szCs w:val="21"/>
          <w:u w:val="single"/>
        </w:rPr>
        <w:t>（成员一的全称）</w:t>
      </w:r>
      <w:r>
        <w:rPr>
          <w:rFonts w:hint="eastAsia" w:ascii="宋体" w:hAnsi="宋体" w:eastAsia="宋体" w:cs="宋体"/>
          <w:sz w:val="21"/>
          <w:szCs w:val="21"/>
        </w:rPr>
        <w:t>：</w:t>
      </w:r>
      <w:r>
        <w:rPr>
          <w:rFonts w:hint="eastAsia" w:ascii="宋体" w:hAnsi="宋体" w:eastAsia="宋体" w:cs="宋体"/>
          <w:sz w:val="21"/>
          <w:szCs w:val="21"/>
          <w:u w:val="single"/>
        </w:rPr>
        <w:t> （填写“工作及义务的具体内容”） </w:t>
      </w:r>
      <w:r>
        <w:rPr>
          <w:rFonts w:hint="eastAsia" w:ascii="宋体" w:hAnsi="宋体" w:eastAsia="宋体" w:cs="宋体"/>
          <w:sz w:val="21"/>
          <w:szCs w:val="21"/>
        </w:rPr>
        <w:t>；</w:t>
      </w:r>
    </w:p>
    <w:p>
      <w:pPr>
        <w:pStyle w:val="6"/>
        <w:keepNext w:val="0"/>
        <w:keepLines w:val="0"/>
        <w:widowControl/>
        <w:suppressLineNumbers w:val="0"/>
        <w:ind w:left="0" w:firstLine="420"/>
      </w:pPr>
      <w:r>
        <w:rPr>
          <w:rFonts w:hint="default" w:ascii="Calibri" w:hAnsi="Calibri" w:cs="Calibri"/>
          <w:sz w:val="21"/>
          <w:szCs w:val="21"/>
        </w:rPr>
        <w:t>……</w:t>
      </w:r>
      <w:r>
        <w:rPr>
          <w:rFonts w:hint="eastAsia" w:ascii="宋体" w:hAnsi="宋体" w:eastAsia="宋体" w:cs="宋体"/>
          <w:sz w:val="21"/>
          <w:szCs w:val="21"/>
        </w:rPr>
        <w:t>。</w:t>
      </w:r>
    </w:p>
    <w:p>
      <w:pPr>
        <w:pStyle w:val="6"/>
        <w:keepNext w:val="0"/>
        <w:keepLines w:val="0"/>
        <w:widowControl/>
        <w:suppressLineNumbers w:val="0"/>
        <w:ind w:left="0" w:firstLine="420"/>
      </w:pPr>
      <w:r>
        <w:rPr>
          <w:rFonts w:hint="eastAsia" w:ascii="宋体" w:hAnsi="宋体" w:eastAsia="宋体" w:cs="宋体"/>
          <w:sz w:val="21"/>
          <w:szCs w:val="21"/>
        </w:rPr>
        <w:t>二、联合体各方约定：</w:t>
      </w:r>
    </w:p>
    <w:p>
      <w:pPr>
        <w:pStyle w:val="6"/>
        <w:keepNext w:val="0"/>
        <w:keepLines w:val="0"/>
        <w:widowControl/>
        <w:suppressLineNumbers w:val="0"/>
        <w:ind w:left="0" w:firstLine="420"/>
      </w:pPr>
      <w:r>
        <w:rPr>
          <w:rFonts w:hint="eastAsia" w:ascii="宋体" w:hAnsi="宋体" w:eastAsia="宋体" w:cs="宋体"/>
          <w:sz w:val="21"/>
          <w:szCs w:val="21"/>
        </w:rPr>
        <w:t>1、由</w:t>
      </w:r>
      <w:r>
        <w:rPr>
          <w:rFonts w:hint="eastAsia" w:ascii="宋体" w:hAnsi="宋体" w:eastAsia="宋体" w:cs="宋体"/>
          <w:sz w:val="21"/>
          <w:szCs w:val="21"/>
          <w:u w:val="single"/>
        </w:rPr>
        <w:t>（填写“牵头方的全称”）</w:t>
      </w:r>
      <w:r>
        <w:rPr>
          <w:rFonts w:hint="eastAsia" w:ascii="宋体" w:hAnsi="宋体" w:eastAsia="宋体" w:cs="宋体"/>
          <w:sz w:val="21"/>
          <w:szCs w:val="21"/>
        </w:rPr>
        <w:t>代表联合体办理参加本项目投标的有关事宜（包括但不限于：报名、派出投标人代表、提交投标文件及参加开标、谈判、澄清等），在此过程中，投标人代表签字的一切文件和处理结果，联合体均予以认可并对此承担责任。</w:t>
      </w:r>
    </w:p>
    <w:p>
      <w:pPr>
        <w:pStyle w:val="6"/>
        <w:keepNext w:val="0"/>
        <w:keepLines w:val="0"/>
        <w:widowControl/>
        <w:suppressLineNumbers w:val="0"/>
        <w:ind w:left="0" w:firstLine="420"/>
      </w:pPr>
      <w:r>
        <w:rPr>
          <w:rFonts w:hint="eastAsia" w:ascii="宋体" w:hAnsi="宋体" w:eastAsia="宋体" w:cs="宋体"/>
          <w:sz w:val="21"/>
          <w:szCs w:val="21"/>
        </w:rPr>
        <w:t>2、联合体各方约定由</w:t>
      </w:r>
      <w:r>
        <w:rPr>
          <w:rFonts w:hint="eastAsia" w:ascii="宋体" w:hAnsi="宋体" w:eastAsia="宋体" w:cs="宋体"/>
          <w:sz w:val="21"/>
          <w:szCs w:val="21"/>
          <w:u w:val="single"/>
        </w:rPr>
        <w:t>（填写“牵头方的全称”）</w:t>
      </w:r>
      <w:r>
        <w:rPr>
          <w:rFonts w:hint="eastAsia" w:ascii="宋体" w:hAnsi="宋体" w:eastAsia="宋体" w:cs="宋体"/>
          <w:sz w:val="21"/>
          <w:szCs w:val="21"/>
        </w:rPr>
        <w:t>代表联合体办理投标保证金事宜。</w:t>
      </w:r>
    </w:p>
    <w:p>
      <w:pPr>
        <w:pStyle w:val="6"/>
        <w:keepNext w:val="0"/>
        <w:keepLines w:val="0"/>
        <w:widowControl/>
        <w:suppressLineNumbers w:val="0"/>
      </w:pPr>
      <w:r>
        <w:rPr>
          <w:rFonts w:hint="eastAsia" w:ascii="宋体" w:hAnsi="宋体" w:eastAsia="宋体" w:cs="宋体"/>
          <w:sz w:val="21"/>
          <w:szCs w:val="21"/>
        </w:rPr>
        <w:t>  3、</w:t>
      </w:r>
      <w:r>
        <w:rPr>
          <w:rFonts w:hint="eastAsia" w:ascii="宋体" w:hAnsi="宋体" w:eastAsia="宋体" w:cs="宋体"/>
          <w:i w:val="0"/>
          <w:color w:val="000000"/>
          <w:spacing w:val="0"/>
          <w:sz w:val="21"/>
          <w:szCs w:val="21"/>
        </w:rPr>
        <w:t>根据福建省财政厅文件（闽财购[2008]10号）的规定，若本项目采用综合评分法，则联合体只能确定由其中一方的条件参与商务部分的评标。因此，联合体各方约定以</w:t>
      </w:r>
      <w:r>
        <w:rPr>
          <w:rFonts w:hint="eastAsia" w:ascii="宋体" w:hAnsi="宋体" w:eastAsia="宋体" w:cs="宋体"/>
          <w:i w:val="0"/>
          <w:color w:val="000000"/>
          <w:spacing w:val="0"/>
          <w:sz w:val="21"/>
          <w:szCs w:val="21"/>
          <w:u w:val="single"/>
        </w:rPr>
        <w:t>（应填写“其中一方的全称”，如：联合体确定以成员一的条件参与商务部分的评标，则填写“成员一的全称”…；否则填写“无”）</w:t>
      </w:r>
      <w:r>
        <w:rPr>
          <w:rFonts w:hint="eastAsia" w:ascii="宋体" w:hAnsi="宋体" w:eastAsia="宋体" w:cs="宋体"/>
          <w:i w:val="0"/>
          <w:color w:val="000000"/>
          <w:spacing w:val="0"/>
          <w:sz w:val="21"/>
          <w:szCs w:val="21"/>
        </w:rPr>
        <w:t>的条件参与商务部分的评标。</w:t>
      </w:r>
    </w:p>
    <w:p>
      <w:pPr>
        <w:pStyle w:val="6"/>
        <w:keepNext w:val="0"/>
        <w:keepLines w:val="0"/>
        <w:widowControl/>
        <w:suppressLineNumbers w:val="0"/>
        <w:ind w:left="0" w:firstLine="420"/>
      </w:pPr>
      <w:r>
        <w:rPr>
          <w:rFonts w:hint="eastAsia" w:ascii="宋体" w:hAnsi="宋体" w:eastAsia="宋体" w:cs="宋体"/>
          <w:sz w:val="21"/>
          <w:szCs w:val="21"/>
        </w:rPr>
        <w:t>三、若中标，牵头方将代表联合体与采购人就合同签订事宜进行协商；若协商一致，则联合体各方将共同与采购人签订政府采购合同，并就政府采购合同约定的事项对采购人承担连带责任。</w:t>
      </w:r>
    </w:p>
    <w:p>
      <w:pPr>
        <w:pStyle w:val="6"/>
        <w:keepNext w:val="0"/>
        <w:keepLines w:val="0"/>
        <w:widowControl/>
        <w:suppressLineNumbers w:val="0"/>
        <w:ind w:left="0" w:firstLine="420"/>
      </w:pPr>
      <w:r>
        <w:rPr>
          <w:rFonts w:hint="eastAsia" w:ascii="宋体" w:hAnsi="宋体" w:eastAsia="宋体" w:cs="宋体"/>
          <w:sz w:val="21"/>
          <w:szCs w:val="21"/>
        </w:rPr>
        <w:t>四、本协议自签署之日起生效，政府采购合同履行完毕后自动失效。</w:t>
      </w:r>
    </w:p>
    <w:p>
      <w:pPr>
        <w:pStyle w:val="6"/>
        <w:keepNext w:val="0"/>
        <w:keepLines w:val="0"/>
        <w:widowControl/>
        <w:suppressLineNumbers w:val="0"/>
        <w:ind w:left="0" w:firstLine="420"/>
      </w:pPr>
      <w:r>
        <w:rPr>
          <w:rFonts w:hint="eastAsia" w:ascii="宋体" w:hAnsi="宋体" w:eastAsia="宋体" w:cs="宋体"/>
          <w:sz w:val="21"/>
          <w:szCs w:val="21"/>
        </w:rPr>
        <w:t>五、本协议一式</w:t>
      </w:r>
      <w:r>
        <w:rPr>
          <w:rFonts w:hint="eastAsia" w:ascii="宋体" w:hAnsi="宋体" w:eastAsia="宋体" w:cs="宋体"/>
          <w:sz w:val="21"/>
          <w:szCs w:val="21"/>
          <w:u w:val="single"/>
        </w:rPr>
        <w:t>（填写具体份数）</w:t>
      </w:r>
      <w:r>
        <w:rPr>
          <w:rFonts w:hint="eastAsia" w:ascii="宋体" w:hAnsi="宋体" w:eastAsia="宋体" w:cs="宋体"/>
          <w:sz w:val="21"/>
          <w:szCs w:val="21"/>
        </w:rPr>
        <w:t>份，联合体各方各执一份，投标文件中提交一份。</w:t>
      </w:r>
    </w:p>
    <w:p>
      <w:pPr>
        <w:pStyle w:val="6"/>
        <w:keepNext w:val="0"/>
        <w:keepLines w:val="0"/>
        <w:widowControl/>
        <w:suppressLineNumbers w:val="0"/>
        <w:jc w:val="center"/>
      </w:pPr>
      <w:r>
        <w:rPr>
          <w:rFonts w:hint="eastAsia" w:ascii="宋体" w:hAnsi="宋体" w:eastAsia="宋体" w:cs="宋体"/>
          <w:sz w:val="21"/>
          <w:szCs w:val="21"/>
        </w:rPr>
        <w:t>（以下无正文）</w:t>
      </w:r>
    </w:p>
    <w:p>
      <w:pPr>
        <w:pStyle w:val="6"/>
        <w:keepNext w:val="0"/>
        <w:keepLines w:val="0"/>
        <w:widowControl/>
        <w:suppressLineNumbers w:val="0"/>
      </w:pPr>
      <w:r>
        <w:rPr>
          <w:rFonts w:hint="eastAsia" w:ascii="宋体" w:hAnsi="宋体" w:eastAsia="宋体" w:cs="宋体"/>
          <w:sz w:val="21"/>
          <w:szCs w:val="21"/>
        </w:rPr>
        <w:t> </w:t>
      </w:r>
    </w:p>
    <w:p>
      <w:pPr>
        <w:pStyle w:val="6"/>
        <w:keepNext w:val="0"/>
        <w:keepLines w:val="0"/>
        <w:widowControl/>
        <w:suppressLineNumbers w:val="0"/>
      </w:pPr>
      <w:r>
        <w:rPr>
          <w:rFonts w:hint="eastAsia" w:ascii="宋体" w:hAnsi="宋体" w:eastAsia="宋体" w:cs="宋体"/>
          <w:sz w:val="21"/>
          <w:szCs w:val="21"/>
        </w:rPr>
        <w:t>牵头方：</w:t>
      </w:r>
      <w:r>
        <w:rPr>
          <w:rFonts w:hint="eastAsia" w:ascii="宋体" w:hAnsi="宋体" w:eastAsia="宋体" w:cs="宋体"/>
          <w:sz w:val="21"/>
          <w:szCs w:val="21"/>
          <w:u w:val="single"/>
        </w:rPr>
        <w:t>（全称并加盖单位公章）</w:t>
      </w:r>
    </w:p>
    <w:p>
      <w:pPr>
        <w:pStyle w:val="6"/>
        <w:keepNext w:val="0"/>
        <w:keepLines w:val="0"/>
        <w:widowControl/>
        <w:suppressLineNumbers w:val="0"/>
      </w:pPr>
      <w:r>
        <w:rPr>
          <w:rFonts w:hint="eastAsia" w:ascii="宋体" w:hAnsi="宋体" w:eastAsia="宋体" w:cs="宋体"/>
          <w:sz w:val="21"/>
          <w:szCs w:val="21"/>
        </w:rPr>
        <w:t>法定代表人或其委托代理人：</w:t>
      </w:r>
      <w:r>
        <w:rPr>
          <w:rFonts w:hint="eastAsia" w:ascii="宋体" w:hAnsi="宋体" w:eastAsia="宋体" w:cs="宋体"/>
          <w:sz w:val="21"/>
          <w:szCs w:val="21"/>
          <w:u w:val="single"/>
        </w:rPr>
        <w:t>  （签字或盖章）  </w:t>
      </w:r>
    </w:p>
    <w:p>
      <w:pPr>
        <w:pStyle w:val="6"/>
        <w:keepNext w:val="0"/>
        <w:keepLines w:val="0"/>
        <w:widowControl/>
        <w:suppressLineNumbers w:val="0"/>
      </w:pPr>
      <w:r>
        <w:rPr>
          <w:rFonts w:hint="eastAsia" w:ascii="宋体" w:hAnsi="宋体" w:eastAsia="宋体" w:cs="宋体"/>
          <w:sz w:val="21"/>
          <w:szCs w:val="21"/>
        </w:rPr>
        <w:t> </w:t>
      </w:r>
    </w:p>
    <w:p>
      <w:pPr>
        <w:pStyle w:val="6"/>
        <w:keepNext w:val="0"/>
        <w:keepLines w:val="0"/>
        <w:widowControl/>
        <w:suppressLineNumbers w:val="0"/>
      </w:pPr>
      <w:r>
        <w:rPr>
          <w:rFonts w:hint="eastAsia" w:ascii="宋体" w:hAnsi="宋体" w:eastAsia="宋体" w:cs="宋体"/>
          <w:sz w:val="21"/>
          <w:szCs w:val="21"/>
        </w:rPr>
        <w:t>成员一：</w:t>
      </w:r>
      <w:r>
        <w:rPr>
          <w:rFonts w:hint="eastAsia" w:ascii="宋体" w:hAnsi="宋体" w:eastAsia="宋体" w:cs="宋体"/>
          <w:sz w:val="21"/>
          <w:szCs w:val="21"/>
          <w:u w:val="single"/>
        </w:rPr>
        <w:t>（全称并加盖成员一的单位公章）</w:t>
      </w:r>
    </w:p>
    <w:p>
      <w:pPr>
        <w:pStyle w:val="6"/>
        <w:keepNext w:val="0"/>
        <w:keepLines w:val="0"/>
        <w:widowControl/>
        <w:suppressLineNumbers w:val="0"/>
      </w:pPr>
      <w:r>
        <w:rPr>
          <w:rFonts w:hint="eastAsia" w:ascii="宋体" w:hAnsi="宋体" w:eastAsia="宋体" w:cs="宋体"/>
          <w:sz w:val="21"/>
          <w:szCs w:val="21"/>
        </w:rPr>
        <w:t>法定代表人或其委托代理人：</w:t>
      </w:r>
      <w:r>
        <w:rPr>
          <w:rFonts w:hint="eastAsia" w:ascii="宋体" w:hAnsi="宋体" w:eastAsia="宋体" w:cs="宋体"/>
          <w:sz w:val="21"/>
          <w:szCs w:val="21"/>
          <w:u w:val="single"/>
        </w:rPr>
        <w:t>  （签字或盖章）  </w:t>
      </w:r>
    </w:p>
    <w:p>
      <w:pPr>
        <w:pStyle w:val="6"/>
        <w:keepNext w:val="0"/>
        <w:keepLines w:val="0"/>
        <w:widowControl/>
        <w:suppressLineNumbers w:val="0"/>
      </w:pPr>
      <w:r>
        <w:rPr>
          <w:rFonts w:hint="eastAsia" w:ascii="宋体" w:hAnsi="宋体" w:eastAsia="宋体" w:cs="宋体"/>
          <w:sz w:val="21"/>
          <w:szCs w:val="21"/>
        </w:rPr>
        <w:t>……</w:t>
      </w:r>
    </w:p>
    <w:p>
      <w:pPr>
        <w:pStyle w:val="6"/>
        <w:keepNext w:val="0"/>
        <w:keepLines w:val="0"/>
        <w:widowControl/>
        <w:suppressLineNumbers w:val="0"/>
      </w:pPr>
      <w:r>
        <w:rPr>
          <w:rFonts w:hint="eastAsia" w:ascii="宋体" w:hAnsi="宋体" w:eastAsia="宋体" w:cs="宋体"/>
          <w:sz w:val="21"/>
          <w:szCs w:val="21"/>
        </w:rPr>
        <w:t> </w:t>
      </w:r>
    </w:p>
    <w:p>
      <w:pPr>
        <w:pStyle w:val="6"/>
        <w:keepNext w:val="0"/>
        <w:keepLines w:val="0"/>
        <w:widowControl/>
        <w:suppressLineNumbers w:val="0"/>
      </w:pPr>
      <w:r>
        <w:rPr>
          <w:rFonts w:hint="eastAsia" w:ascii="宋体" w:hAnsi="宋体" w:eastAsia="宋体" w:cs="宋体"/>
          <w:sz w:val="21"/>
          <w:szCs w:val="21"/>
        </w:rPr>
        <w:t>成员**：</w:t>
      </w:r>
      <w:r>
        <w:rPr>
          <w:rFonts w:hint="eastAsia" w:ascii="宋体" w:hAnsi="宋体" w:eastAsia="宋体" w:cs="宋体"/>
          <w:sz w:val="21"/>
          <w:szCs w:val="21"/>
          <w:u w:val="single"/>
        </w:rPr>
        <w:t>（全称并加盖成员**的单位公章）</w:t>
      </w:r>
    </w:p>
    <w:p>
      <w:pPr>
        <w:pStyle w:val="6"/>
        <w:keepNext w:val="0"/>
        <w:keepLines w:val="0"/>
        <w:widowControl/>
        <w:suppressLineNumbers w:val="0"/>
      </w:pPr>
      <w:r>
        <w:rPr>
          <w:rFonts w:hint="eastAsia" w:ascii="宋体" w:hAnsi="宋体" w:eastAsia="宋体" w:cs="宋体"/>
          <w:sz w:val="21"/>
          <w:szCs w:val="21"/>
        </w:rPr>
        <w:t>法定代表人或其委托代理人：</w:t>
      </w:r>
      <w:r>
        <w:rPr>
          <w:rFonts w:hint="eastAsia" w:ascii="宋体" w:hAnsi="宋体" w:eastAsia="宋体" w:cs="宋体"/>
          <w:sz w:val="21"/>
          <w:szCs w:val="21"/>
          <w:u w:val="single"/>
        </w:rPr>
        <w:t>  （签字或盖章）  </w:t>
      </w:r>
    </w:p>
    <w:p>
      <w:pPr>
        <w:pStyle w:val="6"/>
        <w:keepNext w:val="0"/>
        <w:keepLines w:val="0"/>
        <w:widowControl/>
        <w:suppressLineNumbers w:val="0"/>
      </w:pPr>
      <w:r>
        <w:rPr>
          <w:rFonts w:hint="eastAsia" w:ascii="宋体" w:hAnsi="宋体" w:eastAsia="宋体" w:cs="宋体"/>
          <w:sz w:val="21"/>
          <w:szCs w:val="21"/>
        </w:rPr>
        <w:t> </w:t>
      </w:r>
    </w:p>
    <w:p>
      <w:pPr>
        <w:pStyle w:val="6"/>
        <w:keepNext w:val="0"/>
        <w:keepLines w:val="0"/>
        <w:widowControl/>
        <w:suppressLineNumbers w:val="0"/>
      </w:pPr>
      <w:r>
        <w:rPr>
          <w:rFonts w:hint="eastAsia" w:ascii="宋体" w:hAnsi="宋体" w:eastAsia="宋体" w:cs="宋体"/>
          <w:sz w:val="21"/>
          <w:szCs w:val="21"/>
        </w:rPr>
        <w:t> </w:t>
      </w:r>
    </w:p>
    <w:p>
      <w:pPr>
        <w:pStyle w:val="6"/>
        <w:keepNext w:val="0"/>
        <w:keepLines w:val="0"/>
        <w:widowControl/>
        <w:suppressLineNumbers w:val="0"/>
        <w:jc w:val="right"/>
      </w:pPr>
      <w:r>
        <w:rPr>
          <w:rFonts w:hint="eastAsia" w:ascii="宋体" w:hAnsi="宋体" w:eastAsia="宋体" w:cs="宋体"/>
          <w:sz w:val="21"/>
          <w:szCs w:val="21"/>
        </w:rPr>
        <w:t>签署日期：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6"/>
        <w:keepNext w:val="0"/>
        <w:keepLines w:val="0"/>
        <w:widowControl/>
        <w:suppressLineNumbers w:val="0"/>
      </w:pPr>
      <w:r>
        <w:rPr>
          <w:rFonts w:hint="eastAsia" w:ascii="宋体" w:hAnsi="宋体" w:eastAsia="宋体" w:cs="宋体"/>
          <w:sz w:val="21"/>
          <w:szCs w:val="21"/>
        </w:rPr>
        <w:t> </w:t>
      </w:r>
    </w:p>
    <w:p>
      <w:pPr>
        <w:pStyle w:val="6"/>
        <w:keepNext w:val="0"/>
        <w:keepLines w:val="0"/>
        <w:widowControl/>
        <w:suppressLineNumbers w:val="0"/>
      </w:pPr>
      <w:r>
        <w:rPr>
          <w:rFonts w:hint="eastAsia" w:ascii="宋体" w:hAnsi="宋体" w:eastAsia="宋体" w:cs="宋体"/>
          <w:sz w:val="21"/>
          <w:szCs w:val="21"/>
        </w:rPr>
        <w:t>★注意：</w:t>
      </w:r>
    </w:p>
    <w:p>
      <w:pPr>
        <w:pStyle w:val="6"/>
        <w:keepNext w:val="0"/>
        <w:keepLines w:val="0"/>
        <w:widowControl/>
        <w:suppressLineNumbers w:val="0"/>
      </w:pPr>
      <w:r>
        <w:rPr>
          <w:rFonts w:hint="eastAsia" w:ascii="宋体" w:hAnsi="宋体" w:eastAsia="宋体" w:cs="宋体"/>
          <w:sz w:val="21"/>
          <w:szCs w:val="21"/>
        </w:rPr>
        <w:t>1、招标文件接受联合体投标且投标人为联合体的，投标人应提供本协议；否则无须提供。</w:t>
      </w:r>
    </w:p>
    <w:p>
      <w:pPr>
        <w:pStyle w:val="6"/>
        <w:keepNext w:val="0"/>
        <w:keepLines w:val="0"/>
        <w:widowControl/>
        <w:suppressLineNumbers w:val="0"/>
      </w:pPr>
      <w:r>
        <w:rPr>
          <w:rFonts w:hint="eastAsia" w:ascii="宋体" w:hAnsi="宋体" w:eastAsia="宋体" w:cs="宋体"/>
          <w:sz w:val="21"/>
          <w:szCs w:val="21"/>
        </w:rPr>
        <w:t>2、本协议由委托代理人签字或盖章的，应按照本章载明的格式提供“单位负责人授权书”。</w:t>
      </w:r>
    </w:p>
    <w:p>
      <w:pPr>
        <w:pStyle w:val="6"/>
        <w:keepNext w:val="0"/>
        <w:keepLines w:val="0"/>
        <w:widowControl/>
        <w:suppressLineNumbers w:val="0"/>
      </w:pPr>
      <w:r>
        <w:rPr>
          <w:rFonts w:hint="eastAsia" w:ascii="宋体" w:hAnsi="宋体" w:eastAsia="宋体" w:cs="宋体"/>
          <w:sz w:val="21"/>
          <w:szCs w:val="21"/>
        </w:rPr>
        <w:t>3、纸质投标文件正本中的本协议（若有）应为原件。</w:t>
      </w:r>
    </w:p>
    <w:p>
      <w:pPr>
        <w:pStyle w:val="6"/>
        <w:keepNext w:val="0"/>
        <w:keepLines w:val="0"/>
        <w:widowControl/>
        <w:suppressLineNumbers w:val="0"/>
      </w:pPr>
      <w:r>
        <w:rPr>
          <w:rFonts w:hint="eastAsia" w:ascii="宋体" w:hAnsi="宋体" w:eastAsia="宋体" w:cs="宋体"/>
          <w:sz w:val="21"/>
          <w:szCs w:val="21"/>
        </w:rPr>
        <w:t> </w:t>
      </w:r>
    </w:p>
    <w:p>
      <w:pPr>
        <w:pStyle w:val="6"/>
        <w:keepNext w:val="0"/>
        <w:keepLines w:val="0"/>
        <w:widowControl/>
        <w:suppressLineNumbers w:val="0"/>
      </w:pPr>
      <w:r>
        <w:rPr>
          <w:rFonts w:hint="eastAsia" w:ascii="宋体" w:hAnsi="宋体" w:eastAsia="宋体" w:cs="宋体"/>
          <w:sz w:val="21"/>
          <w:szCs w:val="21"/>
        </w:rPr>
        <w:t> </w:t>
      </w:r>
    </w:p>
    <w:p>
      <w:pPr>
        <w:pStyle w:val="6"/>
        <w:keepNext w:val="0"/>
        <w:keepLines w:val="0"/>
        <w:widowControl/>
        <w:suppressLineNumbers w:val="0"/>
        <w:jc w:val="center"/>
      </w:pPr>
      <w:r>
        <w:rPr>
          <w:rFonts w:hint="default" w:ascii="Calibri" w:hAnsi="Calibri" w:cs="Calibri"/>
          <w:sz w:val="21"/>
          <w:szCs w:val="21"/>
        </w:rPr>
        <w:br w:type="textWrapping"/>
      </w:r>
      <w:r>
        <w:rPr>
          <w:rStyle w:val="10"/>
          <w:rFonts w:hint="eastAsia" w:ascii="宋体" w:hAnsi="宋体" w:eastAsia="宋体" w:cs="宋体"/>
          <w:sz w:val="21"/>
          <w:szCs w:val="21"/>
        </w:rPr>
        <w:t>二-11中小企业声明函</w:t>
      </w:r>
    </w:p>
    <w:p>
      <w:pPr>
        <w:pStyle w:val="6"/>
        <w:keepNext w:val="0"/>
        <w:keepLines w:val="0"/>
        <w:widowControl/>
        <w:suppressLineNumbers w:val="0"/>
        <w:jc w:val="center"/>
      </w:pPr>
      <w:r>
        <w:rPr>
          <w:rStyle w:val="10"/>
          <w:rFonts w:hint="eastAsia" w:ascii="宋体" w:hAnsi="宋体" w:eastAsia="宋体" w:cs="宋体"/>
          <w:sz w:val="21"/>
          <w:szCs w:val="21"/>
        </w:rPr>
        <w:t>（专门面向中小企业或小型、微型企业适用，若有）</w:t>
      </w:r>
    </w:p>
    <w:p>
      <w:pPr>
        <w:pStyle w:val="6"/>
        <w:keepNext w:val="0"/>
        <w:keepLines w:val="0"/>
        <w:widowControl/>
        <w:suppressLineNumbers w:val="0"/>
      </w:pPr>
      <w:r>
        <w:rPr>
          <w:rStyle w:val="10"/>
          <w:rFonts w:hint="eastAsia" w:ascii="宋体" w:hAnsi="宋体" w:eastAsia="宋体" w:cs="宋体"/>
          <w:sz w:val="21"/>
          <w:szCs w:val="21"/>
        </w:rPr>
        <w:t> </w:t>
      </w:r>
    </w:p>
    <w:p>
      <w:pPr>
        <w:pStyle w:val="6"/>
        <w:keepNext w:val="0"/>
        <w:keepLines w:val="0"/>
        <w:widowControl/>
        <w:suppressLineNumbers w:val="0"/>
        <w:ind w:left="0" w:firstLine="420"/>
      </w:pPr>
      <w:r>
        <w:rPr>
          <w:rFonts w:hint="eastAsia" w:ascii="宋体" w:hAnsi="宋体" w:eastAsia="宋体" w:cs="宋体"/>
          <w:sz w:val="21"/>
          <w:szCs w:val="21"/>
        </w:rPr>
        <w:t>本投标人郑重声明，根据《政府采购促进中小企业发展暂行办法》（财库[2011]181号）的规定，本投标人为</w:t>
      </w:r>
      <w:r>
        <w:rPr>
          <w:rFonts w:hint="eastAsia" w:ascii="宋体" w:hAnsi="宋体" w:eastAsia="宋体" w:cs="宋体"/>
          <w:sz w:val="21"/>
          <w:szCs w:val="21"/>
          <w:u w:val="single"/>
        </w:rPr>
        <w:t>（填写“中型</w:t>
      </w:r>
      <w:r>
        <w:rPr>
          <w:rFonts w:hint="default" w:ascii="Calibri" w:hAnsi="Calibri" w:eastAsia="宋体" w:cs="Calibri"/>
          <w:sz w:val="21"/>
          <w:szCs w:val="21"/>
          <w:u w:val="single"/>
        </w:rPr>
        <w:t>/</w:t>
      </w:r>
      <w:r>
        <w:rPr>
          <w:rFonts w:hint="eastAsia" w:ascii="宋体" w:hAnsi="宋体" w:eastAsia="宋体" w:cs="宋体"/>
          <w:sz w:val="21"/>
          <w:szCs w:val="21"/>
          <w:u w:val="single"/>
        </w:rPr>
        <w:t>小型</w:t>
      </w:r>
      <w:r>
        <w:rPr>
          <w:rFonts w:hint="default" w:ascii="Calibri" w:hAnsi="Calibri" w:eastAsia="宋体" w:cs="Calibri"/>
          <w:sz w:val="21"/>
          <w:szCs w:val="21"/>
          <w:u w:val="single"/>
        </w:rPr>
        <w:t>/</w:t>
      </w:r>
      <w:r>
        <w:rPr>
          <w:rFonts w:hint="eastAsia" w:ascii="宋体" w:hAnsi="宋体" w:eastAsia="宋体" w:cs="宋体"/>
          <w:sz w:val="21"/>
          <w:szCs w:val="21"/>
          <w:u w:val="single"/>
        </w:rPr>
        <w:t>微型”）</w:t>
      </w:r>
      <w:r>
        <w:rPr>
          <w:rFonts w:hint="eastAsia" w:ascii="宋体" w:hAnsi="宋体" w:eastAsia="宋体" w:cs="宋体"/>
          <w:sz w:val="21"/>
          <w:szCs w:val="21"/>
        </w:rPr>
        <w:t>企业。即本投标人同时满足以下条件：</w:t>
      </w:r>
    </w:p>
    <w:p>
      <w:pPr>
        <w:pStyle w:val="6"/>
        <w:keepNext w:val="0"/>
        <w:keepLines w:val="0"/>
        <w:widowControl/>
        <w:suppressLineNumbers w:val="0"/>
        <w:ind w:left="0" w:firstLine="420"/>
      </w:pPr>
      <w:r>
        <w:rPr>
          <w:rFonts w:hint="eastAsia" w:ascii="宋体" w:hAnsi="宋体" w:eastAsia="宋体" w:cs="宋体"/>
          <w:sz w:val="21"/>
          <w:szCs w:val="21"/>
        </w:rPr>
        <w:t>1、根据《工业和信息化部、国家统计局、国家发展和改革委员会、财政部关于印发中小企业划型标准规定的通知》（工信部联企业</w:t>
      </w:r>
      <w:r>
        <w:rPr>
          <w:rFonts w:hint="default" w:ascii="Calibri" w:hAnsi="Calibri" w:eastAsia="宋体" w:cs="Calibri"/>
          <w:sz w:val="21"/>
          <w:szCs w:val="21"/>
        </w:rPr>
        <w:t>[2011]300</w:t>
      </w:r>
      <w:r>
        <w:rPr>
          <w:rFonts w:hint="eastAsia" w:ascii="宋体" w:hAnsi="宋体" w:eastAsia="宋体" w:cs="宋体"/>
          <w:sz w:val="21"/>
          <w:szCs w:val="21"/>
        </w:rPr>
        <w:t>号）规定的划分标准，本投标人为</w:t>
      </w:r>
      <w:r>
        <w:rPr>
          <w:rFonts w:hint="eastAsia" w:ascii="宋体" w:hAnsi="宋体" w:eastAsia="宋体" w:cs="宋体"/>
          <w:sz w:val="21"/>
          <w:szCs w:val="21"/>
          <w:u w:val="single"/>
        </w:rPr>
        <w:t>  （填写“中型</w:t>
      </w:r>
      <w:r>
        <w:rPr>
          <w:rFonts w:hint="default" w:ascii="Calibri" w:hAnsi="Calibri" w:eastAsia="宋体" w:cs="Calibri"/>
          <w:sz w:val="21"/>
          <w:szCs w:val="21"/>
          <w:u w:val="single"/>
        </w:rPr>
        <w:t>/</w:t>
      </w:r>
      <w:r>
        <w:rPr>
          <w:rFonts w:hint="eastAsia" w:ascii="宋体" w:hAnsi="宋体" w:eastAsia="宋体" w:cs="宋体"/>
          <w:sz w:val="21"/>
          <w:szCs w:val="21"/>
          <w:u w:val="single"/>
        </w:rPr>
        <w:t>小型</w:t>
      </w:r>
      <w:r>
        <w:rPr>
          <w:rFonts w:hint="default" w:ascii="Calibri" w:hAnsi="Calibri" w:eastAsia="宋体" w:cs="Calibri"/>
          <w:sz w:val="21"/>
          <w:szCs w:val="21"/>
          <w:u w:val="single"/>
        </w:rPr>
        <w:t>/</w:t>
      </w:r>
      <w:r>
        <w:rPr>
          <w:rFonts w:hint="eastAsia" w:ascii="宋体" w:hAnsi="宋体" w:eastAsia="宋体" w:cs="宋体"/>
          <w:sz w:val="21"/>
          <w:szCs w:val="21"/>
          <w:u w:val="single"/>
        </w:rPr>
        <w:t>微型”）</w:t>
      </w:r>
      <w:r>
        <w:rPr>
          <w:rFonts w:hint="eastAsia" w:ascii="宋体" w:hAnsi="宋体" w:eastAsia="宋体" w:cs="宋体"/>
          <w:sz w:val="21"/>
          <w:szCs w:val="21"/>
        </w:rPr>
        <w:t>企业。</w:t>
      </w:r>
    </w:p>
    <w:p>
      <w:pPr>
        <w:pStyle w:val="6"/>
        <w:keepNext w:val="0"/>
        <w:keepLines w:val="0"/>
        <w:widowControl/>
        <w:suppressLineNumbers w:val="0"/>
        <w:ind w:left="0" w:firstLine="420"/>
      </w:pPr>
      <w:r>
        <w:rPr>
          <w:rFonts w:hint="eastAsia" w:ascii="宋体" w:hAnsi="宋体" w:eastAsia="宋体" w:cs="宋体"/>
          <w:sz w:val="21"/>
          <w:szCs w:val="21"/>
        </w:rPr>
        <w:t>2、本投标人参加贵单位组织的</w:t>
      </w:r>
      <w:r>
        <w:rPr>
          <w:rFonts w:hint="eastAsia" w:ascii="宋体" w:hAnsi="宋体" w:eastAsia="宋体" w:cs="宋体"/>
          <w:sz w:val="21"/>
          <w:szCs w:val="21"/>
          <w:u w:val="single"/>
        </w:rPr>
        <w:t> （填写“项目名称”） </w:t>
      </w:r>
      <w:r>
        <w:rPr>
          <w:rFonts w:hint="eastAsia" w:ascii="宋体" w:hAnsi="宋体" w:eastAsia="宋体" w:cs="宋体"/>
          <w:sz w:val="21"/>
          <w:szCs w:val="21"/>
        </w:rPr>
        <w:t>项目采购活动，其中：</w:t>
      </w:r>
    </w:p>
    <w:p>
      <w:pPr>
        <w:pStyle w:val="6"/>
        <w:keepNext w:val="0"/>
        <w:keepLines w:val="0"/>
        <w:widowControl/>
        <w:suppressLineNumbers w:val="0"/>
        <w:ind w:left="0" w:firstLine="420"/>
      </w:pPr>
      <w:r>
        <w:rPr>
          <w:rFonts w:hint="eastAsia" w:ascii="宋体" w:hAnsi="宋体" w:eastAsia="宋体" w:cs="宋体"/>
          <w:sz w:val="21"/>
          <w:szCs w:val="21"/>
        </w:rPr>
        <w:t>①货物（不包括使用大型企业注册商标的货物）：</w:t>
      </w:r>
    </w:p>
    <w:p>
      <w:pPr>
        <w:pStyle w:val="6"/>
        <w:keepNext w:val="0"/>
        <w:keepLines w:val="0"/>
        <w:widowControl/>
        <w:suppressLineNumbers w:val="0"/>
        <w:ind w:left="0" w:firstLine="420"/>
      </w:pPr>
      <w:r>
        <w:rPr>
          <w:rFonts w:hint="eastAsia" w:ascii="宋体" w:hAnsi="宋体" w:eastAsia="宋体" w:cs="宋体"/>
          <w:sz w:val="21"/>
          <w:szCs w:val="21"/>
        </w:rPr>
        <w:t>（ ）提供本投标人制造的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货物；或</w:t>
      </w:r>
    </w:p>
    <w:p>
      <w:pPr>
        <w:pStyle w:val="6"/>
        <w:keepNext w:val="0"/>
        <w:keepLines w:val="0"/>
        <w:widowControl/>
        <w:suppressLineNumbers w:val="0"/>
        <w:ind w:left="0" w:firstLine="420"/>
      </w:pPr>
      <w:r>
        <w:rPr>
          <w:rFonts w:hint="eastAsia" w:ascii="宋体" w:hAnsi="宋体" w:eastAsia="宋体" w:cs="宋体"/>
          <w:sz w:val="21"/>
          <w:szCs w:val="21"/>
        </w:rPr>
        <w:t>（ ）提供其他</w:t>
      </w:r>
      <w:r>
        <w:rPr>
          <w:rFonts w:hint="eastAsia" w:ascii="宋体" w:hAnsi="宋体" w:eastAsia="宋体" w:cs="宋体"/>
          <w:sz w:val="21"/>
          <w:szCs w:val="21"/>
          <w:u w:val="single"/>
        </w:rPr>
        <w:t>（填写“中型</w:t>
      </w:r>
      <w:r>
        <w:rPr>
          <w:rFonts w:hint="default" w:ascii="Calibri" w:hAnsi="Calibri" w:eastAsia="宋体" w:cs="Calibri"/>
          <w:sz w:val="21"/>
          <w:szCs w:val="21"/>
          <w:u w:val="single"/>
        </w:rPr>
        <w:t>/</w:t>
      </w:r>
      <w:r>
        <w:rPr>
          <w:rFonts w:hint="eastAsia" w:ascii="宋体" w:hAnsi="宋体" w:eastAsia="宋体" w:cs="宋体"/>
          <w:sz w:val="21"/>
          <w:szCs w:val="21"/>
          <w:u w:val="single"/>
        </w:rPr>
        <w:t>小型</w:t>
      </w:r>
      <w:r>
        <w:rPr>
          <w:rFonts w:hint="default" w:ascii="Calibri" w:hAnsi="Calibri" w:eastAsia="宋体" w:cs="Calibri"/>
          <w:sz w:val="21"/>
          <w:szCs w:val="21"/>
          <w:u w:val="single"/>
        </w:rPr>
        <w:t>/</w:t>
      </w:r>
      <w:r>
        <w:rPr>
          <w:rFonts w:hint="eastAsia" w:ascii="宋体" w:hAnsi="宋体" w:eastAsia="宋体" w:cs="宋体"/>
          <w:sz w:val="21"/>
          <w:szCs w:val="21"/>
          <w:u w:val="single"/>
        </w:rPr>
        <w:t>微型”）</w:t>
      </w:r>
      <w:r>
        <w:rPr>
          <w:rFonts w:hint="eastAsia" w:ascii="宋体" w:hAnsi="宋体" w:eastAsia="宋体" w:cs="宋体"/>
          <w:sz w:val="21"/>
          <w:szCs w:val="21"/>
        </w:rPr>
        <w:t>企业制造的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货物。</w:t>
      </w:r>
    </w:p>
    <w:p>
      <w:pPr>
        <w:pStyle w:val="6"/>
        <w:keepNext w:val="0"/>
        <w:keepLines w:val="0"/>
        <w:widowControl/>
        <w:suppressLineNumbers w:val="0"/>
        <w:ind w:left="0" w:firstLine="420"/>
      </w:pPr>
      <w:r>
        <w:rPr>
          <w:rFonts w:hint="eastAsia" w:ascii="宋体" w:hAnsi="宋体" w:eastAsia="宋体" w:cs="宋体"/>
          <w:sz w:val="21"/>
          <w:szCs w:val="21"/>
        </w:rPr>
        <w:t>②工程：</w:t>
      </w:r>
    </w:p>
    <w:p>
      <w:pPr>
        <w:pStyle w:val="6"/>
        <w:keepNext w:val="0"/>
        <w:keepLines w:val="0"/>
        <w:widowControl/>
        <w:suppressLineNumbers w:val="0"/>
        <w:ind w:left="0" w:firstLine="420"/>
      </w:pPr>
      <w:r>
        <w:rPr>
          <w:rFonts w:hint="eastAsia" w:ascii="宋体" w:hAnsi="宋体" w:eastAsia="宋体" w:cs="宋体"/>
          <w:sz w:val="21"/>
          <w:szCs w:val="21"/>
        </w:rPr>
        <w:t>（ ）由本投标人承担的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工程。</w:t>
      </w:r>
    </w:p>
    <w:p>
      <w:pPr>
        <w:pStyle w:val="6"/>
        <w:keepNext w:val="0"/>
        <w:keepLines w:val="0"/>
        <w:widowControl/>
        <w:suppressLineNumbers w:val="0"/>
        <w:ind w:left="0" w:firstLine="420"/>
      </w:pPr>
      <w:r>
        <w:rPr>
          <w:rFonts w:hint="eastAsia" w:ascii="宋体" w:hAnsi="宋体" w:eastAsia="宋体" w:cs="宋体"/>
          <w:sz w:val="21"/>
          <w:szCs w:val="21"/>
        </w:rPr>
        <w:t>③服务：</w:t>
      </w:r>
    </w:p>
    <w:p>
      <w:pPr>
        <w:pStyle w:val="6"/>
        <w:keepNext w:val="0"/>
        <w:keepLines w:val="0"/>
        <w:widowControl/>
        <w:suppressLineNumbers w:val="0"/>
        <w:ind w:left="0" w:firstLine="420"/>
      </w:pPr>
      <w:r>
        <w:rPr>
          <w:rFonts w:hint="eastAsia" w:ascii="宋体" w:hAnsi="宋体" w:eastAsia="宋体" w:cs="宋体"/>
          <w:sz w:val="21"/>
          <w:szCs w:val="21"/>
        </w:rPr>
        <w:t>（ ）由本投标人提供的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服务。</w:t>
      </w:r>
    </w:p>
    <w:p>
      <w:pPr>
        <w:pStyle w:val="6"/>
        <w:keepNext w:val="0"/>
        <w:keepLines w:val="0"/>
        <w:widowControl/>
        <w:suppressLineNumbers w:val="0"/>
        <w:ind w:left="0" w:firstLine="420"/>
      </w:pPr>
      <w:r>
        <w:rPr>
          <w:rFonts w:hint="eastAsia" w:ascii="宋体" w:hAnsi="宋体" w:eastAsia="宋体" w:cs="宋体"/>
          <w:sz w:val="21"/>
          <w:szCs w:val="21"/>
        </w:rPr>
        <w:t>本投标人对上述声明的真实性负责。如有虚假，将依法承担相应责任。</w:t>
      </w:r>
    </w:p>
    <w:p>
      <w:pPr>
        <w:pStyle w:val="6"/>
        <w:keepNext w:val="0"/>
        <w:keepLines w:val="0"/>
        <w:widowControl/>
        <w:suppressLineNumbers w:val="0"/>
        <w:ind w:left="0" w:firstLine="420"/>
      </w:pPr>
      <w:r>
        <w:rPr>
          <w:rFonts w:hint="default" w:ascii="Calibri" w:hAnsi="Calibri" w:cs="Calibri"/>
          <w:sz w:val="21"/>
          <w:szCs w:val="21"/>
        </w:rPr>
        <w:t> </w:t>
      </w:r>
    </w:p>
    <w:p>
      <w:pPr>
        <w:pStyle w:val="6"/>
        <w:keepNext w:val="0"/>
        <w:keepLines w:val="0"/>
        <w:widowControl/>
        <w:suppressLineNumbers w:val="0"/>
      </w:pPr>
      <w:r>
        <w:rPr>
          <w:rFonts w:hint="eastAsia" w:ascii="宋体" w:hAnsi="宋体" w:eastAsia="宋体" w:cs="宋体"/>
          <w:sz w:val="21"/>
          <w:szCs w:val="21"/>
        </w:rPr>
        <w:t>★注意：</w:t>
      </w:r>
    </w:p>
    <w:p>
      <w:pPr>
        <w:pStyle w:val="6"/>
        <w:keepNext w:val="0"/>
        <w:keepLines w:val="0"/>
        <w:widowControl/>
        <w:suppressLineNumbers w:val="0"/>
      </w:pPr>
      <w:r>
        <w:rPr>
          <w:rFonts w:hint="eastAsia" w:ascii="宋体" w:hAnsi="宋体" w:eastAsia="宋体" w:cs="宋体"/>
          <w:sz w:val="21"/>
          <w:szCs w:val="21"/>
        </w:rPr>
        <w:t>1、请投标人按照实际情况编制填写本声明函，并在相应的（）中打“√”。</w:t>
      </w:r>
    </w:p>
    <w:p>
      <w:pPr>
        <w:pStyle w:val="6"/>
        <w:keepNext w:val="0"/>
        <w:keepLines w:val="0"/>
        <w:widowControl/>
        <w:suppressLineNumbers w:val="0"/>
      </w:pPr>
      <w:r>
        <w:rPr>
          <w:rFonts w:hint="eastAsia" w:ascii="宋体" w:hAnsi="宋体" w:eastAsia="宋体" w:cs="宋体"/>
          <w:sz w:val="21"/>
          <w:szCs w:val="21"/>
        </w:rPr>
        <w:t>2、投标人应认真对照《工业和信息化部、国家统计局、国家发展和改革委员会、财政部关于印发中小企业划型标准规定的通知》（工信部联企业</w:t>
      </w:r>
      <w:r>
        <w:rPr>
          <w:rFonts w:hint="default" w:ascii="Calibri" w:hAnsi="Calibri" w:eastAsia="宋体" w:cs="Calibri"/>
          <w:sz w:val="21"/>
          <w:szCs w:val="21"/>
        </w:rPr>
        <w:t>[2011]300</w:t>
      </w:r>
      <w:r>
        <w:rPr>
          <w:rFonts w:hint="eastAsia" w:ascii="宋体" w:hAnsi="宋体" w:eastAsia="宋体" w:cs="宋体"/>
          <w:sz w:val="21"/>
          <w:szCs w:val="21"/>
        </w:rPr>
        <w:t>号）规定的划分标准，并按照国家统计局现行的关于统计上大中小微型企业划分办法的有关规定准确划分企业类型。</w:t>
      </w:r>
    </w:p>
    <w:p>
      <w:pPr>
        <w:pStyle w:val="6"/>
        <w:keepNext w:val="0"/>
        <w:keepLines w:val="0"/>
        <w:widowControl/>
        <w:suppressLineNumbers w:val="0"/>
      </w:pPr>
      <w:r>
        <w:rPr>
          <w:rFonts w:hint="eastAsia" w:ascii="宋体" w:hAnsi="宋体" w:eastAsia="宋体" w:cs="宋体"/>
          <w:sz w:val="21"/>
          <w:szCs w:val="21"/>
        </w:rPr>
        <w:t>3、投标人为监狱企业的，可不填写本声明函，根据其提供的由省级以上监狱管理局、戒毒管理局（含新疆生产建设兵团）出具的属于监狱企业的证明文件进行认定，监狱企业视同小型、微型企业。</w:t>
      </w:r>
    </w:p>
    <w:p>
      <w:pPr>
        <w:pStyle w:val="6"/>
        <w:keepNext w:val="0"/>
        <w:keepLines w:val="0"/>
        <w:widowControl/>
        <w:suppressLineNumbers w:val="0"/>
      </w:pPr>
      <w:r>
        <w:rPr>
          <w:rFonts w:hint="eastAsia" w:ascii="宋体" w:hAnsi="宋体" w:eastAsia="宋体" w:cs="宋体"/>
          <w:sz w:val="21"/>
          <w:szCs w:val="21"/>
        </w:rPr>
        <w:t>4、投标人为残疾人福利性单位的，可不填写本声明函，根据其提供的《残疾人福利性单位声明函》（格式附后）进行认定，残疾人福利性单位视同小型、微型企业。</w:t>
      </w:r>
    </w:p>
    <w:p>
      <w:pPr>
        <w:pStyle w:val="6"/>
        <w:keepNext w:val="0"/>
        <w:keepLines w:val="0"/>
        <w:widowControl/>
        <w:suppressLineNumbers w:val="0"/>
      </w:pPr>
      <w:r>
        <w:rPr>
          <w:rFonts w:hint="eastAsia" w:ascii="宋体" w:hAnsi="宋体" w:eastAsia="宋体" w:cs="宋体"/>
          <w:sz w:val="21"/>
          <w:szCs w:val="21"/>
        </w:rPr>
        <w:t>5、纸质投标文件正本中的本声明函（若有）应为原件。</w:t>
      </w:r>
    </w:p>
    <w:p>
      <w:pPr>
        <w:pStyle w:val="6"/>
        <w:keepNext w:val="0"/>
        <w:keepLines w:val="0"/>
        <w:widowControl/>
        <w:suppressLineNumbers w:val="0"/>
      </w:pPr>
      <w:r>
        <w:rPr>
          <w:rFonts w:hint="eastAsia" w:ascii="宋体" w:hAnsi="宋体" w:eastAsia="宋体" w:cs="宋体"/>
          <w:sz w:val="21"/>
          <w:szCs w:val="21"/>
        </w:rPr>
        <w:t>6、若《中小企业声明函》（包括本格式第</w:t>
      </w:r>
      <w:r>
        <w:rPr>
          <w:rFonts w:hint="default" w:ascii="Calibri" w:hAnsi="Calibri" w:eastAsia="宋体" w:cs="Calibri"/>
          <w:sz w:val="21"/>
          <w:szCs w:val="21"/>
        </w:rPr>
        <w:t>3</w:t>
      </w:r>
      <w:r>
        <w:rPr>
          <w:rFonts w:hint="eastAsia" w:ascii="宋体" w:hAnsi="宋体" w:eastAsia="宋体" w:cs="宋体"/>
          <w:sz w:val="21"/>
          <w:szCs w:val="21"/>
        </w:rPr>
        <w:t>、</w:t>
      </w:r>
      <w:r>
        <w:rPr>
          <w:rFonts w:hint="default" w:ascii="Calibri" w:hAnsi="Calibri" w:eastAsia="宋体" w:cs="Calibri"/>
          <w:sz w:val="21"/>
          <w:szCs w:val="21"/>
        </w:rPr>
        <w:t>4</w:t>
      </w:r>
      <w:r>
        <w:rPr>
          <w:rFonts w:hint="eastAsia" w:ascii="宋体" w:hAnsi="宋体" w:eastAsia="宋体" w:cs="宋体"/>
          <w:sz w:val="21"/>
          <w:szCs w:val="21"/>
        </w:rPr>
        <w:t>条规定的证明文件及声明函）内容不真实，</w:t>
      </w:r>
      <w:r>
        <w:rPr>
          <w:rStyle w:val="10"/>
          <w:rFonts w:hint="eastAsia" w:ascii="宋体" w:hAnsi="宋体" w:eastAsia="宋体" w:cs="宋体"/>
          <w:sz w:val="21"/>
          <w:szCs w:val="21"/>
        </w:rPr>
        <w:t>视为提供虚假材料。</w:t>
      </w:r>
    </w:p>
    <w:p>
      <w:pPr>
        <w:pStyle w:val="6"/>
        <w:keepNext w:val="0"/>
        <w:keepLines w:val="0"/>
        <w:widowControl/>
        <w:suppressLineNumbers w:val="0"/>
      </w:pPr>
      <w:r>
        <w:rPr>
          <w:rFonts w:hint="eastAsia" w:ascii="宋体" w:hAnsi="宋体" w:eastAsia="宋体" w:cs="宋体"/>
          <w:sz w:val="21"/>
          <w:szCs w:val="21"/>
        </w:rPr>
        <w:t> </w:t>
      </w:r>
    </w:p>
    <w:p>
      <w:pPr>
        <w:pStyle w:val="6"/>
        <w:keepNext w:val="0"/>
        <w:keepLines w:val="0"/>
        <w:widowControl/>
        <w:suppressLineNumbers w:val="0"/>
      </w:pPr>
      <w:r>
        <w:rPr>
          <w:rFonts w:hint="default" w:ascii="Calibri" w:hAnsi="Calibri" w:cs="Calibri"/>
          <w:sz w:val="21"/>
          <w:szCs w:val="21"/>
        </w:rPr>
        <w:t> </w:t>
      </w:r>
    </w:p>
    <w:p>
      <w:pPr>
        <w:pStyle w:val="6"/>
        <w:keepNext w:val="0"/>
        <w:keepLines w:val="0"/>
        <w:widowControl/>
        <w:suppressLineNumbers w:val="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6"/>
        <w:keepNext w:val="0"/>
        <w:keepLines w:val="0"/>
        <w:widowControl/>
        <w:suppressLineNumbers w:val="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6"/>
        <w:keepNext w:val="0"/>
        <w:keepLines w:val="0"/>
        <w:widowControl/>
        <w:suppressLineNumbers w:val="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6"/>
        <w:keepNext w:val="0"/>
        <w:keepLines w:val="0"/>
        <w:widowControl/>
        <w:suppressLineNumbers w:val="0"/>
      </w:pPr>
      <w:r>
        <w:rPr>
          <w:rFonts w:hint="eastAsia" w:ascii="宋体" w:hAnsi="宋体" w:eastAsia="宋体" w:cs="宋体"/>
          <w:sz w:val="21"/>
          <w:szCs w:val="21"/>
        </w:rPr>
        <w:t> </w:t>
      </w:r>
    </w:p>
    <w:p>
      <w:pPr>
        <w:pStyle w:val="6"/>
        <w:keepNext w:val="0"/>
        <w:keepLines w:val="0"/>
        <w:widowControl/>
        <w:suppressLineNumbers w:val="0"/>
      </w:pPr>
      <w:r>
        <w:rPr>
          <w:rFonts w:hint="eastAsia" w:ascii="宋体" w:hAnsi="宋体" w:eastAsia="宋体" w:cs="宋体"/>
          <w:sz w:val="21"/>
          <w:szCs w:val="21"/>
        </w:rPr>
        <w:t> </w:t>
      </w:r>
    </w:p>
    <w:p>
      <w:pPr>
        <w:pStyle w:val="6"/>
        <w:keepNext w:val="0"/>
        <w:keepLines w:val="0"/>
        <w:widowControl/>
        <w:suppressLineNumbers w:val="0"/>
      </w:pPr>
      <w:r>
        <w:rPr>
          <w:rFonts w:hint="default" w:ascii="Calibri" w:hAnsi="Calibri" w:cs="Calibri"/>
          <w:sz w:val="21"/>
          <w:szCs w:val="21"/>
        </w:rPr>
        <w:br w:type="textWrapping"/>
      </w:r>
      <w:r>
        <w:rPr>
          <w:rFonts w:hint="eastAsia" w:ascii="宋体" w:hAnsi="宋体" w:eastAsia="宋体" w:cs="宋体"/>
          <w:sz w:val="21"/>
          <w:szCs w:val="21"/>
        </w:rPr>
        <w:t>附：</w:t>
      </w:r>
    </w:p>
    <w:p>
      <w:pPr>
        <w:pStyle w:val="6"/>
        <w:keepNext w:val="0"/>
        <w:keepLines w:val="0"/>
        <w:widowControl/>
        <w:suppressLineNumbers w:val="0"/>
        <w:jc w:val="center"/>
      </w:pPr>
      <w:r>
        <w:rPr>
          <w:rStyle w:val="10"/>
          <w:rFonts w:hint="eastAsia" w:ascii="宋体" w:hAnsi="宋体" w:eastAsia="宋体" w:cs="宋体"/>
          <w:sz w:val="21"/>
          <w:szCs w:val="21"/>
        </w:rPr>
        <w:t>残疾人福利性单位声明函</w:t>
      </w:r>
    </w:p>
    <w:p>
      <w:pPr>
        <w:pStyle w:val="6"/>
        <w:keepNext w:val="0"/>
        <w:keepLines w:val="0"/>
        <w:widowControl/>
        <w:suppressLineNumbers w:val="0"/>
        <w:jc w:val="center"/>
      </w:pPr>
      <w:r>
        <w:rPr>
          <w:rStyle w:val="10"/>
          <w:rFonts w:hint="eastAsia" w:ascii="宋体" w:hAnsi="宋体" w:eastAsia="宋体" w:cs="宋体"/>
          <w:sz w:val="21"/>
          <w:szCs w:val="21"/>
        </w:rPr>
        <w:t>（专门面向中小企业或小型、微型企业适用，若有）</w:t>
      </w:r>
    </w:p>
    <w:p>
      <w:pPr>
        <w:pStyle w:val="6"/>
        <w:keepNext w:val="0"/>
        <w:keepLines w:val="0"/>
        <w:widowControl/>
        <w:suppressLineNumbers w:val="0"/>
      </w:pPr>
      <w:r>
        <w:rPr>
          <w:rStyle w:val="10"/>
          <w:rFonts w:hint="eastAsia" w:ascii="宋体" w:hAnsi="宋体" w:eastAsia="宋体" w:cs="宋体"/>
          <w:sz w:val="21"/>
          <w:szCs w:val="21"/>
        </w:rPr>
        <w:t> </w:t>
      </w:r>
    </w:p>
    <w:p>
      <w:pPr>
        <w:pStyle w:val="6"/>
        <w:keepNext w:val="0"/>
        <w:keepLines w:val="0"/>
        <w:widowControl/>
        <w:suppressLineNumbers w:val="0"/>
        <w:ind w:left="0" w:firstLine="420"/>
      </w:pPr>
      <w:r>
        <w:rPr>
          <w:rFonts w:hint="eastAsia" w:ascii="宋体" w:hAnsi="宋体" w:eastAsia="宋体" w:cs="宋体"/>
          <w:sz w:val="21"/>
          <w:szCs w:val="21"/>
        </w:rPr>
        <w:t>本投标人郑重声明，根据《财政部 民政部 中国残疾人联合会关于促进残疾人就业政府采购政策的通知》（财库[2017]141号）的规定，本投标人为符合条件的残疾人福利性单位，且本投标人参加贵单位的</w:t>
      </w:r>
      <w:r>
        <w:rPr>
          <w:rFonts w:hint="eastAsia" w:ascii="宋体" w:hAnsi="宋体" w:eastAsia="宋体" w:cs="宋体"/>
          <w:sz w:val="21"/>
          <w:szCs w:val="21"/>
          <w:u w:val="single"/>
        </w:rPr>
        <w:t>（填写“项目名称”）</w:t>
      </w:r>
      <w:r>
        <w:rPr>
          <w:rFonts w:hint="eastAsia" w:ascii="宋体" w:hAnsi="宋体" w:eastAsia="宋体" w:cs="宋体"/>
          <w:sz w:val="21"/>
          <w:szCs w:val="21"/>
        </w:rPr>
        <w:t>项目采购活动：</w:t>
      </w:r>
    </w:p>
    <w:p>
      <w:pPr>
        <w:pStyle w:val="6"/>
        <w:keepNext w:val="0"/>
        <w:keepLines w:val="0"/>
        <w:widowControl/>
        <w:suppressLineNumbers w:val="0"/>
        <w:ind w:left="0" w:firstLine="420"/>
      </w:pPr>
      <w:r>
        <w:rPr>
          <w:rFonts w:hint="eastAsia" w:ascii="宋体" w:hAnsi="宋体" w:eastAsia="宋体" w:cs="宋体"/>
          <w:sz w:val="21"/>
          <w:szCs w:val="21"/>
        </w:rPr>
        <w:t>（ ）提供本投标人制造的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货物，</w:t>
      </w:r>
    </w:p>
    <w:p>
      <w:pPr>
        <w:pStyle w:val="6"/>
        <w:keepNext w:val="0"/>
        <w:keepLines w:val="0"/>
        <w:widowControl/>
        <w:suppressLineNumbers w:val="0"/>
        <w:ind w:left="0" w:firstLine="420"/>
      </w:pPr>
      <w:r>
        <w:rPr>
          <w:rFonts w:hint="eastAsia" w:ascii="宋体" w:hAnsi="宋体" w:eastAsia="宋体" w:cs="宋体"/>
          <w:sz w:val="21"/>
          <w:szCs w:val="21"/>
        </w:rPr>
        <w:t>（ ）由本投标人承担的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工程，</w:t>
      </w:r>
    </w:p>
    <w:p>
      <w:pPr>
        <w:pStyle w:val="6"/>
        <w:keepNext w:val="0"/>
        <w:keepLines w:val="0"/>
        <w:widowControl/>
        <w:suppressLineNumbers w:val="0"/>
        <w:ind w:left="0" w:firstLine="420"/>
      </w:pPr>
      <w:r>
        <w:rPr>
          <w:rFonts w:hint="eastAsia" w:ascii="宋体" w:hAnsi="宋体" w:eastAsia="宋体" w:cs="宋体"/>
          <w:sz w:val="21"/>
          <w:szCs w:val="21"/>
        </w:rPr>
        <w:t>（ ）由本投标人提供的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服务；或</w:t>
      </w:r>
    </w:p>
    <w:p>
      <w:pPr>
        <w:pStyle w:val="6"/>
        <w:keepNext w:val="0"/>
        <w:keepLines w:val="0"/>
        <w:widowControl/>
        <w:suppressLineNumbers w:val="0"/>
        <w:ind w:left="0" w:firstLine="420"/>
      </w:pPr>
      <w:r>
        <w:rPr>
          <w:rFonts w:hint="eastAsia" w:ascii="宋体" w:hAnsi="宋体" w:eastAsia="宋体" w:cs="宋体"/>
          <w:sz w:val="21"/>
          <w:szCs w:val="21"/>
        </w:rPr>
        <w:t>（ ）提供其他残疾人福利性单位制造的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货物（不包括使用非残疾人福利性单位注册商标的货物）。</w:t>
      </w:r>
    </w:p>
    <w:p>
      <w:pPr>
        <w:pStyle w:val="6"/>
        <w:keepNext w:val="0"/>
        <w:keepLines w:val="0"/>
        <w:widowControl/>
        <w:suppressLineNumbers w:val="0"/>
        <w:ind w:left="0" w:firstLine="420"/>
      </w:pPr>
      <w:r>
        <w:rPr>
          <w:rFonts w:hint="eastAsia" w:ascii="宋体" w:hAnsi="宋体" w:eastAsia="宋体" w:cs="宋体"/>
          <w:sz w:val="21"/>
          <w:szCs w:val="21"/>
        </w:rPr>
        <w:t>本投标人对上述声明的真实性负责。如有虚假，将依法承担相应责任。</w:t>
      </w:r>
    </w:p>
    <w:p>
      <w:pPr>
        <w:pStyle w:val="6"/>
        <w:keepNext w:val="0"/>
        <w:keepLines w:val="0"/>
        <w:widowControl/>
        <w:suppressLineNumbers w:val="0"/>
        <w:ind w:left="0" w:firstLine="420"/>
      </w:pPr>
      <w:r>
        <w:rPr>
          <w:rFonts w:hint="default" w:ascii="Calibri" w:hAnsi="Calibri" w:cs="Calibri"/>
          <w:sz w:val="21"/>
          <w:szCs w:val="21"/>
        </w:rPr>
        <w:t> </w:t>
      </w:r>
    </w:p>
    <w:p>
      <w:pPr>
        <w:pStyle w:val="6"/>
        <w:keepNext w:val="0"/>
        <w:keepLines w:val="0"/>
        <w:widowControl/>
        <w:suppressLineNumbers w:val="0"/>
      </w:pPr>
      <w:r>
        <w:rPr>
          <w:rFonts w:hint="eastAsia" w:ascii="宋体" w:hAnsi="宋体" w:eastAsia="宋体" w:cs="宋体"/>
          <w:sz w:val="21"/>
          <w:szCs w:val="21"/>
        </w:rPr>
        <w:t>★注意：</w:t>
      </w:r>
    </w:p>
    <w:p>
      <w:pPr>
        <w:pStyle w:val="6"/>
        <w:keepNext w:val="0"/>
        <w:keepLines w:val="0"/>
        <w:widowControl/>
        <w:suppressLineNumbers w:val="0"/>
      </w:pPr>
      <w:r>
        <w:rPr>
          <w:rFonts w:hint="eastAsia" w:ascii="宋体" w:hAnsi="宋体" w:eastAsia="宋体" w:cs="宋体"/>
          <w:sz w:val="21"/>
          <w:szCs w:val="21"/>
        </w:rPr>
        <w:t>1、请投标人按照实际情况编制填写本声明函，并在相应的（）中打“√”。</w:t>
      </w:r>
    </w:p>
    <w:p>
      <w:pPr>
        <w:pStyle w:val="6"/>
        <w:keepNext w:val="0"/>
        <w:keepLines w:val="0"/>
        <w:widowControl/>
        <w:suppressLineNumbers w:val="0"/>
      </w:pPr>
      <w:r>
        <w:rPr>
          <w:rFonts w:hint="eastAsia" w:ascii="宋体" w:hAnsi="宋体" w:eastAsia="宋体" w:cs="宋体"/>
          <w:sz w:val="21"/>
          <w:szCs w:val="21"/>
        </w:rPr>
        <w:t>2、纸质投标文件正本中的本声明函（若有）应为原件。</w:t>
      </w:r>
    </w:p>
    <w:p>
      <w:pPr>
        <w:pStyle w:val="6"/>
        <w:keepNext w:val="0"/>
        <w:keepLines w:val="0"/>
        <w:widowControl/>
        <w:suppressLineNumbers w:val="0"/>
      </w:pPr>
      <w:r>
        <w:rPr>
          <w:rFonts w:hint="eastAsia" w:ascii="宋体" w:hAnsi="宋体" w:eastAsia="宋体" w:cs="宋体"/>
          <w:sz w:val="21"/>
          <w:szCs w:val="21"/>
        </w:rPr>
        <w:t>3、若《残疾人福利性单位声明函》内容不真实，</w:t>
      </w:r>
      <w:r>
        <w:rPr>
          <w:rStyle w:val="10"/>
          <w:rFonts w:hint="eastAsia" w:ascii="宋体" w:hAnsi="宋体" w:eastAsia="宋体" w:cs="宋体"/>
          <w:sz w:val="21"/>
          <w:szCs w:val="21"/>
        </w:rPr>
        <w:t>视为提供虚假材料。</w:t>
      </w:r>
    </w:p>
    <w:p>
      <w:pPr>
        <w:pStyle w:val="6"/>
        <w:keepNext w:val="0"/>
        <w:keepLines w:val="0"/>
        <w:widowControl/>
        <w:suppressLineNumbers w:val="0"/>
      </w:pPr>
      <w:r>
        <w:rPr>
          <w:rFonts w:hint="eastAsia" w:ascii="宋体" w:hAnsi="宋体" w:eastAsia="宋体" w:cs="宋体"/>
          <w:sz w:val="21"/>
          <w:szCs w:val="21"/>
        </w:rPr>
        <w:t> </w:t>
      </w:r>
    </w:p>
    <w:p>
      <w:pPr>
        <w:pStyle w:val="6"/>
        <w:keepNext w:val="0"/>
        <w:keepLines w:val="0"/>
        <w:widowControl/>
        <w:suppressLineNumbers w:val="0"/>
      </w:pPr>
      <w:r>
        <w:rPr>
          <w:rFonts w:hint="default" w:ascii="Calibri" w:hAnsi="Calibri" w:cs="Calibri"/>
          <w:sz w:val="21"/>
          <w:szCs w:val="21"/>
        </w:rPr>
        <w:t> </w:t>
      </w:r>
    </w:p>
    <w:p>
      <w:pPr>
        <w:pStyle w:val="6"/>
        <w:keepNext w:val="0"/>
        <w:keepLines w:val="0"/>
        <w:widowControl/>
        <w:suppressLineNumbers w:val="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6"/>
        <w:keepNext w:val="0"/>
        <w:keepLines w:val="0"/>
        <w:widowControl/>
        <w:suppressLineNumbers w:val="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6"/>
        <w:keepNext w:val="0"/>
        <w:keepLines w:val="0"/>
        <w:widowControl/>
        <w:suppressLineNumbers w:val="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6"/>
        <w:keepNext w:val="0"/>
        <w:keepLines w:val="0"/>
        <w:widowControl/>
        <w:suppressLineNumbers w:val="0"/>
      </w:pPr>
      <w:r>
        <w:rPr>
          <w:rFonts w:hint="eastAsia" w:ascii="宋体" w:hAnsi="宋体" w:eastAsia="宋体" w:cs="宋体"/>
          <w:sz w:val="21"/>
          <w:szCs w:val="21"/>
        </w:rPr>
        <w:t> </w:t>
      </w:r>
    </w:p>
    <w:p>
      <w:pPr>
        <w:pStyle w:val="6"/>
        <w:keepNext w:val="0"/>
        <w:keepLines w:val="0"/>
        <w:widowControl/>
        <w:suppressLineNumbers w:val="0"/>
      </w:pPr>
      <w:r>
        <w:rPr>
          <w:rFonts w:hint="eastAsia" w:ascii="宋体" w:hAnsi="宋体" w:eastAsia="宋体" w:cs="宋体"/>
          <w:sz w:val="21"/>
          <w:szCs w:val="21"/>
        </w:rPr>
        <w:t> </w:t>
      </w:r>
    </w:p>
    <w:p>
      <w:pPr>
        <w:pStyle w:val="6"/>
        <w:keepNext w:val="0"/>
        <w:keepLines w:val="0"/>
        <w:widowControl/>
        <w:suppressLineNumbers w:val="0"/>
        <w:jc w:val="center"/>
      </w:pPr>
      <w:r>
        <w:rPr>
          <w:rFonts w:hint="eastAsia" w:ascii="宋体" w:hAnsi="宋体" w:eastAsia="宋体" w:cs="宋体"/>
          <w:sz w:val="21"/>
          <w:szCs w:val="21"/>
        </w:rPr>
        <w:br w:type="textWrapping"/>
      </w:r>
      <w:r>
        <w:rPr>
          <w:rStyle w:val="10"/>
          <w:rFonts w:hint="eastAsia" w:ascii="宋体" w:hAnsi="宋体" w:eastAsia="宋体" w:cs="宋体"/>
          <w:sz w:val="21"/>
          <w:szCs w:val="21"/>
        </w:rPr>
        <w:t>二-12其他资格证明文件（若有）</w:t>
      </w:r>
    </w:p>
    <w:p>
      <w:pPr>
        <w:pStyle w:val="6"/>
        <w:keepNext w:val="0"/>
        <w:keepLines w:val="0"/>
        <w:widowControl/>
        <w:suppressLineNumbers w:val="0"/>
        <w:jc w:val="center"/>
      </w:pPr>
      <w:r>
        <w:rPr>
          <w:rFonts w:hint="eastAsia" w:ascii="宋体" w:hAnsi="宋体" w:eastAsia="宋体" w:cs="宋体"/>
          <w:sz w:val="21"/>
          <w:szCs w:val="21"/>
        </w:rPr>
        <w:t> </w:t>
      </w:r>
    </w:p>
    <w:p>
      <w:pPr>
        <w:pStyle w:val="6"/>
        <w:keepNext w:val="0"/>
        <w:keepLines w:val="0"/>
        <w:widowControl/>
        <w:suppressLineNumbers w:val="0"/>
        <w:jc w:val="center"/>
      </w:pPr>
      <w:r>
        <w:rPr>
          <w:rFonts w:hint="eastAsia" w:ascii="宋体" w:hAnsi="宋体" w:eastAsia="宋体" w:cs="宋体"/>
          <w:sz w:val="21"/>
          <w:szCs w:val="21"/>
        </w:rPr>
        <w:t>二</w:t>
      </w:r>
      <w:r>
        <w:rPr>
          <w:rStyle w:val="10"/>
          <w:rFonts w:hint="eastAsia" w:ascii="宋体" w:hAnsi="宋体" w:eastAsia="宋体" w:cs="宋体"/>
          <w:sz w:val="21"/>
          <w:szCs w:val="21"/>
        </w:rPr>
        <w:t>-12-①具备履行合同所必需设备和专业技术能力专项证明材料（若有）</w:t>
      </w:r>
    </w:p>
    <w:p>
      <w:pPr>
        <w:pStyle w:val="6"/>
        <w:keepNext w:val="0"/>
        <w:keepLines w:val="0"/>
        <w:widowControl/>
        <w:suppressLineNumbers w:val="0"/>
      </w:pPr>
      <w:r>
        <w:rPr>
          <w:rFonts w:hint="eastAsia" w:ascii="宋体" w:hAnsi="宋体" w:eastAsia="宋体" w:cs="宋体"/>
          <w:sz w:val="21"/>
          <w:szCs w:val="21"/>
        </w:rPr>
        <w:t> </w:t>
      </w:r>
    </w:p>
    <w:p>
      <w:pPr>
        <w:pStyle w:val="6"/>
        <w:keepNext w:val="0"/>
        <w:keepLines w:val="0"/>
        <w:widowControl/>
        <w:suppressLineNumbers w:val="0"/>
      </w:pPr>
      <w:r>
        <w:rPr>
          <w:rFonts w:hint="eastAsia" w:ascii="宋体" w:hAnsi="宋体" w:eastAsia="宋体" w:cs="宋体"/>
          <w:sz w:val="21"/>
          <w:szCs w:val="21"/>
        </w:rPr>
        <w:t>致：</w:t>
      </w:r>
      <w:r>
        <w:rPr>
          <w:rFonts w:hint="eastAsia" w:ascii="宋体" w:hAnsi="宋体" w:eastAsia="宋体" w:cs="宋体"/>
          <w:sz w:val="21"/>
          <w:szCs w:val="21"/>
          <w:u w:val="single"/>
        </w:rPr>
        <w:t>                     </w:t>
      </w:r>
    </w:p>
    <w:p>
      <w:pPr>
        <w:pStyle w:val="6"/>
        <w:keepNext w:val="0"/>
        <w:keepLines w:val="0"/>
        <w:widowControl/>
        <w:suppressLineNumbers w:val="0"/>
        <w:ind w:left="0" w:firstLine="420"/>
      </w:pPr>
      <w:r>
        <w:rPr>
          <w:rFonts w:hint="eastAsia" w:ascii="宋体" w:hAnsi="宋体" w:eastAsia="宋体" w:cs="宋体"/>
          <w:sz w:val="21"/>
          <w:szCs w:val="21"/>
        </w:rPr>
        <w:t>现附上我方具备履行合同所必需的设备和专业技术能力的专项证明材料复印件（具体附后），上述证明材料真实有效，否则我方负全部责任。</w:t>
      </w:r>
    </w:p>
    <w:p>
      <w:pPr>
        <w:pStyle w:val="6"/>
        <w:keepNext w:val="0"/>
        <w:keepLines w:val="0"/>
        <w:widowControl/>
        <w:suppressLineNumbers w:val="0"/>
      </w:pPr>
      <w:r>
        <w:rPr>
          <w:rFonts w:hint="default" w:ascii="Calibri" w:hAnsi="Calibri" w:cs="Calibri"/>
          <w:sz w:val="21"/>
          <w:szCs w:val="21"/>
        </w:rPr>
        <w:t> </w:t>
      </w:r>
    </w:p>
    <w:p>
      <w:pPr>
        <w:pStyle w:val="6"/>
        <w:keepNext w:val="0"/>
        <w:keepLines w:val="0"/>
        <w:widowControl/>
        <w:suppressLineNumbers w:val="0"/>
      </w:pPr>
      <w:r>
        <w:rPr>
          <w:rFonts w:hint="eastAsia" w:ascii="宋体" w:hAnsi="宋体" w:eastAsia="宋体" w:cs="宋体"/>
          <w:sz w:val="21"/>
          <w:szCs w:val="21"/>
        </w:rPr>
        <w:t>★注意：</w:t>
      </w:r>
    </w:p>
    <w:p>
      <w:pPr>
        <w:pStyle w:val="6"/>
        <w:keepNext w:val="0"/>
        <w:keepLines w:val="0"/>
        <w:widowControl/>
        <w:suppressLineNumbers w:val="0"/>
      </w:pPr>
      <w:r>
        <w:rPr>
          <w:rFonts w:hint="eastAsia" w:ascii="宋体" w:hAnsi="宋体" w:eastAsia="宋体" w:cs="宋体"/>
          <w:sz w:val="21"/>
          <w:szCs w:val="21"/>
        </w:rPr>
        <w:t>1、招标文件要求投标人提供“具备履行合同所必需的设备和专业技术能力专项证明材料”的，投标人应按照招标文件规定在此项下提供相应证明材料复印件。</w:t>
      </w:r>
    </w:p>
    <w:p>
      <w:pPr>
        <w:pStyle w:val="6"/>
        <w:keepNext w:val="0"/>
        <w:keepLines w:val="0"/>
        <w:widowControl/>
        <w:suppressLineNumbers w:val="0"/>
      </w:pPr>
      <w:r>
        <w:rPr>
          <w:rFonts w:hint="eastAsia" w:ascii="宋体" w:hAnsi="宋体" w:eastAsia="宋体" w:cs="宋体"/>
          <w:sz w:val="21"/>
          <w:szCs w:val="21"/>
        </w:rPr>
        <w:t>2、投标人提供的相应证明材料复印件均应符合：内容完整、清晰、整洁，并由投标人加盖其单位公章。</w:t>
      </w:r>
    </w:p>
    <w:p>
      <w:pPr>
        <w:pStyle w:val="6"/>
        <w:keepNext w:val="0"/>
        <w:keepLines w:val="0"/>
        <w:widowControl/>
        <w:suppressLineNumbers w:val="0"/>
      </w:pPr>
      <w:r>
        <w:rPr>
          <w:rFonts w:hint="default" w:ascii="Calibri" w:hAnsi="Calibri" w:cs="Calibri"/>
          <w:sz w:val="21"/>
          <w:szCs w:val="21"/>
        </w:rPr>
        <w:t> </w:t>
      </w:r>
    </w:p>
    <w:p>
      <w:pPr>
        <w:pStyle w:val="6"/>
        <w:keepNext w:val="0"/>
        <w:keepLines w:val="0"/>
        <w:widowControl/>
        <w:suppressLineNumbers w:val="0"/>
      </w:pPr>
      <w:r>
        <w:rPr>
          <w:rFonts w:hint="default" w:ascii="Calibri" w:hAnsi="Calibri" w:cs="Calibri"/>
          <w:sz w:val="21"/>
          <w:szCs w:val="21"/>
        </w:rPr>
        <w:t> </w:t>
      </w:r>
    </w:p>
    <w:p>
      <w:pPr>
        <w:pStyle w:val="6"/>
        <w:keepNext w:val="0"/>
        <w:keepLines w:val="0"/>
        <w:widowControl/>
        <w:suppressLineNumbers w:val="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6"/>
        <w:keepNext w:val="0"/>
        <w:keepLines w:val="0"/>
        <w:widowControl/>
        <w:suppressLineNumbers w:val="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6"/>
        <w:keepNext w:val="0"/>
        <w:keepLines w:val="0"/>
        <w:widowControl/>
        <w:suppressLineNumbers w:val="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6"/>
        <w:keepNext w:val="0"/>
        <w:keepLines w:val="0"/>
        <w:widowControl/>
        <w:suppressLineNumbers w:val="0"/>
      </w:pPr>
      <w:r>
        <w:rPr>
          <w:rFonts w:hint="eastAsia" w:ascii="宋体" w:hAnsi="宋体" w:eastAsia="宋体" w:cs="宋体"/>
          <w:sz w:val="21"/>
          <w:szCs w:val="21"/>
        </w:rPr>
        <w:t> </w:t>
      </w:r>
    </w:p>
    <w:p>
      <w:pPr>
        <w:pStyle w:val="6"/>
        <w:keepNext w:val="0"/>
        <w:keepLines w:val="0"/>
        <w:widowControl/>
        <w:suppressLineNumbers w:val="0"/>
      </w:pPr>
      <w:r>
        <w:rPr>
          <w:rFonts w:hint="eastAsia" w:ascii="宋体" w:hAnsi="宋体" w:eastAsia="宋体" w:cs="宋体"/>
          <w:sz w:val="21"/>
          <w:szCs w:val="21"/>
        </w:rPr>
        <w:t> </w:t>
      </w:r>
    </w:p>
    <w:p>
      <w:pPr>
        <w:pStyle w:val="6"/>
        <w:keepNext w:val="0"/>
        <w:keepLines w:val="0"/>
        <w:widowControl/>
        <w:suppressLineNumbers w:val="0"/>
        <w:jc w:val="center"/>
      </w:pPr>
      <w:r>
        <w:rPr>
          <w:rFonts w:hint="default" w:ascii="Calibri" w:hAnsi="Calibri" w:cs="Calibri"/>
          <w:sz w:val="21"/>
          <w:szCs w:val="21"/>
        </w:rPr>
        <w:br w:type="textWrapping"/>
      </w:r>
      <w:r>
        <w:rPr>
          <w:rStyle w:val="10"/>
          <w:rFonts w:hint="eastAsia" w:ascii="宋体" w:hAnsi="宋体" w:eastAsia="宋体" w:cs="宋体"/>
          <w:sz w:val="21"/>
          <w:szCs w:val="21"/>
        </w:rPr>
        <w:t>二-12-②招标文件规定的其他资格证明文件（若有）</w:t>
      </w:r>
    </w:p>
    <w:p>
      <w:pPr>
        <w:pStyle w:val="6"/>
        <w:keepNext w:val="0"/>
        <w:keepLines w:val="0"/>
        <w:widowControl/>
        <w:suppressLineNumbers w:val="0"/>
      </w:pPr>
      <w:r>
        <w:rPr>
          <w:rStyle w:val="10"/>
          <w:rFonts w:hint="eastAsia" w:ascii="宋体" w:hAnsi="宋体" w:eastAsia="宋体" w:cs="宋体"/>
          <w:sz w:val="21"/>
          <w:szCs w:val="21"/>
        </w:rPr>
        <w:t> </w:t>
      </w:r>
    </w:p>
    <w:p>
      <w:pPr>
        <w:pStyle w:val="6"/>
        <w:keepNext w:val="0"/>
        <w:keepLines w:val="0"/>
        <w:widowControl/>
        <w:suppressLineNumbers w:val="0"/>
      </w:pPr>
      <w:r>
        <w:rPr>
          <w:rStyle w:val="10"/>
          <w:rFonts w:hint="eastAsia" w:ascii="宋体" w:hAnsi="宋体" w:eastAsia="宋体" w:cs="宋体"/>
          <w:sz w:val="21"/>
          <w:szCs w:val="21"/>
        </w:rPr>
        <w:t> </w:t>
      </w:r>
    </w:p>
    <w:p>
      <w:pPr>
        <w:pStyle w:val="6"/>
        <w:keepNext w:val="0"/>
        <w:keepLines w:val="0"/>
        <w:widowControl/>
        <w:suppressLineNumbers w:val="0"/>
        <w:jc w:val="center"/>
      </w:pPr>
      <w:r>
        <w:rPr>
          <w:rFonts w:hint="eastAsia" w:ascii="宋体" w:hAnsi="宋体" w:eastAsia="宋体" w:cs="宋体"/>
          <w:sz w:val="21"/>
          <w:szCs w:val="21"/>
        </w:rPr>
        <w:t>编制说明</w:t>
      </w:r>
    </w:p>
    <w:p>
      <w:pPr>
        <w:pStyle w:val="6"/>
        <w:keepNext w:val="0"/>
        <w:keepLines w:val="0"/>
        <w:widowControl/>
        <w:suppressLineNumbers w:val="0"/>
        <w:jc w:val="center"/>
      </w:pPr>
      <w:r>
        <w:rPr>
          <w:rFonts w:hint="eastAsia" w:ascii="宋体" w:hAnsi="宋体" w:eastAsia="宋体" w:cs="宋体"/>
          <w:sz w:val="21"/>
          <w:szCs w:val="21"/>
        </w:rPr>
        <w:t> </w:t>
      </w:r>
    </w:p>
    <w:p>
      <w:pPr>
        <w:pStyle w:val="6"/>
        <w:keepNext w:val="0"/>
        <w:keepLines w:val="0"/>
        <w:widowControl/>
        <w:suppressLineNumbers w:val="0"/>
        <w:ind w:left="0" w:firstLine="420"/>
      </w:pPr>
      <w:r>
        <w:rPr>
          <w:rFonts w:hint="eastAsia" w:ascii="宋体" w:hAnsi="宋体" w:eastAsia="宋体" w:cs="宋体"/>
          <w:sz w:val="21"/>
          <w:szCs w:val="21"/>
        </w:rPr>
        <w:t>除招标文件另有规定外，招标文件要求提交的除前述资格证明文件外的其他资格证明文件（若有）加盖投标人的单位公章后应在此项下提交。</w:t>
      </w:r>
    </w:p>
    <w:p>
      <w:pPr>
        <w:pStyle w:val="6"/>
        <w:keepNext w:val="0"/>
        <w:keepLines w:val="0"/>
        <w:widowControl/>
        <w:suppressLineNumbers w:val="0"/>
      </w:pPr>
      <w:r>
        <w:rPr>
          <w:rStyle w:val="10"/>
          <w:rFonts w:hint="eastAsia" w:ascii="宋体" w:hAnsi="宋体" w:eastAsia="宋体" w:cs="宋体"/>
          <w:sz w:val="21"/>
          <w:szCs w:val="21"/>
        </w:rPr>
        <w:t> </w:t>
      </w:r>
    </w:p>
    <w:p>
      <w:pPr>
        <w:pStyle w:val="6"/>
        <w:keepNext w:val="0"/>
        <w:keepLines w:val="0"/>
        <w:widowControl/>
        <w:suppressLineNumbers w:val="0"/>
      </w:pPr>
      <w:r>
        <w:rPr>
          <w:rStyle w:val="10"/>
          <w:rFonts w:hint="eastAsia" w:ascii="宋体" w:hAnsi="宋体" w:eastAsia="宋体" w:cs="宋体"/>
          <w:sz w:val="21"/>
          <w:szCs w:val="21"/>
        </w:rPr>
        <w:t> </w:t>
      </w:r>
    </w:p>
    <w:p>
      <w:pPr>
        <w:pStyle w:val="6"/>
        <w:keepNext w:val="0"/>
        <w:keepLines w:val="0"/>
        <w:widowControl/>
        <w:suppressLineNumbers w:val="0"/>
        <w:jc w:val="center"/>
      </w:pPr>
      <w:r>
        <w:rPr>
          <w:rFonts w:hint="default" w:ascii="Calibri" w:hAnsi="Calibri" w:cs="Calibri"/>
          <w:sz w:val="21"/>
          <w:szCs w:val="21"/>
        </w:rPr>
        <w:br w:type="textWrapping"/>
      </w:r>
      <w:r>
        <w:rPr>
          <w:rFonts w:hint="eastAsia" w:ascii="宋体" w:hAnsi="宋体" w:eastAsia="宋体" w:cs="宋体"/>
          <w:sz w:val="21"/>
          <w:szCs w:val="21"/>
        </w:rPr>
        <w:t>三</w:t>
      </w:r>
      <w:r>
        <w:rPr>
          <w:rStyle w:val="10"/>
          <w:rFonts w:hint="eastAsia" w:ascii="宋体" w:hAnsi="宋体" w:eastAsia="宋体" w:cs="宋体"/>
          <w:sz w:val="21"/>
          <w:szCs w:val="21"/>
        </w:rPr>
        <w:t>、投标保证金</w:t>
      </w:r>
    </w:p>
    <w:p>
      <w:pPr>
        <w:pStyle w:val="6"/>
        <w:keepNext w:val="0"/>
        <w:keepLines w:val="0"/>
        <w:widowControl/>
        <w:suppressLineNumbers w:val="0"/>
      </w:pPr>
      <w:r>
        <w:rPr>
          <w:rFonts w:hint="eastAsia" w:ascii="宋体" w:hAnsi="宋体" w:eastAsia="宋体" w:cs="宋体"/>
          <w:sz w:val="21"/>
          <w:szCs w:val="21"/>
        </w:rPr>
        <w:t> </w:t>
      </w:r>
    </w:p>
    <w:p>
      <w:pPr>
        <w:pStyle w:val="6"/>
        <w:keepNext w:val="0"/>
        <w:keepLines w:val="0"/>
        <w:widowControl/>
        <w:suppressLineNumbers w:val="0"/>
      </w:pPr>
      <w:r>
        <w:rPr>
          <w:rFonts w:hint="eastAsia" w:ascii="宋体" w:hAnsi="宋体" w:eastAsia="宋体" w:cs="宋体"/>
          <w:sz w:val="21"/>
          <w:szCs w:val="21"/>
        </w:rPr>
        <w:t> </w:t>
      </w:r>
    </w:p>
    <w:p>
      <w:pPr>
        <w:pStyle w:val="6"/>
        <w:keepNext w:val="0"/>
        <w:keepLines w:val="0"/>
        <w:widowControl/>
        <w:suppressLineNumbers w:val="0"/>
        <w:jc w:val="center"/>
      </w:pPr>
      <w:r>
        <w:rPr>
          <w:rFonts w:hint="eastAsia" w:ascii="宋体" w:hAnsi="宋体" w:eastAsia="宋体" w:cs="宋体"/>
          <w:sz w:val="21"/>
          <w:szCs w:val="21"/>
        </w:rPr>
        <w:t>编制说明</w:t>
      </w:r>
    </w:p>
    <w:p>
      <w:pPr>
        <w:pStyle w:val="6"/>
        <w:keepNext w:val="0"/>
        <w:keepLines w:val="0"/>
        <w:widowControl/>
        <w:suppressLineNumbers w:val="0"/>
      </w:pPr>
      <w:r>
        <w:rPr>
          <w:rFonts w:hint="eastAsia" w:ascii="宋体" w:hAnsi="宋体" w:eastAsia="宋体" w:cs="宋体"/>
          <w:sz w:val="21"/>
          <w:szCs w:val="21"/>
        </w:rPr>
        <w:t> </w:t>
      </w:r>
    </w:p>
    <w:p>
      <w:pPr>
        <w:pStyle w:val="6"/>
        <w:keepNext w:val="0"/>
        <w:keepLines w:val="0"/>
        <w:widowControl/>
        <w:suppressLineNumbers w:val="0"/>
      </w:pPr>
      <w:r>
        <w:rPr>
          <w:rFonts w:hint="eastAsia" w:ascii="宋体" w:hAnsi="宋体" w:eastAsia="宋体" w:cs="宋体"/>
          <w:sz w:val="21"/>
          <w:szCs w:val="21"/>
        </w:rPr>
        <w:t>1、在此项下提交的</w:t>
      </w:r>
      <w:r>
        <w:rPr>
          <w:rStyle w:val="10"/>
          <w:rFonts w:hint="eastAsia" w:ascii="宋体" w:hAnsi="宋体" w:eastAsia="宋体" w:cs="宋体"/>
          <w:sz w:val="21"/>
          <w:szCs w:val="21"/>
        </w:rPr>
        <w:t>“投标保证金”</w:t>
      </w:r>
      <w:r>
        <w:rPr>
          <w:rFonts w:hint="eastAsia" w:ascii="宋体" w:hAnsi="宋体" w:eastAsia="宋体" w:cs="宋体"/>
          <w:sz w:val="21"/>
          <w:szCs w:val="21"/>
        </w:rPr>
        <w:t>材料可使用转账凭证复印件或从福建省政府采购网上公开信息系统中下载的有关原始页面的打印件。</w:t>
      </w:r>
    </w:p>
    <w:p>
      <w:pPr>
        <w:pStyle w:val="6"/>
        <w:keepNext w:val="0"/>
        <w:keepLines w:val="0"/>
        <w:widowControl/>
        <w:suppressLineNumbers w:val="0"/>
      </w:pPr>
      <w:r>
        <w:rPr>
          <w:rFonts w:hint="eastAsia" w:ascii="宋体" w:hAnsi="宋体" w:eastAsia="宋体" w:cs="宋体"/>
          <w:sz w:val="21"/>
          <w:szCs w:val="21"/>
        </w:rPr>
        <w:t>2、投标保证金是否已提交的认定按照招标文件第三章规定执行。</w:t>
      </w:r>
    </w:p>
    <w:p>
      <w:pPr>
        <w:pStyle w:val="6"/>
        <w:keepNext w:val="0"/>
        <w:keepLines w:val="0"/>
        <w:widowControl/>
        <w:suppressLineNumbers w:val="0"/>
      </w:pPr>
      <w:r>
        <w:rPr>
          <w:rFonts w:hint="eastAsia" w:ascii="宋体" w:hAnsi="宋体" w:eastAsia="宋体" w:cs="宋体"/>
          <w:sz w:val="21"/>
          <w:szCs w:val="21"/>
        </w:rPr>
        <w:t> </w:t>
      </w:r>
    </w:p>
    <w:p>
      <w:pPr>
        <w:pStyle w:val="6"/>
        <w:keepNext w:val="0"/>
        <w:keepLines w:val="0"/>
        <w:widowControl/>
        <w:suppressLineNumbers w:val="0"/>
      </w:pPr>
      <w:r>
        <w:rPr>
          <w:rFonts w:hint="eastAsia" w:ascii="宋体" w:hAnsi="宋体" w:eastAsia="宋体" w:cs="宋体"/>
          <w:sz w:val="21"/>
          <w:szCs w:val="21"/>
        </w:rPr>
        <w:t> </w:t>
      </w:r>
    </w:p>
    <w:p>
      <w:pPr>
        <w:pStyle w:val="6"/>
        <w:keepNext w:val="0"/>
        <w:keepLines w:val="0"/>
        <w:widowControl/>
        <w:suppressLineNumbers w:val="0"/>
      </w:pPr>
    </w:p>
    <w:p>
      <w:pPr>
        <w:pStyle w:val="6"/>
        <w:keepNext w:val="0"/>
        <w:keepLines w:val="0"/>
        <w:widowControl/>
        <w:suppressLineNumbers w:val="0"/>
      </w:pPr>
      <w:r>
        <w:rPr>
          <w:rFonts w:hint="eastAsia" w:ascii="宋体" w:hAnsi="宋体" w:eastAsia="宋体" w:cs="宋体"/>
          <w:sz w:val="21"/>
          <w:szCs w:val="21"/>
        </w:rPr>
        <w:t> </w:t>
      </w:r>
    </w:p>
    <w:p>
      <w:pPr>
        <w:pStyle w:val="6"/>
        <w:keepNext w:val="0"/>
        <w:keepLines w:val="0"/>
        <w:widowControl/>
        <w:suppressLineNumbers w:val="0"/>
      </w:pPr>
      <w:r>
        <w:rPr>
          <w:rFonts w:hint="eastAsia" w:ascii="宋体" w:hAnsi="宋体" w:eastAsia="宋体" w:cs="宋体"/>
          <w:sz w:val="21"/>
          <w:szCs w:val="21"/>
        </w:rPr>
        <w:t> </w:t>
      </w:r>
    </w:p>
    <w:p>
      <w:pPr>
        <w:pStyle w:val="6"/>
        <w:keepNext w:val="0"/>
        <w:keepLines w:val="0"/>
        <w:widowControl/>
        <w:suppressLineNumbers w:val="0"/>
        <w:jc w:val="center"/>
      </w:pPr>
      <w:r>
        <w:rPr>
          <w:rStyle w:val="10"/>
          <w:rFonts w:hint="eastAsia" w:ascii="宋体" w:hAnsi="宋体" w:eastAsia="宋体" w:cs="宋体"/>
          <w:sz w:val="28"/>
          <w:szCs w:val="28"/>
        </w:rPr>
        <w:t>封面格式</w:t>
      </w:r>
    </w:p>
    <w:p>
      <w:pPr>
        <w:pStyle w:val="6"/>
        <w:keepNext w:val="0"/>
        <w:keepLines w:val="0"/>
        <w:widowControl/>
        <w:suppressLineNumbers w:val="0"/>
      </w:pPr>
      <w:r>
        <w:rPr>
          <w:rFonts w:hint="eastAsia" w:ascii="宋体" w:hAnsi="宋体" w:eastAsia="宋体" w:cs="宋体"/>
          <w:sz w:val="36"/>
          <w:szCs w:val="36"/>
        </w:rPr>
        <w:t> </w:t>
      </w:r>
    </w:p>
    <w:p>
      <w:pPr>
        <w:pStyle w:val="6"/>
        <w:keepNext w:val="0"/>
        <w:keepLines w:val="0"/>
        <w:widowControl/>
        <w:suppressLineNumbers w:val="0"/>
      </w:pPr>
      <w:r>
        <w:rPr>
          <w:rFonts w:hint="eastAsia" w:ascii="宋体" w:hAnsi="宋体" w:eastAsia="宋体" w:cs="宋体"/>
          <w:sz w:val="36"/>
          <w:szCs w:val="36"/>
        </w:rPr>
        <w:t> </w:t>
      </w:r>
    </w:p>
    <w:p>
      <w:pPr>
        <w:pStyle w:val="6"/>
        <w:keepNext w:val="0"/>
        <w:keepLines w:val="0"/>
        <w:widowControl/>
        <w:suppressLineNumbers w:val="0"/>
      </w:pPr>
      <w:r>
        <w:rPr>
          <w:rFonts w:hint="eastAsia" w:ascii="宋体" w:hAnsi="宋体" w:eastAsia="宋体" w:cs="宋体"/>
          <w:sz w:val="36"/>
          <w:szCs w:val="36"/>
        </w:rPr>
        <w:t> </w:t>
      </w:r>
    </w:p>
    <w:p>
      <w:pPr>
        <w:pStyle w:val="6"/>
        <w:keepNext w:val="0"/>
        <w:keepLines w:val="0"/>
        <w:widowControl/>
        <w:suppressLineNumbers w:val="0"/>
        <w:jc w:val="center"/>
      </w:pPr>
      <w:r>
        <w:rPr>
          <w:rStyle w:val="10"/>
          <w:rFonts w:hint="eastAsia" w:ascii="宋体" w:hAnsi="宋体" w:eastAsia="宋体" w:cs="宋体"/>
          <w:sz w:val="48"/>
          <w:szCs w:val="48"/>
        </w:rPr>
        <w:t>福建省政府采购投标文件</w:t>
      </w:r>
    </w:p>
    <w:p>
      <w:pPr>
        <w:pStyle w:val="6"/>
        <w:keepNext w:val="0"/>
        <w:keepLines w:val="0"/>
        <w:widowControl/>
        <w:suppressLineNumbers w:val="0"/>
        <w:jc w:val="center"/>
      </w:pPr>
      <w:r>
        <w:rPr>
          <w:rStyle w:val="10"/>
          <w:rFonts w:hint="eastAsia" w:ascii="宋体" w:hAnsi="宋体" w:eastAsia="宋体" w:cs="宋体"/>
          <w:sz w:val="48"/>
          <w:szCs w:val="48"/>
        </w:rPr>
        <w:t>（报价部分）</w:t>
      </w:r>
    </w:p>
    <w:p>
      <w:pPr>
        <w:pStyle w:val="6"/>
        <w:keepNext w:val="0"/>
        <w:keepLines w:val="0"/>
        <w:widowControl/>
        <w:suppressLineNumbers w:val="0"/>
      </w:pPr>
      <w:r>
        <w:rPr>
          <w:rFonts w:hint="eastAsia" w:ascii="宋体" w:hAnsi="宋体" w:eastAsia="宋体" w:cs="宋体"/>
          <w:sz w:val="36"/>
          <w:szCs w:val="36"/>
        </w:rPr>
        <w:t> </w:t>
      </w:r>
    </w:p>
    <w:p>
      <w:pPr>
        <w:pStyle w:val="6"/>
        <w:keepNext w:val="0"/>
        <w:keepLines w:val="0"/>
        <w:widowControl/>
        <w:suppressLineNumbers w:val="0"/>
        <w:jc w:val="center"/>
      </w:pPr>
      <w:r>
        <w:rPr>
          <w:rStyle w:val="10"/>
          <w:rFonts w:hint="eastAsia" w:ascii="宋体" w:hAnsi="宋体" w:eastAsia="宋体" w:cs="宋体"/>
          <w:sz w:val="36"/>
          <w:szCs w:val="36"/>
          <w:u w:val="single"/>
        </w:rPr>
        <w:t>（填写正本或副本）</w:t>
      </w:r>
    </w:p>
    <w:p>
      <w:pPr>
        <w:pStyle w:val="6"/>
        <w:keepNext w:val="0"/>
        <w:keepLines w:val="0"/>
        <w:widowControl/>
        <w:suppressLineNumbers w:val="0"/>
      </w:pPr>
      <w:r>
        <w:rPr>
          <w:rFonts w:hint="eastAsia" w:ascii="宋体" w:hAnsi="宋体" w:eastAsia="宋体" w:cs="宋体"/>
          <w:sz w:val="36"/>
          <w:szCs w:val="36"/>
        </w:rPr>
        <w:t> </w:t>
      </w:r>
    </w:p>
    <w:p>
      <w:pPr>
        <w:pStyle w:val="6"/>
        <w:keepNext w:val="0"/>
        <w:keepLines w:val="0"/>
        <w:widowControl/>
        <w:suppressLineNumbers w:val="0"/>
        <w:ind w:left="0" w:firstLine="1920"/>
      </w:pPr>
      <w:r>
        <w:rPr>
          <w:rStyle w:val="10"/>
          <w:rFonts w:hint="eastAsia" w:ascii="宋体" w:hAnsi="宋体" w:eastAsia="宋体" w:cs="宋体"/>
          <w:sz w:val="31"/>
          <w:szCs w:val="31"/>
        </w:rPr>
        <w:t>项目名称：</w:t>
      </w:r>
      <w:r>
        <w:rPr>
          <w:rStyle w:val="10"/>
          <w:rFonts w:hint="eastAsia" w:ascii="宋体" w:hAnsi="宋体" w:eastAsia="宋体" w:cs="宋体"/>
          <w:sz w:val="31"/>
          <w:szCs w:val="31"/>
          <w:u w:val="single"/>
        </w:rPr>
        <w:t>（由投标人填写）</w:t>
      </w:r>
    </w:p>
    <w:p>
      <w:pPr>
        <w:pStyle w:val="6"/>
        <w:keepNext w:val="0"/>
        <w:keepLines w:val="0"/>
        <w:widowControl/>
        <w:suppressLineNumbers w:val="0"/>
        <w:ind w:left="0" w:firstLine="1920"/>
      </w:pPr>
      <w:r>
        <w:rPr>
          <w:rStyle w:val="10"/>
          <w:rFonts w:hint="eastAsia" w:ascii="宋体" w:hAnsi="宋体" w:eastAsia="宋体" w:cs="宋体"/>
          <w:sz w:val="31"/>
          <w:szCs w:val="31"/>
        </w:rPr>
        <w:t>备案编号：</w:t>
      </w:r>
      <w:r>
        <w:rPr>
          <w:rStyle w:val="10"/>
          <w:rFonts w:hint="eastAsia" w:ascii="宋体" w:hAnsi="宋体" w:eastAsia="宋体" w:cs="宋体"/>
          <w:sz w:val="31"/>
          <w:szCs w:val="31"/>
          <w:u w:val="single"/>
        </w:rPr>
        <w:t>（由投标人填写）</w:t>
      </w:r>
    </w:p>
    <w:p>
      <w:pPr>
        <w:pStyle w:val="6"/>
        <w:keepNext w:val="0"/>
        <w:keepLines w:val="0"/>
        <w:widowControl/>
        <w:suppressLineNumbers w:val="0"/>
        <w:ind w:left="0" w:firstLine="1920"/>
      </w:pPr>
      <w:r>
        <w:rPr>
          <w:rStyle w:val="10"/>
          <w:rFonts w:hint="eastAsia" w:ascii="宋体" w:hAnsi="宋体" w:eastAsia="宋体" w:cs="宋体"/>
          <w:sz w:val="31"/>
          <w:szCs w:val="31"/>
        </w:rPr>
        <w:t>招标编号：</w:t>
      </w:r>
      <w:r>
        <w:rPr>
          <w:rStyle w:val="10"/>
          <w:rFonts w:hint="eastAsia" w:ascii="宋体" w:hAnsi="宋体" w:eastAsia="宋体" w:cs="宋体"/>
          <w:sz w:val="31"/>
          <w:szCs w:val="31"/>
          <w:u w:val="single"/>
        </w:rPr>
        <w:t>（由投标人填写）</w:t>
      </w:r>
    </w:p>
    <w:p>
      <w:pPr>
        <w:pStyle w:val="6"/>
        <w:keepNext w:val="0"/>
        <w:keepLines w:val="0"/>
        <w:widowControl/>
        <w:suppressLineNumbers w:val="0"/>
        <w:ind w:left="0" w:firstLine="1920"/>
      </w:pPr>
      <w:r>
        <w:rPr>
          <w:rStyle w:val="10"/>
          <w:rFonts w:hint="eastAsia" w:ascii="宋体" w:hAnsi="宋体" w:eastAsia="宋体" w:cs="宋体"/>
          <w:sz w:val="31"/>
          <w:szCs w:val="31"/>
        </w:rPr>
        <w:t>所投合同包：</w:t>
      </w:r>
      <w:r>
        <w:rPr>
          <w:rStyle w:val="10"/>
          <w:rFonts w:hint="eastAsia" w:ascii="宋体" w:hAnsi="宋体" w:eastAsia="宋体" w:cs="宋体"/>
          <w:sz w:val="31"/>
          <w:szCs w:val="31"/>
          <w:u w:val="single"/>
        </w:rPr>
        <w:t>（由投标人填写）</w:t>
      </w:r>
    </w:p>
    <w:p>
      <w:pPr>
        <w:pStyle w:val="6"/>
        <w:keepNext w:val="0"/>
        <w:keepLines w:val="0"/>
        <w:widowControl/>
        <w:suppressLineNumbers w:val="0"/>
      </w:pPr>
      <w:r>
        <w:rPr>
          <w:rFonts w:hint="eastAsia" w:ascii="宋体" w:hAnsi="宋体" w:eastAsia="宋体" w:cs="宋体"/>
          <w:sz w:val="36"/>
          <w:szCs w:val="36"/>
        </w:rPr>
        <w:t> </w:t>
      </w:r>
    </w:p>
    <w:p>
      <w:pPr>
        <w:pStyle w:val="6"/>
        <w:keepNext w:val="0"/>
        <w:keepLines w:val="0"/>
        <w:widowControl/>
        <w:suppressLineNumbers w:val="0"/>
      </w:pPr>
      <w:r>
        <w:rPr>
          <w:rFonts w:hint="eastAsia" w:ascii="宋体" w:hAnsi="宋体" w:eastAsia="宋体" w:cs="宋体"/>
          <w:sz w:val="36"/>
          <w:szCs w:val="36"/>
        </w:rPr>
        <w:t> </w:t>
      </w:r>
    </w:p>
    <w:p>
      <w:pPr>
        <w:pStyle w:val="6"/>
        <w:keepNext w:val="0"/>
        <w:keepLines w:val="0"/>
        <w:widowControl/>
        <w:suppressLineNumbers w:val="0"/>
      </w:pPr>
      <w:r>
        <w:rPr>
          <w:rFonts w:hint="eastAsia" w:ascii="宋体" w:hAnsi="宋体" w:eastAsia="宋体" w:cs="宋体"/>
          <w:sz w:val="36"/>
          <w:szCs w:val="36"/>
        </w:rPr>
        <w:t> </w:t>
      </w:r>
    </w:p>
    <w:p>
      <w:pPr>
        <w:pStyle w:val="6"/>
        <w:keepNext w:val="0"/>
        <w:keepLines w:val="0"/>
        <w:widowControl/>
        <w:suppressLineNumbers w:val="0"/>
      </w:pPr>
      <w:r>
        <w:rPr>
          <w:rFonts w:hint="eastAsia" w:ascii="宋体" w:hAnsi="宋体" w:eastAsia="宋体" w:cs="宋体"/>
          <w:sz w:val="36"/>
          <w:szCs w:val="36"/>
        </w:rPr>
        <w:t> </w:t>
      </w:r>
    </w:p>
    <w:p>
      <w:pPr>
        <w:pStyle w:val="6"/>
        <w:keepNext w:val="0"/>
        <w:keepLines w:val="0"/>
        <w:widowControl/>
        <w:suppressLineNumbers w:val="0"/>
        <w:jc w:val="center"/>
      </w:pPr>
      <w:r>
        <w:rPr>
          <w:rStyle w:val="10"/>
          <w:rFonts w:hint="eastAsia" w:ascii="宋体" w:hAnsi="宋体" w:eastAsia="宋体" w:cs="宋体"/>
          <w:sz w:val="31"/>
          <w:szCs w:val="31"/>
        </w:rPr>
        <w:t>投标人：</w:t>
      </w:r>
      <w:r>
        <w:rPr>
          <w:rStyle w:val="10"/>
          <w:rFonts w:hint="eastAsia" w:ascii="宋体" w:hAnsi="宋体" w:eastAsia="宋体" w:cs="宋体"/>
          <w:sz w:val="31"/>
          <w:szCs w:val="31"/>
          <w:u w:val="single"/>
        </w:rPr>
        <w:t>（填写“全称”）</w:t>
      </w:r>
    </w:p>
    <w:p>
      <w:pPr>
        <w:pStyle w:val="6"/>
        <w:keepNext w:val="0"/>
        <w:keepLines w:val="0"/>
        <w:widowControl/>
        <w:suppressLineNumbers w:val="0"/>
        <w:jc w:val="center"/>
      </w:pPr>
      <w:r>
        <w:rPr>
          <w:rStyle w:val="10"/>
          <w:rFonts w:hint="eastAsia" w:ascii="宋体" w:hAnsi="宋体" w:eastAsia="宋体" w:cs="宋体"/>
          <w:sz w:val="31"/>
          <w:szCs w:val="31"/>
          <w:u w:val="single"/>
        </w:rPr>
        <w:t>（由投标人填写）</w:t>
      </w:r>
      <w:r>
        <w:rPr>
          <w:rStyle w:val="10"/>
          <w:rFonts w:hint="eastAsia" w:ascii="宋体" w:hAnsi="宋体" w:eastAsia="宋体" w:cs="宋体"/>
          <w:sz w:val="31"/>
          <w:szCs w:val="31"/>
        </w:rPr>
        <w:t>年</w:t>
      </w:r>
      <w:r>
        <w:rPr>
          <w:rStyle w:val="10"/>
          <w:rFonts w:hint="eastAsia" w:ascii="宋体" w:hAnsi="宋体" w:eastAsia="宋体" w:cs="宋体"/>
          <w:sz w:val="31"/>
          <w:szCs w:val="31"/>
          <w:u w:val="single"/>
        </w:rPr>
        <w:t>（由投标人填写）</w:t>
      </w:r>
      <w:r>
        <w:rPr>
          <w:rStyle w:val="10"/>
          <w:rFonts w:hint="eastAsia" w:ascii="宋体" w:hAnsi="宋体" w:eastAsia="宋体" w:cs="宋体"/>
          <w:sz w:val="31"/>
          <w:szCs w:val="31"/>
        </w:rPr>
        <w:t>月</w:t>
      </w:r>
    </w:p>
    <w:p>
      <w:pPr>
        <w:pStyle w:val="6"/>
        <w:keepNext w:val="0"/>
        <w:keepLines w:val="0"/>
        <w:widowControl/>
        <w:suppressLineNumbers w:val="0"/>
      </w:pPr>
      <w:r>
        <w:rPr>
          <w:rFonts w:hint="eastAsia" w:ascii="宋体" w:hAnsi="宋体" w:eastAsia="宋体" w:cs="宋体"/>
          <w:sz w:val="21"/>
          <w:szCs w:val="21"/>
        </w:rPr>
        <w:t> </w:t>
      </w:r>
    </w:p>
    <w:p>
      <w:pPr>
        <w:pStyle w:val="6"/>
        <w:keepNext w:val="0"/>
        <w:keepLines w:val="0"/>
        <w:widowControl/>
        <w:suppressLineNumbers w:val="0"/>
      </w:pPr>
      <w:r>
        <w:rPr>
          <w:rFonts w:hint="eastAsia" w:ascii="宋体" w:hAnsi="宋体" w:eastAsia="宋体" w:cs="宋体"/>
          <w:sz w:val="21"/>
          <w:szCs w:val="21"/>
        </w:rPr>
        <w:t> </w:t>
      </w:r>
    </w:p>
    <w:p>
      <w:pPr>
        <w:pStyle w:val="6"/>
        <w:keepNext w:val="0"/>
        <w:keepLines w:val="0"/>
        <w:widowControl/>
        <w:suppressLineNumbers w:val="0"/>
        <w:jc w:val="center"/>
      </w:pPr>
      <w:r>
        <w:rPr>
          <w:rFonts w:hint="default" w:ascii="Calibri" w:hAnsi="Calibri" w:cs="Calibri"/>
          <w:sz w:val="21"/>
          <w:szCs w:val="21"/>
        </w:rPr>
        <w:br w:type="textWrapping"/>
      </w:r>
      <w:r>
        <w:rPr>
          <w:rStyle w:val="10"/>
          <w:rFonts w:hint="eastAsia" w:ascii="宋体" w:hAnsi="宋体" w:eastAsia="宋体" w:cs="宋体"/>
          <w:sz w:val="28"/>
          <w:szCs w:val="28"/>
        </w:rPr>
        <w:t>索引</w:t>
      </w:r>
    </w:p>
    <w:p>
      <w:pPr>
        <w:pStyle w:val="6"/>
        <w:keepNext w:val="0"/>
        <w:keepLines w:val="0"/>
        <w:widowControl/>
        <w:suppressLineNumbers w:val="0"/>
      </w:pPr>
      <w:r>
        <w:rPr>
          <w:rFonts w:hint="eastAsia" w:ascii="宋体" w:hAnsi="宋体" w:eastAsia="宋体" w:cs="宋体"/>
          <w:sz w:val="28"/>
          <w:szCs w:val="28"/>
        </w:rPr>
        <w:t>一、开标一览表</w:t>
      </w:r>
    </w:p>
    <w:p>
      <w:pPr>
        <w:pStyle w:val="6"/>
        <w:keepNext w:val="0"/>
        <w:keepLines w:val="0"/>
        <w:widowControl/>
        <w:suppressLineNumbers w:val="0"/>
      </w:pPr>
      <w:r>
        <w:rPr>
          <w:rFonts w:hint="eastAsia" w:ascii="宋体" w:hAnsi="宋体" w:eastAsia="宋体" w:cs="宋体"/>
          <w:sz w:val="28"/>
          <w:szCs w:val="28"/>
        </w:rPr>
        <w:t>二、投标分项报价表</w:t>
      </w:r>
    </w:p>
    <w:p>
      <w:pPr>
        <w:pStyle w:val="6"/>
        <w:keepNext w:val="0"/>
        <w:keepLines w:val="0"/>
        <w:widowControl/>
        <w:suppressLineNumbers w:val="0"/>
      </w:pPr>
      <w:r>
        <w:rPr>
          <w:rFonts w:hint="eastAsia" w:ascii="宋体" w:hAnsi="宋体" w:eastAsia="宋体" w:cs="宋体"/>
          <w:sz w:val="28"/>
          <w:szCs w:val="28"/>
        </w:rPr>
        <w:t>三、招标文件规定的价格扣除证明材料（若有）</w:t>
      </w:r>
    </w:p>
    <w:p>
      <w:pPr>
        <w:pStyle w:val="6"/>
        <w:keepNext w:val="0"/>
        <w:keepLines w:val="0"/>
        <w:widowControl/>
        <w:suppressLineNumbers w:val="0"/>
      </w:pPr>
      <w:r>
        <w:rPr>
          <w:rFonts w:hint="eastAsia" w:ascii="宋体" w:hAnsi="宋体" w:eastAsia="宋体" w:cs="宋体"/>
          <w:sz w:val="28"/>
          <w:szCs w:val="28"/>
        </w:rPr>
        <w:t>四、招标文件规定的加分证明材料（若有）</w:t>
      </w:r>
    </w:p>
    <w:p>
      <w:pPr>
        <w:pStyle w:val="6"/>
        <w:keepNext w:val="0"/>
        <w:keepLines w:val="0"/>
        <w:widowControl/>
        <w:suppressLineNumbers w:val="0"/>
      </w:pPr>
      <w:r>
        <w:rPr>
          <w:rFonts w:hint="eastAsia" w:ascii="宋体" w:hAnsi="宋体" w:eastAsia="宋体" w:cs="宋体"/>
          <w:sz w:val="21"/>
          <w:szCs w:val="21"/>
        </w:rPr>
        <w:t> </w:t>
      </w:r>
    </w:p>
    <w:p>
      <w:pPr>
        <w:pStyle w:val="6"/>
        <w:keepNext w:val="0"/>
        <w:keepLines w:val="0"/>
        <w:widowControl/>
        <w:suppressLineNumbers w:val="0"/>
      </w:pPr>
      <w:r>
        <w:rPr>
          <w:rFonts w:hint="eastAsia" w:ascii="宋体" w:hAnsi="宋体" w:eastAsia="宋体" w:cs="宋体"/>
          <w:sz w:val="21"/>
          <w:szCs w:val="21"/>
        </w:rPr>
        <w:t> </w:t>
      </w:r>
    </w:p>
    <w:p>
      <w:pPr>
        <w:pStyle w:val="6"/>
        <w:keepNext w:val="0"/>
        <w:keepLines w:val="0"/>
        <w:widowControl/>
        <w:suppressLineNumbers w:val="0"/>
        <w:jc w:val="center"/>
      </w:pPr>
      <w:r>
        <w:rPr>
          <w:rFonts w:hint="default" w:ascii="Calibri" w:hAnsi="Calibri" w:cs="Calibri"/>
          <w:sz w:val="21"/>
          <w:szCs w:val="21"/>
        </w:rPr>
        <w:br w:type="textWrapping"/>
      </w:r>
      <w:r>
        <w:rPr>
          <w:rStyle w:val="10"/>
          <w:rFonts w:hint="eastAsia" w:ascii="宋体" w:hAnsi="宋体" w:eastAsia="宋体" w:cs="宋体"/>
          <w:sz w:val="21"/>
          <w:szCs w:val="21"/>
        </w:rPr>
        <w:t>一、开标一览表</w:t>
      </w:r>
    </w:p>
    <w:p>
      <w:pPr>
        <w:pStyle w:val="6"/>
        <w:keepNext w:val="0"/>
        <w:keepLines w:val="0"/>
        <w:widowControl/>
        <w:suppressLineNumbers w:val="0"/>
      </w:pPr>
      <w:r>
        <w:rPr>
          <w:rFonts w:hint="eastAsia" w:ascii="宋体" w:hAnsi="宋体" w:eastAsia="宋体" w:cs="宋体"/>
          <w:sz w:val="21"/>
          <w:szCs w:val="21"/>
        </w:rPr>
        <w:t> </w:t>
      </w:r>
    </w:p>
    <w:p>
      <w:pPr>
        <w:pStyle w:val="6"/>
        <w:keepNext w:val="0"/>
        <w:keepLines w:val="0"/>
        <w:widowControl/>
        <w:suppressLineNumbers w:val="0"/>
      </w:pPr>
      <w:r>
        <w:rPr>
          <w:rFonts w:hint="eastAsia" w:ascii="宋体" w:hAnsi="宋体" w:eastAsia="宋体" w:cs="宋体"/>
          <w:sz w:val="21"/>
          <w:szCs w:val="21"/>
        </w:rPr>
        <w:t>招标编号：</w:t>
      </w:r>
      <w:r>
        <w:rPr>
          <w:rFonts w:hint="eastAsia" w:ascii="宋体" w:hAnsi="宋体" w:eastAsia="宋体" w:cs="宋体"/>
          <w:sz w:val="21"/>
          <w:szCs w:val="21"/>
          <w:u w:val="single"/>
        </w:rPr>
        <w:t>                   </w:t>
      </w:r>
    </w:p>
    <w:p>
      <w:pPr>
        <w:pStyle w:val="6"/>
        <w:keepNext w:val="0"/>
        <w:keepLines w:val="0"/>
        <w:widowControl/>
        <w:suppressLineNumbers w:val="0"/>
        <w:jc w:val="right"/>
      </w:pPr>
      <w:r>
        <w:rPr>
          <w:rFonts w:hint="eastAsia" w:ascii="宋体" w:hAnsi="宋体" w:eastAsia="宋体" w:cs="宋体"/>
          <w:sz w:val="21"/>
          <w:szCs w:val="21"/>
        </w:rPr>
        <w:t>货币及单位：人民币元</w:t>
      </w:r>
    </w:p>
    <w:tbl>
      <w:tblPr>
        <w:tblStyle w:val="7"/>
        <w:tblW w:w="8520"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
      <w:tblGrid>
        <w:gridCol w:w="1028"/>
        <w:gridCol w:w="5700"/>
        <w:gridCol w:w="705"/>
        <w:gridCol w:w="108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Ex>
        <w:trPr>
          <w:tblCellSpacing w:w="15" w:type="dxa"/>
        </w:trPr>
        <w:tc>
          <w:tcPr>
            <w:tcW w:w="983" w:type="dxa"/>
            <w:tcBorders>
              <w:top w:val="nil"/>
              <w:left w:val="nil"/>
              <w:bottom w:val="nil"/>
              <w:right w:val="nil"/>
            </w:tcBorders>
            <w:shd w:val="clear" w:color="auto" w:fill="auto"/>
            <w:tcMar>
              <w:top w:w="0" w:type="dxa"/>
              <w:left w:w="105" w:type="dxa"/>
              <w:bottom w:w="0" w:type="dxa"/>
              <w:right w:w="105" w:type="dxa"/>
            </w:tcMar>
            <w:vAlign w:val="center"/>
          </w:tcPr>
          <w:p>
            <w:pPr>
              <w:pStyle w:val="6"/>
              <w:keepNext w:val="0"/>
              <w:keepLines w:val="0"/>
              <w:widowControl/>
              <w:suppressLineNumbers w:val="0"/>
              <w:jc w:val="center"/>
            </w:pPr>
            <w:r>
              <w:rPr>
                <w:rFonts w:hint="eastAsia" w:ascii="宋体" w:hAnsi="宋体" w:eastAsia="宋体" w:cs="宋体"/>
                <w:sz w:val="21"/>
                <w:szCs w:val="21"/>
              </w:rPr>
              <w:t>合同包</w:t>
            </w:r>
          </w:p>
        </w:tc>
        <w:tc>
          <w:tcPr>
            <w:tcW w:w="5670" w:type="dxa"/>
            <w:tcBorders>
              <w:top w:val="nil"/>
              <w:left w:val="nil"/>
              <w:bottom w:val="nil"/>
              <w:right w:val="nil"/>
            </w:tcBorders>
            <w:shd w:val="clear" w:color="auto" w:fill="auto"/>
            <w:tcMar>
              <w:top w:w="0" w:type="dxa"/>
              <w:left w:w="105" w:type="dxa"/>
              <w:bottom w:w="0" w:type="dxa"/>
              <w:right w:w="105" w:type="dxa"/>
            </w:tcMar>
            <w:vAlign w:val="center"/>
          </w:tcPr>
          <w:p>
            <w:pPr>
              <w:pStyle w:val="6"/>
              <w:keepNext w:val="0"/>
              <w:keepLines w:val="0"/>
              <w:widowControl/>
              <w:suppressLineNumbers w:val="0"/>
              <w:jc w:val="center"/>
            </w:pPr>
            <w:r>
              <w:rPr>
                <w:rFonts w:hint="eastAsia" w:ascii="宋体" w:hAnsi="宋体" w:eastAsia="宋体" w:cs="宋体"/>
                <w:sz w:val="21"/>
                <w:szCs w:val="21"/>
              </w:rPr>
              <w:t>投标报价</w:t>
            </w:r>
          </w:p>
        </w:tc>
        <w:tc>
          <w:tcPr>
            <w:tcW w:w="675" w:type="dxa"/>
            <w:tcBorders>
              <w:top w:val="nil"/>
              <w:left w:val="nil"/>
              <w:bottom w:val="nil"/>
              <w:right w:val="nil"/>
            </w:tcBorders>
            <w:shd w:val="clear" w:color="auto" w:fill="auto"/>
            <w:tcMar>
              <w:top w:w="0" w:type="dxa"/>
              <w:left w:w="105" w:type="dxa"/>
              <w:bottom w:w="0" w:type="dxa"/>
              <w:right w:w="105" w:type="dxa"/>
            </w:tcMar>
            <w:vAlign w:val="center"/>
          </w:tcPr>
          <w:p>
            <w:pPr>
              <w:pStyle w:val="6"/>
              <w:keepNext w:val="0"/>
              <w:keepLines w:val="0"/>
              <w:widowControl/>
              <w:suppressLineNumbers w:val="0"/>
              <w:jc w:val="center"/>
            </w:pPr>
            <w:r>
              <w:rPr>
                <w:rFonts w:hint="eastAsia" w:ascii="宋体" w:hAnsi="宋体" w:eastAsia="宋体" w:cs="宋体"/>
                <w:sz w:val="21"/>
                <w:szCs w:val="21"/>
              </w:rPr>
              <w:t>投标</w:t>
            </w:r>
          </w:p>
          <w:p>
            <w:pPr>
              <w:pStyle w:val="6"/>
              <w:keepNext w:val="0"/>
              <w:keepLines w:val="0"/>
              <w:widowControl/>
              <w:suppressLineNumbers w:val="0"/>
              <w:jc w:val="center"/>
            </w:pPr>
            <w:r>
              <w:rPr>
                <w:rFonts w:hint="eastAsia" w:ascii="宋体" w:hAnsi="宋体" w:eastAsia="宋体" w:cs="宋体"/>
                <w:sz w:val="21"/>
                <w:szCs w:val="21"/>
              </w:rPr>
              <w:t>保证金</w:t>
            </w:r>
          </w:p>
        </w:tc>
        <w:tc>
          <w:tcPr>
            <w:tcW w:w="1042" w:type="dxa"/>
            <w:tcBorders>
              <w:top w:val="nil"/>
              <w:left w:val="nil"/>
              <w:bottom w:val="nil"/>
              <w:right w:val="nil"/>
            </w:tcBorders>
            <w:shd w:val="clear" w:color="auto" w:fill="auto"/>
            <w:tcMar>
              <w:top w:w="0" w:type="dxa"/>
              <w:left w:w="105" w:type="dxa"/>
              <w:bottom w:w="0" w:type="dxa"/>
              <w:right w:w="105" w:type="dxa"/>
            </w:tcMar>
            <w:vAlign w:val="center"/>
          </w:tcPr>
          <w:p>
            <w:pPr>
              <w:pStyle w:val="6"/>
              <w:keepNext w:val="0"/>
              <w:keepLines w:val="0"/>
              <w:widowControl/>
              <w:suppressLineNumbers w:val="0"/>
              <w:jc w:val="center"/>
            </w:pPr>
            <w:r>
              <w:rPr>
                <w:rFonts w:hint="eastAsia" w:ascii="宋体" w:hAnsi="宋体" w:eastAsia="宋体" w:cs="宋体"/>
                <w:sz w:val="21"/>
                <w:szCs w:val="21"/>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1800" w:hRule="atLeast"/>
          <w:tblCellSpacing w:w="15" w:type="dxa"/>
        </w:trPr>
        <w:tc>
          <w:tcPr>
            <w:tcW w:w="983" w:type="dxa"/>
            <w:tcBorders>
              <w:top w:val="nil"/>
              <w:left w:val="nil"/>
              <w:bottom w:val="nil"/>
              <w:right w:val="nil"/>
            </w:tcBorders>
            <w:shd w:val="clear" w:color="auto" w:fill="auto"/>
            <w:tcMar>
              <w:top w:w="0" w:type="dxa"/>
              <w:left w:w="105" w:type="dxa"/>
              <w:bottom w:w="0" w:type="dxa"/>
              <w:right w:w="105" w:type="dxa"/>
            </w:tcMar>
            <w:vAlign w:val="center"/>
          </w:tcPr>
          <w:p>
            <w:pPr>
              <w:pStyle w:val="6"/>
              <w:keepNext w:val="0"/>
              <w:keepLines w:val="0"/>
              <w:widowControl/>
              <w:suppressLineNumbers w:val="0"/>
              <w:jc w:val="center"/>
            </w:pPr>
            <w:r>
              <w:rPr>
                <w:rFonts w:hint="eastAsia" w:ascii="宋体" w:hAnsi="宋体" w:eastAsia="宋体" w:cs="宋体"/>
                <w:sz w:val="21"/>
                <w:szCs w:val="21"/>
              </w:rPr>
              <w:t>*</w:t>
            </w:r>
          </w:p>
        </w:tc>
        <w:tc>
          <w:tcPr>
            <w:tcW w:w="5670" w:type="dxa"/>
            <w:tcBorders>
              <w:top w:val="nil"/>
              <w:left w:val="nil"/>
              <w:bottom w:val="nil"/>
              <w:right w:val="nil"/>
            </w:tcBorders>
            <w:shd w:val="clear" w:color="auto" w:fill="auto"/>
            <w:tcMar>
              <w:top w:w="0" w:type="dxa"/>
              <w:left w:w="105" w:type="dxa"/>
              <w:bottom w:w="0" w:type="dxa"/>
              <w:right w:w="105" w:type="dxa"/>
            </w:tcMar>
            <w:vAlign w:val="center"/>
          </w:tcPr>
          <w:p>
            <w:pPr>
              <w:pStyle w:val="6"/>
              <w:keepNext w:val="0"/>
              <w:keepLines w:val="0"/>
              <w:widowControl/>
              <w:suppressLineNumbers w:val="0"/>
            </w:pPr>
            <w:r>
              <w:rPr>
                <w:rFonts w:hint="eastAsia" w:ascii="宋体" w:hAnsi="宋体" w:eastAsia="宋体" w:cs="宋体"/>
                <w:sz w:val="21"/>
                <w:szCs w:val="21"/>
              </w:rPr>
              <w:t>投标总价（大写金额）：</w:t>
            </w:r>
            <w:r>
              <w:rPr>
                <w:rFonts w:hint="eastAsia" w:ascii="宋体" w:hAnsi="宋体" w:eastAsia="宋体" w:cs="宋体"/>
                <w:sz w:val="21"/>
                <w:szCs w:val="21"/>
                <w:u w:val="single"/>
              </w:rPr>
              <w:t>                      </w:t>
            </w:r>
            <w:r>
              <w:rPr>
                <w:rFonts w:hint="eastAsia" w:ascii="宋体" w:hAnsi="宋体" w:eastAsia="宋体" w:cs="宋体"/>
                <w:sz w:val="21"/>
                <w:szCs w:val="21"/>
              </w:rPr>
              <w:t>。</w:t>
            </w:r>
          </w:p>
        </w:tc>
        <w:tc>
          <w:tcPr>
            <w:tcW w:w="67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1042" w:type="dxa"/>
            <w:vMerge w:val="restart"/>
            <w:tcBorders>
              <w:top w:val="nil"/>
              <w:left w:val="nil"/>
              <w:bottom w:val="nil"/>
              <w:right w:val="nil"/>
            </w:tcBorders>
            <w:shd w:val="clear" w:color="auto" w:fill="auto"/>
            <w:tcMar>
              <w:top w:w="0" w:type="dxa"/>
              <w:left w:w="105" w:type="dxa"/>
              <w:bottom w:w="0" w:type="dxa"/>
              <w:right w:w="105" w:type="dxa"/>
            </w:tcMar>
            <w:vAlign w:val="center"/>
          </w:tcPr>
          <w:p>
            <w:pPr>
              <w:pStyle w:val="6"/>
              <w:keepNext w:val="0"/>
              <w:keepLines w:val="0"/>
              <w:widowControl/>
              <w:suppressLineNumbers w:val="0"/>
            </w:pPr>
            <w:r>
              <w:rPr>
                <w:rFonts w:hint="eastAsia" w:ascii="宋体" w:hAnsi="宋体" w:eastAsia="宋体" w:cs="宋体"/>
                <w:sz w:val="21"/>
                <w:szCs w:val="21"/>
              </w:rPr>
              <w:t>a.投标报价的明细：详见《投标分项报价表》。</w:t>
            </w:r>
          </w:p>
          <w:p>
            <w:pPr>
              <w:pStyle w:val="6"/>
              <w:keepNext w:val="0"/>
              <w:keepLines w:val="0"/>
              <w:widowControl/>
              <w:suppressLineNumbers w:val="0"/>
            </w:pPr>
            <w:r>
              <w:rPr>
                <w:rFonts w:hint="eastAsia" w:ascii="宋体" w:hAnsi="宋体" w:eastAsia="宋体" w:cs="宋体"/>
                <w:sz w:val="21"/>
                <w:szCs w:val="21"/>
              </w:rPr>
              <w:t>b.招标文件规定的价格扣除证明材料（若有）：详见报价部分。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983" w:type="dxa"/>
            <w:tcBorders>
              <w:top w:val="nil"/>
              <w:left w:val="nil"/>
              <w:bottom w:val="nil"/>
              <w:right w:val="nil"/>
            </w:tcBorders>
            <w:shd w:val="clear" w:color="auto" w:fill="auto"/>
            <w:tcMar>
              <w:top w:w="0" w:type="dxa"/>
              <w:left w:w="105" w:type="dxa"/>
              <w:bottom w:w="0" w:type="dxa"/>
              <w:right w:w="105" w:type="dxa"/>
            </w:tcMar>
            <w:vAlign w:val="center"/>
          </w:tcPr>
          <w:p>
            <w:pPr>
              <w:pStyle w:val="6"/>
              <w:keepNext w:val="0"/>
              <w:keepLines w:val="0"/>
              <w:widowControl/>
              <w:suppressLineNumbers w:val="0"/>
              <w:jc w:val="center"/>
            </w:pPr>
            <w:r>
              <w:rPr>
                <w:rFonts w:hint="default" w:ascii="Calibri" w:hAnsi="Calibri" w:cs="Calibri"/>
                <w:sz w:val="21"/>
                <w:szCs w:val="21"/>
              </w:rPr>
              <w:t>…</w:t>
            </w:r>
          </w:p>
        </w:tc>
        <w:tc>
          <w:tcPr>
            <w:tcW w:w="5670" w:type="dxa"/>
            <w:tcBorders>
              <w:top w:val="nil"/>
              <w:left w:val="nil"/>
              <w:bottom w:val="nil"/>
              <w:right w:val="nil"/>
            </w:tcBorders>
            <w:shd w:val="clear" w:color="auto" w:fill="auto"/>
            <w:tcMar>
              <w:top w:w="0" w:type="dxa"/>
              <w:left w:w="105" w:type="dxa"/>
              <w:bottom w:w="0" w:type="dxa"/>
              <w:right w:w="105" w:type="dxa"/>
            </w:tcMar>
            <w:vAlign w:val="center"/>
          </w:tcPr>
          <w:p>
            <w:pPr>
              <w:pStyle w:val="6"/>
              <w:keepNext w:val="0"/>
              <w:keepLines w:val="0"/>
              <w:widowControl/>
              <w:suppressLineNumbers w:val="0"/>
            </w:pPr>
            <w:r>
              <w:rPr>
                <w:rFonts w:hint="eastAsia" w:ascii="宋体" w:hAnsi="宋体" w:eastAsia="宋体" w:cs="宋体"/>
                <w:sz w:val="21"/>
                <w:szCs w:val="21"/>
              </w:rPr>
              <w:t>投标总价（大写金额）：</w:t>
            </w:r>
            <w:r>
              <w:rPr>
                <w:rFonts w:hint="eastAsia" w:ascii="宋体" w:hAnsi="宋体" w:eastAsia="宋体" w:cs="宋体"/>
                <w:sz w:val="21"/>
                <w:szCs w:val="21"/>
                <w:u w:val="single"/>
              </w:rPr>
              <w:t>                      </w:t>
            </w:r>
            <w:r>
              <w:rPr>
                <w:rFonts w:hint="eastAsia" w:ascii="宋体" w:hAnsi="宋体" w:eastAsia="宋体" w:cs="宋体"/>
                <w:sz w:val="21"/>
                <w:szCs w:val="21"/>
              </w:rPr>
              <w:t>。</w:t>
            </w:r>
          </w:p>
        </w:tc>
        <w:tc>
          <w:tcPr>
            <w:tcW w:w="67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1042" w:type="dxa"/>
            <w:vMerge w:val="continue"/>
            <w:tcBorders>
              <w:top w:val="nil"/>
              <w:left w:val="nil"/>
              <w:bottom w:val="nil"/>
              <w:right w:val="nil"/>
            </w:tcBorders>
            <w:shd w:val="clear" w:color="auto" w:fill="auto"/>
            <w:tcMar>
              <w:top w:w="0" w:type="dxa"/>
              <w:left w:w="105" w:type="dxa"/>
              <w:bottom w:w="0" w:type="dxa"/>
              <w:right w:w="105" w:type="dxa"/>
            </w:tcMar>
            <w:vAlign w:val="center"/>
          </w:tcPr>
          <w:p>
            <w:pPr>
              <w:rPr>
                <w:rFonts w:hint="eastAsia" w:ascii="宋体"/>
                <w:sz w:val="24"/>
                <w:szCs w:val="24"/>
              </w:rPr>
            </w:pPr>
          </w:p>
        </w:tc>
      </w:tr>
    </w:tbl>
    <w:p>
      <w:pPr>
        <w:pStyle w:val="6"/>
        <w:keepNext w:val="0"/>
        <w:keepLines w:val="0"/>
        <w:widowControl/>
        <w:suppressLineNumbers w:val="0"/>
      </w:pPr>
      <w:r>
        <w:rPr>
          <w:rFonts w:hint="eastAsia" w:ascii="宋体" w:hAnsi="宋体" w:eastAsia="宋体" w:cs="宋体"/>
          <w:sz w:val="21"/>
          <w:szCs w:val="21"/>
        </w:rPr>
        <w:t>★注意：</w:t>
      </w:r>
    </w:p>
    <w:p>
      <w:pPr>
        <w:pStyle w:val="6"/>
        <w:keepNext w:val="0"/>
        <w:keepLines w:val="0"/>
        <w:widowControl/>
        <w:suppressLineNumbers w:val="0"/>
      </w:pPr>
      <w:r>
        <w:rPr>
          <w:rFonts w:hint="eastAsia" w:ascii="宋体" w:hAnsi="宋体" w:eastAsia="宋体" w:cs="宋体"/>
          <w:sz w:val="21"/>
          <w:szCs w:val="21"/>
        </w:rPr>
        <w:t>1、本表应按照下列规定填写：</w:t>
      </w:r>
    </w:p>
    <w:p>
      <w:pPr>
        <w:pStyle w:val="6"/>
        <w:keepNext w:val="0"/>
        <w:keepLines w:val="0"/>
        <w:widowControl/>
        <w:suppressLineNumbers w:val="0"/>
      </w:pPr>
      <w:r>
        <w:rPr>
          <w:rFonts w:hint="eastAsia" w:ascii="宋体" w:hAnsi="宋体" w:eastAsia="宋体" w:cs="宋体"/>
          <w:sz w:val="21"/>
          <w:szCs w:val="21"/>
        </w:rPr>
        <w:t>1.1投标人应按照本表格式填写所投的合同包的“投标报价”。</w:t>
      </w:r>
    </w:p>
    <w:p>
      <w:pPr>
        <w:pStyle w:val="6"/>
        <w:keepNext w:val="0"/>
        <w:keepLines w:val="0"/>
        <w:widowControl/>
        <w:suppressLineNumbers w:val="0"/>
      </w:pPr>
      <w:r>
        <w:rPr>
          <w:rFonts w:hint="eastAsia" w:ascii="宋体" w:hAnsi="宋体" w:eastAsia="宋体" w:cs="宋体"/>
          <w:sz w:val="21"/>
          <w:szCs w:val="21"/>
        </w:rPr>
        <w:t>1.2本表中列示的“合同包”应与《投标分项报价表》中列示的“合同包”保持一致，即：若本表中列示的“合同包”为“</w:t>
      </w:r>
      <w:r>
        <w:rPr>
          <w:rFonts w:hint="default" w:ascii="Calibri" w:hAnsi="Calibri" w:eastAsia="宋体" w:cs="Calibri"/>
          <w:sz w:val="21"/>
          <w:szCs w:val="21"/>
        </w:rPr>
        <w:t>1</w:t>
      </w:r>
      <w:r>
        <w:rPr>
          <w:rFonts w:hint="eastAsia" w:ascii="宋体" w:hAnsi="宋体" w:eastAsia="宋体" w:cs="宋体"/>
          <w:sz w:val="21"/>
          <w:szCs w:val="21"/>
        </w:rPr>
        <w:t>”时，《投标分项报价表》中列示的“合同包”亦应为“</w:t>
      </w:r>
      <w:r>
        <w:rPr>
          <w:rFonts w:hint="default" w:ascii="Calibri" w:hAnsi="Calibri" w:eastAsia="宋体" w:cs="Calibri"/>
          <w:sz w:val="21"/>
          <w:szCs w:val="21"/>
        </w:rPr>
        <w:t>1</w:t>
      </w:r>
      <w:r>
        <w:rPr>
          <w:rFonts w:hint="eastAsia" w:ascii="宋体" w:hAnsi="宋体" w:eastAsia="宋体" w:cs="宋体"/>
          <w:sz w:val="21"/>
          <w:szCs w:val="21"/>
        </w:rPr>
        <w:t>”，以此类推。</w:t>
      </w:r>
    </w:p>
    <w:p>
      <w:pPr>
        <w:pStyle w:val="6"/>
        <w:keepNext w:val="0"/>
        <w:keepLines w:val="0"/>
        <w:widowControl/>
        <w:suppressLineNumbers w:val="0"/>
      </w:pPr>
      <w:r>
        <w:rPr>
          <w:rFonts w:hint="eastAsia" w:ascii="宋体" w:hAnsi="宋体" w:eastAsia="宋体" w:cs="宋体"/>
          <w:sz w:val="21"/>
          <w:szCs w:val="21"/>
        </w:rPr>
        <w:t>1.3“大写金额”指“投标报价”应用“壹、贰、叁、肆、伍、陆、柒、捌、玖、拾、佰、仟、万、亿、元、角、分、零”等进行填写。</w:t>
      </w:r>
    </w:p>
    <w:p>
      <w:pPr>
        <w:pStyle w:val="6"/>
        <w:keepNext w:val="0"/>
        <w:keepLines w:val="0"/>
        <w:widowControl/>
        <w:suppressLineNumbers w:val="0"/>
      </w:pPr>
      <w:r>
        <w:rPr>
          <w:rFonts w:hint="eastAsia" w:ascii="宋体" w:hAnsi="宋体" w:eastAsia="宋体" w:cs="宋体"/>
          <w:sz w:val="21"/>
          <w:szCs w:val="21"/>
        </w:rPr>
        <w:t>2、纸质投标文件正本中的本表应为原件。</w:t>
      </w:r>
    </w:p>
    <w:p>
      <w:pPr>
        <w:pStyle w:val="6"/>
        <w:keepNext w:val="0"/>
        <w:keepLines w:val="0"/>
        <w:widowControl/>
        <w:suppressLineNumbers w:val="0"/>
      </w:pPr>
      <w:r>
        <w:rPr>
          <w:rFonts w:hint="eastAsia" w:ascii="宋体" w:hAnsi="宋体" w:eastAsia="宋体" w:cs="宋体"/>
          <w:sz w:val="21"/>
          <w:szCs w:val="21"/>
        </w:rPr>
        <w:t> </w:t>
      </w:r>
    </w:p>
    <w:p>
      <w:pPr>
        <w:pStyle w:val="6"/>
        <w:keepNext w:val="0"/>
        <w:keepLines w:val="0"/>
        <w:widowControl/>
        <w:suppressLineNumbers w:val="0"/>
      </w:pPr>
      <w:r>
        <w:rPr>
          <w:rFonts w:hint="eastAsia" w:ascii="宋体" w:hAnsi="宋体" w:eastAsia="宋体" w:cs="宋体"/>
          <w:sz w:val="21"/>
          <w:szCs w:val="21"/>
        </w:rPr>
        <w:t> </w:t>
      </w:r>
    </w:p>
    <w:p>
      <w:pPr>
        <w:pStyle w:val="6"/>
        <w:keepNext w:val="0"/>
        <w:keepLines w:val="0"/>
        <w:widowControl/>
        <w:suppressLineNumbers w:val="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6"/>
        <w:keepNext w:val="0"/>
        <w:keepLines w:val="0"/>
        <w:widowControl/>
        <w:suppressLineNumbers w:val="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6"/>
        <w:keepNext w:val="0"/>
        <w:keepLines w:val="0"/>
        <w:widowControl/>
        <w:suppressLineNumbers w:val="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6"/>
        <w:keepNext w:val="0"/>
        <w:keepLines w:val="0"/>
        <w:widowControl/>
        <w:suppressLineNumbers w:val="0"/>
      </w:pPr>
      <w:r>
        <w:rPr>
          <w:rFonts w:hint="eastAsia" w:ascii="宋体" w:hAnsi="宋体" w:eastAsia="宋体" w:cs="宋体"/>
          <w:sz w:val="21"/>
          <w:szCs w:val="21"/>
        </w:rPr>
        <w:t> </w:t>
      </w:r>
    </w:p>
    <w:p>
      <w:pPr>
        <w:pStyle w:val="6"/>
        <w:keepNext w:val="0"/>
        <w:keepLines w:val="0"/>
        <w:widowControl/>
        <w:suppressLineNumbers w:val="0"/>
      </w:pPr>
      <w:r>
        <w:rPr>
          <w:rFonts w:hint="eastAsia" w:ascii="宋体" w:hAnsi="宋体" w:eastAsia="宋体" w:cs="宋体"/>
          <w:sz w:val="21"/>
          <w:szCs w:val="21"/>
        </w:rPr>
        <w:t> </w:t>
      </w:r>
    </w:p>
    <w:p>
      <w:pPr>
        <w:pStyle w:val="6"/>
        <w:keepNext w:val="0"/>
        <w:keepLines w:val="0"/>
        <w:widowControl/>
        <w:suppressLineNumbers w:val="0"/>
        <w:jc w:val="center"/>
      </w:pPr>
      <w:r>
        <w:rPr>
          <w:rStyle w:val="10"/>
          <w:rFonts w:hint="default" w:ascii="Calibri" w:hAnsi="Calibri" w:cs="Calibri"/>
          <w:sz w:val="21"/>
          <w:szCs w:val="21"/>
        </w:rPr>
        <w:br w:type="textWrapping"/>
      </w:r>
      <w:r>
        <w:rPr>
          <w:rStyle w:val="10"/>
          <w:rFonts w:hint="eastAsia" w:ascii="宋体" w:hAnsi="宋体" w:eastAsia="宋体" w:cs="宋体"/>
          <w:sz w:val="21"/>
          <w:szCs w:val="21"/>
        </w:rPr>
        <w:t>二、投标分项报价表</w:t>
      </w:r>
    </w:p>
    <w:p>
      <w:pPr>
        <w:pStyle w:val="6"/>
        <w:keepNext w:val="0"/>
        <w:keepLines w:val="0"/>
        <w:widowControl/>
        <w:suppressLineNumbers w:val="0"/>
      </w:pPr>
      <w:r>
        <w:rPr>
          <w:rFonts w:hint="eastAsia" w:ascii="宋体" w:hAnsi="宋体" w:eastAsia="宋体" w:cs="宋体"/>
          <w:sz w:val="21"/>
          <w:szCs w:val="21"/>
        </w:rPr>
        <w:t> </w:t>
      </w:r>
    </w:p>
    <w:p>
      <w:pPr>
        <w:pStyle w:val="6"/>
        <w:keepNext w:val="0"/>
        <w:keepLines w:val="0"/>
        <w:widowControl/>
        <w:suppressLineNumbers w:val="0"/>
      </w:pPr>
      <w:r>
        <w:rPr>
          <w:rFonts w:hint="eastAsia" w:ascii="宋体" w:hAnsi="宋体" w:eastAsia="宋体" w:cs="宋体"/>
          <w:sz w:val="21"/>
          <w:szCs w:val="21"/>
        </w:rPr>
        <w:t>招标编号：</w:t>
      </w:r>
      <w:r>
        <w:rPr>
          <w:rFonts w:hint="eastAsia" w:ascii="宋体" w:hAnsi="宋体" w:eastAsia="宋体" w:cs="宋体"/>
          <w:sz w:val="21"/>
          <w:szCs w:val="21"/>
          <w:u w:val="single"/>
        </w:rPr>
        <w:t>                   </w:t>
      </w:r>
    </w:p>
    <w:p>
      <w:pPr>
        <w:pStyle w:val="6"/>
        <w:keepNext w:val="0"/>
        <w:keepLines w:val="0"/>
        <w:widowControl/>
        <w:suppressLineNumbers w:val="0"/>
        <w:jc w:val="right"/>
      </w:pPr>
      <w:r>
        <w:rPr>
          <w:rFonts w:hint="eastAsia" w:ascii="宋体" w:hAnsi="宋体" w:eastAsia="宋体" w:cs="宋体"/>
          <w:sz w:val="21"/>
          <w:szCs w:val="21"/>
        </w:rPr>
        <w:t>货币及单位：人民币元</w:t>
      </w:r>
    </w:p>
    <w:tbl>
      <w:tblPr>
        <w:tblStyle w:val="7"/>
        <w:tblW w:w="8520"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
      <w:tblGrid>
        <w:gridCol w:w="465"/>
        <w:gridCol w:w="958"/>
        <w:gridCol w:w="1505"/>
        <w:gridCol w:w="1241"/>
        <w:gridCol w:w="853"/>
        <w:gridCol w:w="993"/>
        <w:gridCol w:w="589"/>
        <w:gridCol w:w="1090"/>
        <w:gridCol w:w="82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Ex>
        <w:trPr>
          <w:tblCellSpacing w:w="15" w:type="dxa"/>
        </w:trPr>
        <w:tc>
          <w:tcPr>
            <w:tcW w:w="420" w:type="dxa"/>
            <w:tcBorders>
              <w:top w:val="nil"/>
              <w:left w:val="nil"/>
              <w:bottom w:val="nil"/>
              <w:right w:val="nil"/>
            </w:tcBorders>
            <w:shd w:val="clear" w:color="auto" w:fill="auto"/>
            <w:tcMar>
              <w:top w:w="0" w:type="dxa"/>
              <w:left w:w="105" w:type="dxa"/>
              <w:bottom w:w="0" w:type="dxa"/>
              <w:right w:w="105" w:type="dxa"/>
            </w:tcMar>
            <w:vAlign w:val="center"/>
          </w:tcPr>
          <w:p>
            <w:pPr>
              <w:pStyle w:val="6"/>
              <w:keepNext w:val="0"/>
              <w:keepLines w:val="0"/>
              <w:widowControl/>
              <w:suppressLineNumbers w:val="0"/>
              <w:jc w:val="center"/>
            </w:pPr>
            <w:r>
              <w:rPr>
                <w:rFonts w:hint="eastAsia" w:ascii="宋体" w:hAnsi="宋体" w:eastAsia="宋体" w:cs="宋体"/>
                <w:sz w:val="21"/>
                <w:szCs w:val="21"/>
              </w:rPr>
              <w:t>合同包</w:t>
            </w:r>
          </w:p>
        </w:tc>
        <w:tc>
          <w:tcPr>
            <w:tcW w:w="928" w:type="dxa"/>
            <w:tcBorders>
              <w:top w:val="nil"/>
              <w:left w:val="nil"/>
              <w:bottom w:val="nil"/>
              <w:right w:val="nil"/>
            </w:tcBorders>
            <w:shd w:val="clear" w:color="auto" w:fill="auto"/>
            <w:tcMar>
              <w:top w:w="0" w:type="dxa"/>
              <w:left w:w="105" w:type="dxa"/>
              <w:bottom w:w="0" w:type="dxa"/>
              <w:right w:w="105" w:type="dxa"/>
            </w:tcMar>
            <w:vAlign w:val="center"/>
          </w:tcPr>
          <w:p>
            <w:pPr>
              <w:pStyle w:val="6"/>
              <w:keepNext w:val="0"/>
              <w:keepLines w:val="0"/>
              <w:widowControl/>
              <w:suppressLineNumbers w:val="0"/>
              <w:jc w:val="center"/>
            </w:pPr>
            <w:r>
              <w:rPr>
                <w:rFonts w:hint="eastAsia" w:ascii="宋体" w:hAnsi="宋体" w:eastAsia="宋体" w:cs="宋体"/>
                <w:sz w:val="21"/>
                <w:szCs w:val="21"/>
              </w:rPr>
              <w:t>品目号</w:t>
            </w:r>
          </w:p>
        </w:tc>
        <w:tc>
          <w:tcPr>
            <w:tcW w:w="1475" w:type="dxa"/>
            <w:tcBorders>
              <w:top w:val="nil"/>
              <w:left w:val="nil"/>
              <w:bottom w:val="nil"/>
              <w:right w:val="nil"/>
            </w:tcBorders>
            <w:shd w:val="clear" w:color="auto" w:fill="auto"/>
            <w:tcMar>
              <w:top w:w="0" w:type="dxa"/>
              <w:left w:w="105" w:type="dxa"/>
              <w:bottom w:w="0" w:type="dxa"/>
              <w:right w:w="105" w:type="dxa"/>
            </w:tcMar>
            <w:vAlign w:val="center"/>
          </w:tcPr>
          <w:p>
            <w:pPr>
              <w:pStyle w:val="6"/>
              <w:keepNext w:val="0"/>
              <w:keepLines w:val="0"/>
              <w:widowControl/>
              <w:suppressLineNumbers w:val="0"/>
              <w:jc w:val="center"/>
            </w:pPr>
            <w:r>
              <w:rPr>
                <w:rFonts w:hint="eastAsia" w:ascii="宋体" w:hAnsi="宋体" w:eastAsia="宋体" w:cs="宋体"/>
                <w:sz w:val="21"/>
                <w:szCs w:val="21"/>
              </w:rPr>
              <w:t>投标标的</w:t>
            </w:r>
          </w:p>
        </w:tc>
        <w:tc>
          <w:tcPr>
            <w:tcW w:w="1211" w:type="dxa"/>
            <w:tcBorders>
              <w:top w:val="nil"/>
              <w:left w:val="nil"/>
              <w:bottom w:val="nil"/>
              <w:right w:val="nil"/>
            </w:tcBorders>
            <w:shd w:val="clear" w:color="auto" w:fill="auto"/>
            <w:tcMar>
              <w:top w:w="0" w:type="dxa"/>
              <w:left w:w="105" w:type="dxa"/>
              <w:bottom w:w="0" w:type="dxa"/>
              <w:right w:w="105" w:type="dxa"/>
            </w:tcMar>
            <w:vAlign w:val="center"/>
          </w:tcPr>
          <w:p>
            <w:pPr>
              <w:pStyle w:val="6"/>
              <w:keepNext w:val="0"/>
              <w:keepLines w:val="0"/>
              <w:widowControl/>
              <w:suppressLineNumbers w:val="0"/>
              <w:jc w:val="center"/>
            </w:pPr>
            <w:r>
              <w:rPr>
                <w:rFonts w:hint="eastAsia" w:ascii="宋体" w:hAnsi="宋体" w:eastAsia="宋体" w:cs="宋体"/>
                <w:sz w:val="21"/>
                <w:szCs w:val="21"/>
              </w:rPr>
              <w:t>规格</w:t>
            </w:r>
          </w:p>
        </w:tc>
        <w:tc>
          <w:tcPr>
            <w:tcW w:w="823" w:type="dxa"/>
            <w:tcBorders>
              <w:top w:val="nil"/>
              <w:left w:val="nil"/>
              <w:bottom w:val="nil"/>
              <w:right w:val="nil"/>
            </w:tcBorders>
            <w:shd w:val="clear" w:color="auto" w:fill="auto"/>
            <w:tcMar>
              <w:top w:w="0" w:type="dxa"/>
              <w:left w:w="105" w:type="dxa"/>
              <w:bottom w:w="0" w:type="dxa"/>
              <w:right w:w="105" w:type="dxa"/>
            </w:tcMar>
            <w:vAlign w:val="center"/>
          </w:tcPr>
          <w:p>
            <w:pPr>
              <w:pStyle w:val="6"/>
              <w:keepNext w:val="0"/>
              <w:keepLines w:val="0"/>
              <w:widowControl/>
              <w:suppressLineNumbers w:val="0"/>
              <w:jc w:val="center"/>
            </w:pPr>
            <w:r>
              <w:rPr>
                <w:rFonts w:hint="eastAsia" w:ascii="宋体" w:hAnsi="宋体" w:eastAsia="宋体" w:cs="宋体"/>
                <w:sz w:val="21"/>
                <w:szCs w:val="21"/>
              </w:rPr>
              <w:t>来源地</w:t>
            </w:r>
          </w:p>
        </w:tc>
        <w:tc>
          <w:tcPr>
            <w:tcW w:w="963" w:type="dxa"/>
            <w:tcBorders>
              <w:top w:val="nil"/>
              <w:left w:val="nil"/>
              <w:bottom w:val="nil"/>
              <w:right w:val="nil"/>
            </w:tcBorders>
            <w:shd w:val="clear" w:color="auto" w:fill="auto"/>
            <w:tcMar>
              <w:top w:w="0" w:type="dxa"/>
              <w:left w:w="105" w:type="dxa"/>
              <w:bottom w:w="0" w:type="dxa"/>
              <w:right w:w="105" w:type="dxa"/>
            </w:tcMar>
            <w:vAlign w:val="center"/>
          </w:tcPr>
          <w:p>
            <w:pPr>
              <w:pStyle w:val="6"/>
              <w:keepNext w:val="0"/>
              <w:keepLines w:val="0"/>
              <w:widowControl/>
              <w:suppressLineNumbers w:val="0"/>
              <w:jc w:val="center"/>
            </w:pPr>
            <w:r>
              <w:rPr>
                <w:rFonts w:hint="eastAsia" w:ascii="宋体" w:hAnsi="宋体" w:eastAsia="宋体" w:cs="宋体"/>
                <w:sz w:val="21"/>
                <w:szCs w:val="21"/>
              </w:rPr>
              <w:t>单价</w:t>
            </w:r>
          </w:p>
          <w:p>
            <w:pPr>
              <w:pStyle w:val="6"/>
              <w:keepNext w:val="0"/>
              <w:keepLines w:val="0"/>
              <w:widowControl/>
              <w:suppressLineNumbers w:val="0"/>
              <w:jc w:val="center"/>
            </w:pPr>
            <w:r>
              <w:rPr>
                <w:rFonts w:hint="eastAsia" w:ascii="宋体" w:hAnsi="宋体" w:eastAsia="宋体" w:cs="宋体"/>
                <w:sz w:val="21"/>
                <w:szCs w:val="21"/>
              </w:rPr>
              <w:t>（现场）</w:t>
            </w:r>
          </w:p>
        </w:tc>
        <w:tc>
          <w:tcPr>
            <w:tcW w:w="559" w:type="dxa"/>
            <w:tcBorders>
              <w:top w:val="nil"/>
              <w:left w:val="nil"/>
              <w:bottom w:val="nil"/>
              <w:right w:val="nil"/>
            </w:tcBorders>
            <w:shd w:val="clear" w:color="auto" w:fill="auto"/>
            <w:tcMar>
              <w:top w:w="0" w:type="dxa"/>
              <w:left w:w="105" w:type="dxa"/>
              <w:bottom w:w="0" w:type="dxa"/>
              <w:right w:w="105" w:type="dxa"/>
            </w:tcMar>
            <w:vAlign w:val="center"/>
          </w:tcPr>
          <w:p>
            <w:pPr>
              <w:pStyle w:val="6"/>
              <w:keepNext w:val="0"/>
              <w:keepLines w:val="0"/>
              <w:widowControl/>
              <w:suppressLineNumbers w:val="0"/>
              <w:jc w:val="center"/>
            </w:pPr>
            <w:r>
              <w:rPr>
                <w:rFonts w:hint="eastAsia" w:ascii="宋体" w:hAnsi="宋体" w:eastAsia="宋体" w:cs="宋体"/>
                <w:sz w:val="21"/>
                <w:szCs w:val="21"/>
              </w:rPr>
              <w:t>数量</w:t>
            </w:r>
          </w:p>
        </w:tc>
        <w:tc>
          <w:tcPr>
            <w:tcW w:w="1060" w:type="dxa"/>
            <w:tcBorders>
              <w:top w:val="nil"/>
              <w:left w:val="nil"/>
              <w:bottom w:val="nil"/>
              <w:right w:val="nil"/>
            </w:tcBorders>
            <w:shd w:val="clear" w:color="auto" w:fill="auto"/>
            <w:tcMar>
              <w:top w:w="0" w:type="dxa"/>
              <w:left w:w="105" w:type="dxa"/>
              <w:bottom w:w="0" w:type="dxa"/>
              <w:right w:w="105" w:type="dxa"/>
            </w:tcMar>
            <w:vAlign w:val="center"/>
          </w:tcPr>
          <w:p>
            <w:pPr>
              <w:pStyle w:val="6"/>
              <w:keepNext w:val="0"/>
              <w:keepLines w:val="0"/>
              <w:widowControl/>
              <w:suppressLineNumbers w:val="0"/>
              <w:jc w:val="center"/>
            </w:pPr>
            <w:r>
              <w:rPr>
                <w:rFonts w:hint="eastAsia" w:ascii="宋体" w:hAnsi="宋体" w:eastAsia="宋体" w:cs="宋体"/>
                <w:sz w:val="21"/>
                <w:szCs w:val="21"/>
              </w:rPr>
              <w:t>总价</w:t>
            </w:r>
          </w:p>
          <w:p>
            <w:pPr>
              <w:pStyle w:val="6"/>
              <w:keepNext w:val="0"/>
              <w:keepLines w:val="0"/>
              <w:widowControl/>
              <w:suppressLineNumbers w:val="0"/>
              <w:jc w:val="center"/>
            </w:pPr>
            <w:r>
              <w:rPr>
                <w:rFonts w:hint="eastAsia" w:ascii="宋体" w:hAnsi="宋体" w:eastAsia="宋体" w:cs="宋体"/>
                <w:sz w:val="21"/>
                <w:szCs w:val="21"/>
              </w:rPr>
              <w:t>（现场）</w:t>
            </w:r>
          </w:p>
        </w:tc>
        <w:tc>
          <w:tcPr>
            <w:tcW w:w="781" w:type="dxa"/>
            <w:tcBorders>
              <w:top w:val="nil"/>
              <w:left w:val="nil"/>
              <w:bottom w:val="nil"/>
              <w:right w:val="nil"/>
            </w:tcBorders>
            <w:shd w:val="clear" w:color="auto" w:fill="auto"/>
            <w:tcMar>
              <w:top w:w="0" w:type="dxa"/>
              <w:left w:w="105" w:type="dxa"/>
              <w:bottom w:w="0" w:type="dxa"/>
              <w:right w:w="105" w:type="dxa"/>
            </w:tcMar>
            <w:vAlign w:val="center"/>
          </w:tcPr>
          <w:p>
            <w:pPr>
              <w:pStyle w:val="6"/>
              <w:keepNext w:val="0"/>
              <w:keepLines w:val="0"/>
              <w:widowControl/>
              <w:suppressLineNumbers w:val="0"/>
              <w:jc w:val="center"/>
            </w:pPr>
            <w:r>
              <w:rPr>
                <w:rFonts w:hint="eastAsia" w:ascii="宋体" w:hAnsi="宋体" w:eastAsia="宋体" w:cs="宋体"/>
                <w:sz w:val="21"/>
                <w:szCs w:val="21"/>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420" w:type="dxa"/>
            <w:vMerge w:val="restart"/>
            <w:tcBorders>
              <w:top w:val="nil"/>
              <w:left w:val="nil"/>
              <w:bottom w:val="nil"/>
              <w:right w:val="nil"/>
            </w:tcBorders>
            <w:shd w:val="clear" w:color="auto" w:fill="auto"/>
            <w:tcMar>
              <w:top w:w="0" w:type="dxa"/>
              <w:left w:w="105" w:type="dxa"/>
              <w:bottom w:w="0" w:type="dxa"/>
              <w:right w:w="105" w:type="dxa"/>
            </w:tcMar>
            <w:vAlign w:val="center"/>
          </w:tcPr>
          <w:p>
            <w:pPr>
              <w:pStyle w:val="6"/>
              <w:keepNext w:val="0"/>
              <w:keepLines w:val="0"/>
              <w:widowControl/>
              <w:suppressLineNumbers w:val="0"/>
              <w:jc w:val="center"/>
            </w:pPr>
            <w:r>
              <w:rPr>
                <w:rFonts w:hint="eastAsia" w:ascii="宋体" w:hAnsi="宋体" w:eastAsia="宋体" w:cs="宋体"/>
                <w:sz w:val="21"/>
                <w:szCs w:val="21"/>
              </w:rPr>
              <w:t>*</w:t>
            </w:r>
          </w:p>
        </w:tc>
        <w:tc>
          <w:tcPr>
            <w:tcW w:w="928" w:type="dxa"/>
            <w:tcBorders>
              <w:top w:val="nil"/>
              <w:left w:val="nil"/>
              <w:bottom w:val="nil"/>
              <w:right w:val="nil"/>
            </w:tcBorders>
            <w:shd w:val="clear" w:color="auto" w:fill="auto"/>
            <w:tcMar>
              <w:top w:w="0" w:type="dxa"/>
              <w:left w:w="105" w:type="dxa"/>
              <w:bottom w:w="0" w:type="dxa"/>
              <w:right w:w="105" w:type="dxa"/>
            </w:tcMar>
            <w:vAlign w:val="center"/>
          </w:tcPr>
          <w:p>
            <w:pPr>
              <w:pStyle w:val="6"/>
              <w:keepNext w:val="0"/>
              <w:keepLines w:val="0"/>
              <w:widowControl/>
              <w:suppressLineNumbers w:val="0"/>
              <w:jc w:val="center"/>
            </w:pPr>
            <w:r>
              <w:rPr>
                <w:rFonts w:hint="eastAsia" w:ascii="宋体" w:hAnsi="宋体" w:eastAsia="宋体" w:cs="宋体"/>
                <w:sz w:val="21"/>
                <w:szCs w:val="21"/>
              </w:rPr>
              <w:t>*-1</w:t>
            </w:r>
          </w:p>
        </w:tc>
        <w:tc>
          <w:tcPr>
            <w:tcW w:w="1475"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jc w:val="left"/>
            </w:pPr>
          </w:p>
        </w:tc>
        <w:tc>
          <w:tcPr>
            <w:tcW w:w="1211"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823"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jc w:val="left"/>
            </w:pPr>
          </w:p>
        </w:tc>
        <w:tc>
          <w:tcPr>
            <w:tcW w:w="963"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jc w:val="left"/>
            </w:pPr>
          </w:p>
        </w:tc>
        <w:tc>
          <w:tcPr>
            <w:tcW w:w="559"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jc w:val="left"/>
            </w:pPr>
          </w:p>
        </w:tc>
        <w:tc>
          <w:tcPr>
            <w:tcW w:w="1060"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jc w:val="left"/>
            </w:pPr>
          </w:p>
        </w:tc>
        <w:tc>
          <w:tcPr>
            <w:tcW w:w="781"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420" w:type="dxa"/>
            <w:vMerge w:val="continue"/>
            <w:tcBorders>
              <w:top w:val="nil"/>
              <w:left w:val="nil"/>
              <w:bottom w:val="nil"/>
              <w:right w:val="nil"/>
            </w:tcBorders>
            <w:shd w:val="clear" w:color="auto" w:fill="auto"/>
            <w:tcMar>
              <w:top w:w="0" w:type="dxa"/>
              <w:left w:w="105" w:type="dxa"/>
              <w:bottom w:w="0" w:type="dxa"/>
              <w:right w:w="105" w:type="dxa"/>
            </w:tcMar>
            <w:vAlign w:val="center"/>
          </w:tcPr>
          <w:p>
            <w:pPr>
              <w:rPr>
                <w:rFonts w:hint="eastAsia" w:ascii="宋体"/>
                <w:sz w:val="24"/>
                <w:szCs w:val="24"/>
              </w:rPr>
            </w:pPr>
          </w:p>
        </w:tc>
        <w:tc>
          <w:tcPr>
            <w:tcW w:w="928"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1475"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jc w:val="left"/>
            </w:pPr>
          </w:p>
        </w:tc>
        <w:tc>
          <w:tcPr>
            <w:tcW w:w="1211"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823"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jc w:val="left"/>
            </w:pPr>
          </w:p>
        </w:tc>
        <w:tc>
          <w:tcPr>
            <w:tcW w:w="963"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jc w:val="left"/>
            </w:pPr>
          </w:p>
        </w:tc>
        <w:tc>
          <w:tcPr>
            <w:tcW w:w="559"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jc w:val="left"/>
            </w:pPr>
          </w:p>
        </w:tc>
        <w:tc>
          <w:tcPr>
            <w:tcW w:w="1060"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jc w:val="left"/>
            </w:pPr>
          </w:p>
        </w:tc>
        <w:tc>
          <w:tcPr>
            <w:tcW w:w="781"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420" w:type="dxa"/>
            <w:tcBorders>
              <w:top w:val="nil"/>
              <w:left w:val="nil"/>
              <w:bottom w:val="nil"/>
              <w:right w:val="nil"/>
            </w:tcBorders>
            <w:shd w:val="clear" w:color="auto" w:fill="auto"/>
            <w:tcMar>
              <w:top w:w="0" w:type="dxa"/>
              <w:left w:w="105" w:type="dxa"/>
              <w:bottom w:w="0" w:type="dxa"/>
              <w:right w:w="105" w:type="dxa"/>
            </w:tcMar>
            <w:vAlign w:val="center"/>
          </w:tcPr>
          <w:p>
            <w:pPr>
              <w:pStyle w:val="6"/>
              <w:keepNext w:val="0"/>
              <w:keepLines w:val="0"/>
              <w:widowControl/>
              <w:suppressLineNumbers w:val="0"/>
              <w:jc w:val="center"/>
            </w:pPr>
            <w:r>
              <w:rPr>
                <w:rFonts w:hint="default" w:ascii="Calibri" w:hAnsi="Calibri" w:cs="Calibri"/>
                <w:sz w:val="21"/>
                <w:szCs w:val="21"/>
              </w:rPr>
              <w:t>…</w:t>
            </w:r>
          </w:p>
        </w:tc>
        <w:tc>
          <w:tcPr>
            <w:tcW w:w="928"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1475"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jc w:val="left"/>
            </w:pPr>
          </w:p>
        </w:tc>
        <w:tc>
          <w:tcPr>
            <w:tcW w:w="1211"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823"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jc w:val="left"/>
            </w:pPr>
          </w:p>
        </w:tc>
        <w:tc>
          <w:tcPr>
            <w:tcW w:w="963"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jc w:val="left"/>
            </w:pPr>
          </w:p>
        </w:tc>
        <w:tc>
          <w:tcPr>
            <w:tcW w:w="559"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jc w:val="left"/>
            </w:pPr>
          </w:p>
        </w:tc>
        <w:tc>
          <w:tcPr>
            <w:tcW w:w="1060"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jc w:val="left"/>
            </w:pPr>
          </w:p>
        </w:tc>
        <w:tc>
          <w:tcPr>
            <w:tcW w:w="781"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jc w:val="left"/>
            </w:pPr>
          </w:p>
        </w:tc>
      </w:tr>
    </w:tbl>
    <w:p>
      <w:pPr>
        <w:pStyle w:val="6"/>
        <w:keepNext w:val="0"/>
        <w:keepLines w:val="0"/>
        <w:widowControl/>
        <w:suppressLineNumbers w:val="0"/>
      </w:pPr>
      <w:r>
        <w:rPr>
          <w:rFonts w:hint="eastAsia" w:ascii="宋体" w:hAnsi="宋体" w:eastAsia="宋体" w:cs="宋体"/>
          <w:sz w:val="21"/>
          <w:szCs w:val="21"/>
        </w:rPr>
        <w:t>★注意：</w:t>
      </w:r>
    </w:p>
    <w:p>
      <w:pPr>
        <w:pStyle w:val="6"/>
        <w:keepNext w:val="0"/>
        <w:keepLines w:val="0"/>
        <w:widowControl/>
        <w:suppressLineNumbers w:val="0"/>
      </w:pPr>
      <w:r>
        <w:rPr>
          <w:rFonts w:hint="eastAsia" w:ascii="宋体" w:hAnsi="宋体" w:eastAsia="宋体" w:cs="宋体"/>
          <w:sz w:val="21"/>
          <w:szCs w:val="21"/>
        </w:rPr>
        <w:t>1、本表应按照下列规定填写：</w:t>
      </w:r>
    </w:p>
    <w:p>
      <w:pPr>
        <w:pStyle w:val="6"/>
        <w:keepNext w:val="0"/>
        <w:keepLines w:val="0"/>
        <w:widowControl/>
        <w:suppressLineNumbers w:val="0"/>
      </w:pPr>
      <w:r>
        <w:rPr>
          <w:rFonts w:hint="eastAsia" w:ascii="宋体" w:hAnsi="宋体" w:eastAsia="宋体" w:cs="宋体"/>
          <w:sz w:val="21"/>
          <w:szCs w:val="21"/>
        </w:rPr>
        <w:t>1.1投标人应按照本表格式填写所投合同包的分项报价，其中：“合同包”、“品目号”、“投标标的”及“数量”应与招标文件《采购标的一览表》中的有关内容（“合同包”、“品目号”、“采购标的”及“数量”）保持一致，“合同包”还应与《开标一览表》中列示的“合同包”保持一致，即：若《开标一览表》中列示的“合同包”为“</w:t>
      </w:r>
      <w:r>
        <w:rPr>
          <w:rFonts w:hint="default" w:ascii="Calibri" w:hAnsi="Calibri" w:eastAsia="宋体" w:cs="Calibri"/>
          <w:sz w:val="21"/>
          <w:szCs w:val="21"/>
        </w:rPr>
        <w:t>1</w:t>
      </w:r>
      <w:r>
        <w:rPr>
          <w:rFonts w:hint="eastAsia" w:ascii="宋体" w:hAnsi="宋体" w:eastAsia="宋体" w:cs="宋体"/>
          <w:sz w:val="21"/>
          <w:szCs w:val="21"/>
        </w:rPr>
        <w:t>”时，本表中列示的“合同包”亦应为“</w:t>
      </w:r>
      <w:r>
        <w:rPr>
          <w:rFonts w:hint="default" w:ascii="Calibri" w:hAnsi="Calibri" w:eastAsia="宋体" w:cs="Calibri"/>
          <w:sz w:val="21"/>
          <w:szCs w:val="21"/>
        </w:rPr>
        <w:t>1</w:t>
      </w:r>
      <w:r>
        <w:rPr>
          <w:rFonts w:hint="eastAsia" w:ascii="宋体" w:hAnsi="宋体" w:eastAsia="宋体" w:cs="宋体"/>
          <w:sz w:val="21"/>
          <w:szCs w:val="21"/>
        </w:rPr>
        <w:t>”，以此类推。</w:t>
      </w:r>
    </w:p>
    <w:p>
      <w:pPr>
        <w:pStyle w:val="6"/>
        <w:keepNext w:val="0"/>
        <w:keepLines w:val="0"/>
        <w:widowControl/>
        <w:suppressLineNumbers w:val="0"/>
      </w:pPr>
      <w:r>
        <w:rPr>
          <w:rFonts w:hint="eastAsia" w:ascii="宋体" w:hAnsi="宋体" w:eastAsia="宋体" w:cs="宋体"/>
          <w:sz w:val="21"/>
          <w:szCs w:val="21"/>
        </w:rPr>
        <w:t>1.2“投标标的”为货物的：</w:t>
      </w:r>
      <w:r>
        <w:rPr>
          <w:rStyle w:val="10"/>
          <w:rFonts w:hint="eastAsia" w:ascii="宋体" w:hAnsi="宋体" w:eastAsia="宋体" w:cs="宋体"/>
          <w:sz w:val="21"/>
          <w:szCs w:val="21"/>
        </w:rPr>
        <w:t>“规格”</w:t>
      </w:r>
      <w:r>
        <w:rPr>
          <w:rFonts w:hint="eastAsia" w:ascii="宋体" w:hAnsi="宋体" w:eastAsia="宋体" w:cs="宋体"/>
          <w:sz w:val="21"/>
          <w:szCs w:val="21"/>
        </w:rPr>
        <w:t>项下应填写货物制造厂商赋予的品牌（属于节能、环保清单产品的货物，填写的品牌名称应与清单载明的品牌名称保持一致）及具体型号。</w:t>
      </w:r>
      <w:r>
        <w:rPr>
          <w:rStyle w:val="10"/>
          <w:rFonts w:hint="eastAsia" w:ascii="宋体" w:hAnsi="宋体" w:eastAsia="宋体" w:cs="宋体"/>
          <w:sz w:val="21"/>
          <w:szCs w:val="21"/>
        </w:rPr>
        <w:t>“来源地”</w:t>
      </w:r>
      <w:r>
        <w:rPr>
          <w:rFonts w:hint="eastAsia" w:ascii="宋体" w:hAnsi="宋体" w:eastAsia="宋体" w:cs="宋体"/>
          <w:sz w:val="21"/>
          <w:szCs w:val="21"/>
        </w:rPr>
        <w:t>应填写货物的原产地。</w:t>
      </w:r>
    </w:p>
    <w:p>
      <w:pPr>
        <w:pStyle w:val="6"/>
        <w:keepNext w:val="0"/>
        <w:keepLines w:val="0"/>
        <w:widowControl/>
        <w:suppressLineNumbers w:val="0"/>
      </w:pPr>
      <w:r>
        <w:rPr>
          <w:rFonts w:hint="eastAsia" w:ascii="宋体" w:hAnsi="宋体" w:eastAsia="宋体" w:cs="宋体"/>
          <w:sz w:val="21"/>
          <w:szCs w:val="21"/>
        </w:rPr>
        <w:t>1.3“投标标的”为服务的：</w:t>
      </w:r>
      <w:r>
        <w:rPr>
          <w:rStyle w:val="10"/>
          <w:rFonts w:hint="eastAsia" w:ascii="宋体" w:hAnsi="宋体" w:eastAsia="宋体" w:cs="宋体"/>
          <w:sz w:val="21"/>
          <w:szCs w:val="21"/>
        </w:rPr>
        <w:t>“规格”</w:t>
      </w:r>
      <w:r>
        <w:rPr>
          <w:rFonts w:hint="eastAsia" w:ascii="宋体" w:hAnsi="宋体" w:eastAsia="宋体" w:cs="宋体"/>
          <w:sz w:val="21"/>
          <w:szCs w:val="21"/>
        </w:rPr>
        <w:t>项下应填写服务提供者提供的服务标准及品牌（若有）。</w:t>
      </w:r>
      <w:r>
        <w:rPr>
          <w:rStyle w:val="10"/>
          <w:rFonts w:hint="eastAsia" w:ascii="宋体" w:hAnsi="宋体" w:eastAsia="宋体" w:cs="宋体"/>
          <w:sz w:val="21"/>
          <w:szCs w:val="21"/>
        </w:rPr>
        <w:t>“来源地”</w:t>
      </w:r>
      <w:r>
        <w:rPr>
          <w:rFonts w:hint="eastAsia" w:ascii="宋体" w:hAnsi="宋体" w:eastAsia="宋体" w:cs="宋体"/>
          <w:sz w:val="21"/>
          <w:szCs w:val="21"/>
        </w:rPr>
        <w:t>应填写服务提供者的所在地。</w:t>
      </w:r>
    </w:p>
    <w:p>
      <w:pPr>
        <w:pStyle w:val="6"/>
        <w:keepNext w:val="0"/>
        <w:keepLines w:val="0"/>
        <w:widowControl/>
        <w:suppressLineNumbers w:val="0"/>
      </w:pPr>
      <w:r>
        <w:rPr>
          <w:rFonts w:hint="eastAsia" w:ascii="宋体" w:hAnsi="宋体" w:eastAsia="宋体" w:cs="宋体"/>
          <w:sz w:val="21"/>
          <w:szCs w:val="21"/>
        </w:rPr>
        <w:t>1.4同一合同包中，</w:t>
      </w:r>
      <w:r>
        <w:rPr>
          <w:rStyle w:val="10"/>
          <w:rFonts w:hint="eastAsia" w:ascii="宋体" w:hAnsi="宋体" w:eastAsia="宋体" w:cs="宋体"/>
          <w:sz w:val="21"/>
          <w:szCs w:val="21"/>
        </w:rPr>
        <w:t>“单价（现场）”</w:t>
      </w:r>
      <w:r>
        <w:rPr>
          <w:rFonts w:hint="eastAsia" w:ascii="宋体" w:hAnsi="宋体" w:eastAsia="宋体" w:cs="宋体"/>
          <w:sz w:val="21"/>
          <w:szCs w:val="21"/>
        </w:rPr>
        <w:t>×</w:t>
      </w:r>
      <w:r>
        <w:rPr>
          <w:rStyle w:val="10"/>
          <w:rFonts w:hint="eastAsia" w:ascii="宋体" w:hAnsi="宋体" w:eastAsia="宋体" w:cs="宋体"/>
          <w:sz w:val="21"/>
          <w:szCs w:val="21"/>
        </w:rPr>
        <w:t>“数量”</w:t>
      </w:r>
      <w:r>
        <w:rPr>
          <w:rFonts w:hint="eastAsia" w:ascii="宋体" w:hAnsi="宋体" w:eastAsia="宋体" w:cs="宋体"/>
          <w:sz w:val="21"/>
          <w:szCs w:val="21"/>
        </w:rPr>
        <w:t>=</w:t>
      </w:r>
      <w:r>
        <w:rPr>
          <w:rStyle w:val="10"/>
          <w:rFonts w:hint="eastAsia" w:ascii="宋体" w:hAnsi="宋体" w:eastAsia="宋体" w:cs="宋体"/>
          <w:sz w:val="21"/>
          <w:szCs w:val="21"/>
        </w:rPr>
        <w:t>“总价（现场）”</w:t>
      </w:r>
      <w:r>
        <w:rPr>
          <w:rFonts w:hint="eastAsia" w:ascii="宋体" w:hAnsi="宋体" w:eastAsia="宋体" w:cs="宋体"/>
          <w:sz w:val="21"/>
          <w:szCs w:val="21"/>
        </w:rPr>
        <w:t>，全部品目号</w:t>
      </w:r>
      <w:r>
        <w:rPr>
          <w:rStyle w:val="10"/>
          <w:rFonts w:hint="eastAsia" w:ascii="宋体" w:hAnsi="宋体" w:eastAsia="宋体" w:cs="宋体"/>
          <w:sz w:val="21"/>
          <w:szCs w:val="21"/>
        </w:rPr>
        <w:t>“总价（现场）”</w:t>
      </w:r>
      <w:r>
        <w:rPr>
          <w:rFonts w:hint="eastAsia" w:ascii="宋体" w:hAnsi="宋体" w:eastAsia="宋体" w:cs="宋体"/>
          <w:sz w:val="21"/>
          <w:szCs w:val="21"/>
        </w:rPr>
        <w:t>的合计金额应与《开标一览表》中相应合同包列示的</w:t>
      </w:r>
      <w:r>
        <w:rPr>
          <w:rStyle w:val="10"/>
          <w:rFonts w:hint="eastAsia" w:ascii="宋体" w:hAnsi="宋体" w:eastAsia="宋体" w:cs="宋体"/>
          <w:sz w:val="21"/>
          <w:szCs w:val="21"/>
        </w:rPr>
        <w:t>“投标总价”</w:t>
      </w:r>
      <w:r>
        <w:rPr>
          <w:rFonts w:hint="eastAsia" w:ascii="宋体" w:hAnsi="宋体" w:eastAsia="宋体" w:cs="宋体"/>
          <w:sz w:val="21"/>
          <w:szCs w:val="21"/>
        </w:rPr>
        <w:t>保持一致。</w:t>
      </w:r>
    </w:p>
    <w:p>
      <w:pPr>
        <w:pStyle w:val="6"/>
        <w:keepNext w:val="0"/>
        <w:keepLines w:val="0"/>
        <w:widowControl/>
        <w:suppressLineNumbers w:val="0"/>
      </w:pPr>
      <w:r>
        <w:rPr>
          <w:rFonts w:hint="eastAsia" w:ascii="宋体" w:hAnsi="宋体" w:eastAsia="宋体" w:cs="宋体"/>
          <w:sz w:val="21"/>
          <w:szCs w:val="21"/>
        </w:rPr>
        <w:t>1.5若招标文件要求投标人对“备品备件价格、专用工具价格、技术服务费、安装调试费、检验培训费、运输费、保险费、税收”等进行报价的，请在本表的</w:t>
      </w:r>
      <w:r>
        <w:rPr>
          <w:rStyle w:val="10"/>
          <w:rFonts w:hint="eastAsia" w:ascii="宋体" w:hAnsi="宋体" w:eastAsia="宋体" w:cs="宋体"/>
          <w:sz w:val="21"/>
          <w:szCs w:val="21"/>
        </w:rPr>
        <w:t>“备注”</w:t>
      </w:r>
      <w:r>
        <w:rPr>
          <w:rFonts w:hint="eastAsia" w:ascii="宋体" w:hAnsi="宋体" w:eastAsia="宋体" w:cs="宋体"/>
          <w:sz w:val="21"/>
          <w:szCs w:val="21"/>
        </w:rPr>
        <w:t>项下填写。</w:t>
      </w:r>
    </w:p>
    <w:p>
      <w:pPr>
        <w:pStyle w:val="6"/>
        <w:keepNext w:val="0"/>
        <w:keepLines w:val="0"/>
        <w:widowControl/>
        <w:suppressLineNumbers w:val="0"/>
      </w:pPr>
      <w:r>
        <w:rPr>
          <w:rFonts w:hint="eastAsia" w:ascii="宋体" w:hAnsi="宋体" w:eastAsia="宋体" w:cs="宋体"/>
          <w:sz w:val="21"/>
          <w:szCs w:val="21"/>
        </w:rPr>
        <w:t>2、纸质投标文件正本中的本表应为原件。</w:t>
      </w:r>
    </w:p>
    <w:p>
      <w:pPr>
        <w:pStyle w:val="6"/>
        <w:keepNext w:val="0"/>
        <w:keepLines w:val="0"/>
        <w:widowControl/>
        <w:suppressLineNumbers w:val="0"/>
      </w:pPr>
      <w:r>
        <w:rPr>
          <w:rFonts w:hint="eastAsia" w:ascii="宋体" w:hAnsi="宋体" w:eastAsia="宋体" w:cs="宋体"/>
          <w:sz w:val="21"/>
          <w:szCs w:val="21"/>
        </w:rPr>
        <w:t> </w:t>
      </w:r>
    </w:p>
    <w:p>
      <w:pPr>
        <w:pStyle w:val="6"/>
        <w:keepNext w:val="0"/>
        <w:keepLines w:val="0"/>
        <w:widowControl/>
        <w:suppressLineNumbers w:val="0"/>
      </w:pPr>
      <w:r>
        <w:rPr>
          <w:rFonts w:hint="eastAsia" w:ascii="宋体" w:hAnsi="宋体" w:eastAsia="宋体" w:cs="宋体"/>
          <w:sz w:val="21"/>
          <w:szCs w:val="21"/>
        </w:rPr>
        <w:t> </w:t>
      </w:r>
    </w:p>
    <w:p>
      <w:pPr>
        <w:pStyle w:val="6"/>
        <w:keepNext w:val="0"/>
        <w:keepLines w:val="0"/>
        <w:widowControl/>
        <w:suppressLineNumbers w:val="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6"/>
        <w:keepNext w:val="0"/>
        <w:keepLines w:val="0"/>
        <w:widowControl/>
        <w:suppressLineNumbers w:val="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6"/>
        <w:keepNext w:val="0"/>
        <w:keepLines w:val="0"/>
        <w:widowControl/>
        <w:suppressLineNumbers w:val="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6"/>
        <w:keepNext w:val="0"/>
        <w:keepLines w:val="0"/>
        <w:widowControl/>
        <w:suppressLineNumbers w:val="0"/>
      </w:pPr>
      <w:r>
        <w:rPr>
          <w:rFonts w:hint="eastAsia" w:ascii="宋体" w:hAnsi="宋体" w:eastAsia="宋体" w:cs="宋体"/>
          <w:sz w:val="21"/>
          <w:szCs w:val="21"/>
        </w:rPr>
        <w:t> </w:t>
      </w:r>
    </w:p>
    <w:p>
      <w:pPr>
        <w:pStyle w:val="6"/>
        <w:keepNext w:val="0"/>
        <w:keepLines w:val="0"/>
        <w:widowControl/>
        <w:suppressLineNumbers w:val="0"/>
      </w:pPr>
      <w:r>
        <w:rPr>
          <w:rFonts w:hint="eastAsia" w:ascii="宋体" w:hAnsi="宋体" w:eastAsia="宋体" w:cs="宋体"/>
          <w:sz w:val="21"/>
          <w:szCs w:val="21"/>
        </w:rPr>
        <w:t> </w:t>
      </w:r>
    </w:p>
    <w:p>
      <w:pPr>
        <w:pStyle w:val="6"/>
        <w:keepNext w:val="0"/>
        <w:keepLines w:val="0"/>
        <w:widowControl/>
        <w:suppressLineNumbers w:val="0"/>
        <w:jc w:val="center"/>
      </w:pPr>
      <w:r>
        <w:rPr>
          <w:rFonts w:hint="default" w:ascii="Calibri" w:hAnsi="Calibri" w:cs="Calibri"/>
          <w:sz w:val="21"/>
          <w:szCs w:val="21"/>
        </w:rPr>
        <w:br w:type="textWrapping"/>
      </w:r>
      <w:r>
        <w:rPr>
          <w:rStyle w:val="10"/>
          <w:rFonts w:hint="eastAsia" w:ascii="宋体" w:hAnsi="宋体" w:eastAsia="宋体" w:cs="宋体"/>
          <w:sz w:val="21"/>
          <w:szCs w:val="21"/>
        </w:rPr>
        <w:t>三、招标文件规定的价格扣除证明材料（若有）</w:t>
      </w:r>
    </w:p>
    <w:p>
      <w:pPr>
        <w:pStyle w:val="6"/>
        <w:keepNext w:val="0"/>
        <w:keepLines w:val="0"/>
        <w:widowControl/>
        <w:suppressLineNumbers w:val="0"/>
        <w:jc w:val="center"/>
      </w:pPr>
      <w:r>
        <w:rPr>
          <w:rStyle w:val="10"/>
          <w:rFonts w:hint="eastAsia" w:ascii="宋体" w:hAnsi="宋体" w:eastAsia="宋体" w:cs="宋体"/>
          <w:sz w:val="21"/>
          <w:szCs w:val="21"/>
        </w:rPr>
        <w:t> </w:t>
      </w:r>
    </w:p>
    <w:p>
      <w:pPr>
        <w:pStyle w:val="6"/>
        <w:keepNext w:val="0"/>
        <w:keepLines w:val="0"/>
        <w:widowControl/>
        <w:suppressLineNumbers w:val="0"/>
        <w:jc w:val="center"/>
      </w:pPr>
      <w:r>
        <w:rPr>
          <w:rStyle w:val="10"/>
          <w:rFonts w:hint="eastAsia" w:ascii="宋体" w:hAnsi="宋体" w:eastAsia="宋体" w:cs="宋体"/>
          <w:sz w:val="21"/>
          <w:szCs w:val="21"/>
        </w:rPr>
        <w:t>三-1优先类节能产品、环境标志产品价格扣除证明材料（若有）</w:t>
      </w:r>
    </w:p>
    <w:p>
      <w:pPr>
        <w:pStyle w:val="6"/>
        <w:keepNext w:val="0"/>
        <w:keepLines w:val="0"/>
        <w:widowControl/>
        <w:suppressLineNumbers w:val="0"/>
        <w:jc w:val="center"/>
      </w:pPr>
      <w:r>
        <w:rPr>
          <w:rStyle w:val="10"/>
          <w:rFonts w:hint="eastAsia" w:ascii="宋体" w:hAnsi="宋体" w:eastAsia="宋体" w:cs="宋体"/>
          <w:sz w:val="21"/>
          <w:szCs w:val="21"/>
        </w:rPr>
        <w:t> </w:t>
      </w:r>
    </w:p>
    <w:p>
      <w:pPr>
        <w:pStyle w:val="6"/>
        <w:keepNext w:val="0"/>
        <w:keepLines w:val="0"/>
        <w:widowControl/>
        <w:suppressLineNumbers w:val="0"/>
        <w:jc w:val="center"/>
      </w:pPr>
      <w:r>
        <w:rPr>
          <w:rStyle w:val="10"/>
          <w:rFonts w:hint="eastAsia" w:ascii="宋体" w:hAnsi="宋体" w:eastAsia="宋体" w:cs="宋体"/>
          <w:sz w:val="21"/>
          <w:szCs w:val="21"/>
        </w:rPr>
        <w:t>三-1-①优先类节能产品、环境标志产品统计表（价格扣除适用，若有）</w:t>
      </w:r>
    </w:p>
    <w:p>
      <w:pPr>
        <w:pStyle w:val="6"/>
        <w:keepNext w:val="0"/>
        <w:keepLines w:val="0"/>
        <w:widowControl/>
        <w:suppressLineNumbers w:val="0"/>
      </w:pPr>
      <w:r>
        <w:rPr>
          <w:rFonts w:hint="eastAsia" w:ascii="宋体" w:hAnsi="宋体" w:eastAsia="宋体" w:cs="宋体"/>
          <w:sz w:val="21"/>
          <w:szCs w:val="21"/>
        </w:rPr>
        <w:t> </w:t>
      </w:r>
    </w:p>
    <w:p>
      <w:pPr>
        <w:pStyle w:val="6"/>
        <w:keepNext w:val="0"/>
        <w:keepLines w:val="0"/>
        <w:widowControl/>
        <w:suppressLineNumbers w:val="0"/>
      </w:pPr>
      <w:r>
        <w:rPr>
          <w:rFonts w:hint="eastAsia" w:ascii="宋体" w:hAnsi="宋体" w:eastAsia="宋体" w:cs="宋体"/>
          <w:sz w:val="21"/>
          <w:szCs w:val="21"/>
        </w:rPr>
        <w:t>招标编号：</w:t>
      </w:r>
      <w:r>
        <w:rPr>
          <w:rFonts w:hint="eastAsia" w:ascii="宋体" w:hAnsi="宋体" w:eastAsia="宋体" w:cs="宋体"/>
          <w:sz w:val="21"/>
          <w:szCs w:val="21"/>
          <w:u w:val="single"/>
        </w:rPr>
        <w:t>                   </w:t>
      </w:r>
    </w:p>
    <w:p>
      <w:pPr>
        <w:pStyle w:val="6"/>
        <w:keepNext w:val="0"/>
        <w:keepLines w:val="0"/>
        <w:widowControl/>
        <w:suppressLineNumbers w:val="0"/>
        <w:jc w:val="right"/>
      </w:pPr>
      <w:r>
        <w:rPr>
          <w:rFonts w:hint="eastAsia" w:ascii="宋体" w:hAnsi="宋体" w:eastAsia="宋体" w:cs="宋体"/>
          <w:sz w:val="21"/>
          <w:szCs w:val="21"/>
        </w:rPr>
        <w:t>货币及单位：人民币元</w:t>
      </w:r>
    </w:p>
    <w:tbl>
      <w:tblPr>
        <w:tblStyle w:val="7"/>
        <w:tblW w:w="8520"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
      <w:tblGrid>
        <w:gridCol w:w="1217"/>
        <w:gridCol w:w="1215"/>
        <w:gridCol w:w="1209"/>
        <w:gridCol w:w="1222"/>
        <w:gridCol w:w="1210"/>
        <w:gridCol w:w="1222"/>
        <w:gridCol w:w="122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Ex>
        <w:trPr>
          <w:tblCellSpacing w:w="15" w:type="dxa"/>
        </w:trPr>
        <w:tc>
          <w:tcPr>
            <w:tcW w:w="1172"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7258" w:type="dxa"/>
            <w:gridSpan w:val="6"/>
            <w:tcBorders>
              <w:top w:val="nil"/>
              <w:left w:val="nil"/>
              <w:bottom w:val="nil"/>
              <w:right w:val="nil"/>
            </w:tcBorders>
            <w:shd w:val="clear" w:color="auto" w:fill="auto"/>
            <w:tcMar>
              <w:top w:w="0" w:type="dxa"/>
              <w:left w:w="105" w:type="dxa"/>
              <w:bottom w:w="0" w:type="dxa"/>
              <w:right w:w="105" w:type="dxa"/>
            </w:tcMar>
            <w:vAlign w:val="center"/>
          </w:tcPr>
          <w:p>
            <w:pPr>
              <w:pStyle w:val="6"/>
              <w:keepNext w:val="0"/>
              <w:keepLines w:val="0"/>
              <w:widowControl/>
              <w:suppressLineNumbers w:val="0"/>
              <w:jc w:val="center"/>
            </w:pPr>
            <w:r>
              <w:rPr>
                <w:rFonts w:hint="eastAsia" w:ascii="宋体" w:hAnsi="宋体" w:eastAsia="宋体" w:cs="宋体"/>
                <w:sz w:val="21"/>
                <w:szCs w:val="21"/>
              </w:rPr>
              <w:t>本合同包内属于节能、环境标志产品的情况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1172" w:type="dxa"/>
            <w:tcBorders>
              <w:top w:val="nil"/>
              <w:left w:val="nil"/>
              <w:bottom w:val="nil"/>
              <w:right w:val="nil"/>
            </w:tcBorders>
            <w:shd w:val="clear" w:color="auto" w:fill="auto"/>
            <w:tcMar>
              <w:top w:w="0" w:type="dxa"/>
              <w:left w:w="105" w:type="dxa"/>
              <w:bottom w:w="0" w:type="dxa"/>
              <w:right w:w="105" w:type="dxa"/>
            </w:tcMar>
            <w:vAlign w:val="center"/>
          </w:tcPr>
          <w:p>
            <w:pPr>
              <w:pStyle w:val="6"/>
              <w:keepNext w:val="0"/>
              <w:keepLines w:val="0"/>
              <w:widowControl/>
              <w:suppressLineNumbers w:val="0"/>
              <w:jc w:val="center"/>
            </w:pPr>
            <w:r>
              <w:rPr>
                <w:rFonts w:hint="eastAsia" w:ascii="宋体" w:hAnsi="宋体" w:eastAsia="宋体" w:cs="宋体"/>
                <w:sz w:val="21"/>
                <w:szCs w:val="21"/>
              </w:rPr>
              <w:t>合同包</w:t>
            </w:r>
          </w:p>
        </w:tc>
        <w:tc>
          <w:tcPr>
            <w:tcW w:w="1185" w:type="dxa"/>
            <w:tcBorders>
              <w:top w:val="nil"/>
              <w:left w:val="nil"/>
              <w:bottom w:val="nil"/>
              <w:right w:val="nil"/>
            </w:tcBorders>
            <w:shd w:val="clear" w:color="auto" w:fill="auto"/>
            <w:tcMar>
              <w:top w:w="0" w:type="dxa"/>
              <w:left w:w="105" w:type="dxa"/>
              <w:bottom w:w="0" w:type="dxa"/>
              <w:right w:w="105" w:type="dxa"/>
            </w:tcMar>
            <w:vAlign w:val="center"/>
          </w:tcPr>
          <w:p>
            <w:pPr>
              <w:pStyle w:val="6"/>
              <w:keepNext w:val="0"/>
              <w:keepLines w:val="0"/>
              <w:widowControl/>
              <w:suppressLineNumbers w:val="0"/>
              <w:jc w:val="center"/>
            </w:pPr>
            <w:r>
              <w:rPr>
                <w:rFonts w:hint="eastAsia" w:ascii="宋体" w:hAnsi="宋体" w:eastAsia="宋体" w:cs="宋体"/>
                <w:sz w:val="21"/>
                <w:szCs w:val="21"/>
              </w:rPr>
              <w:t>品目号</w:t>
            </w:r>
          </w:p>
        </w:tc>
        <w:tc>
          <w:tcPr>
            <w:tcW w:w="1179" w:type="dxa"/>
            <w:tcBorders>
              <w:top w:val="nil"/>
              <w:left w:val="nil"/>
              <w:bottom w:val="nil"/>
              <w:right w:val="nil"/>
            </w:tcBorders>
            <w:shd w:val="clear" w:color="auto" w:fill="auto"/>
            <w:tcMar>
              <w:top w:w="0" w:type="dxa"/>
              <w:left w:w="105" w:type="dxa"/>
              <w:bottom w:w="0" w:type="dxa"/>
              <w:right w:w="105" w:type="dxa"/>
            </w:tcMar>
            <w:vAlign w:val="center"/>
          </w:tcPr>
          <w:p>
            <w:pPr>
              <w:pStyle w:val="6"/>
              <w:keepNext w:val="0"/>
              <w:keepLines w:val="0"/>
              <w:widowControl/>
              <w:suppressLineNumbers w:val="0"/>
              <w:jc w:val="center"/>
            </w:pPr>
            <w:r>
              <w:rPr>
                <w:rFonts w:hint="eastAsia" w:ascii="宋体" w:hAnsi="宋体" w:eastAsia="宋体" w:cs="宋体"/>
                <w:sz w:val="21"/>
                <w:szCs w:val="21"/>
              </w:rPr>
              <w:t>货物名称</w:t>
            </w:r>
          </w:p>
        </w:tc>
        <w:tc>
          <w:tcPr>
            <w:tcW w:w="1192" w:type="dxa"/>
            <w:tcBorders>
              <w:top w:val="nil"/>
              <w:left w:val="nil"/>
              <w:bottom w:val="nil"/>
              <w:right w:val="nil"/>
            </w:tcBorders>
            <w:shd w:val="clear" w:color="auto" w:fill="auto"/>
            <w:tcMar>
              <w:top w:w="0" w:type="dxa"/>
              <w:left w:w="105" w:type="dxa"/>
              <w:bottom w:w="0" w:type="dxa"/>
              <w:right w:w="105" w:type="dxa"/>
            </w:tcMar>
            <w:vAlign w:val="center"/>
          </w:tcPr>
          <w:p>
            <w:pPr>
              <w:pStyle w:val="6"/>
              <w:keepNext w:val="0"/>
              <w:keepLines w:val="0"/>
              <w:widowControl/>
              <w:suppressLineNumbers w:val="0"/>
              <w:jc w:val="center"/>
            </w:pPr>
            <w:r>
              <w:rPr>
                <w:rFonts w:hint="eastAsia" w:ascii="宋体" w:hAnsi="宋体" w:eastAsia="宋体" w:cs="宋体"/>
                <w:sz w:val="21"/>
                <w:szCs w:val="21"/>
              </w:rPr>
              <w:t>单价</w:t>
            </w:r>
          </w:p>
          <w:p>
            <w:pPr>
              <w:pStyle w:val="6"/>
              <w:keepNext w:val="0"/>
              <w:keepLines w:val="0"/>
              <w:widowControl/>
              <w:suppressLineNumbers w:val="0"/>
              <w:jc w:val="center"/>
            </w:pPr>
            <w:r>
              <w:rPr>
                <w:rFonts w:hint="eastAsia" w:ascii="宋体" w:hAnsi="宋体" w:eastAsia="宋体" w:cs="宋体"/>
                <w:sz w:val="21"/>
                <w:szCs w:val="21"/>
              </w:rPr>
              <w:t>（现场）</w:t>
            </w:r>
          </w:p>
        </w:tc>
        <w:tc>
          <w:tcPr>
            <w:tcW w:w="1180" w:type="dxa"/>
            <w:tcBorders>
              <w:top w:val="nil"/>
              <w:left w:val="nil"/>
              <w:bottom w:val="nil"/>
              <w:right w:val="nil"/>
            </w:tcBorders>
            <w:shd w:val="clear" w:color="auto" w:fill="auto"/>
            <w:tcMar>
              <w:top w:w="0" w:type="dxa"/>
              <w:left w:w="105" w:type="dxa"/>
              <w:bottom w:w="0" w:type="dxa"/>
              <w:right w:w="105" w:type="dxa"/>
            </w:tcMar>
            <w:vAlign w:val="center"/>
          </w:tcPr>
          <w:p>
            <w:pPr>
              <w:pStyle w:val="6"/>
              <w:keepNext w:val="0"/>
              <w:keepLines w:val="0"/>
              <w:widowControl/>
              <w:suppressLineNumbers w:val="0"/>
              <w:jc w:val="center"/>
            </w:pPr>
            <w:r>
              <w:rPr>
                <w:rFonts w:hint="eastAsia" w:ascii="宋体" w:hAnsi="宋体" w:eastAsia="宋体" w:cs="宋体"/>
                <w:sz w:val="21"/>
                <w:szCs w:val="21"/>
              </w:rPr>
              <w:t>数量</w:t>
            </w:r>
          </w:p>
        </w:tc>
        <w:tc>
          <w:tcPr>
            <w:tcW w:w="1192" w:type="dxa"/>
            <w:tcBorders>
              <w:top w:val="nil"/>
              <w:left w:val="nil"/>
              <w:bottom w:val="nil"/>
              <w:right w:val="nil"/>
            </w:tcBorders>
            <w:shd w:val="clear" w:color="auto" w:fill="auto"/>
            <w:tcMar>
              <w:top w:w="0" w:type="dxa"/>
              <w:left w:w="105" w:type="dxa"/>
              <w:bottom w:w="0" w:type="dxa"/>
              <w:right w:w="105" w:type="dxa"/>
            </w:tcMar>
            <w:vAlign w:val="center"/>
          </w:tcPr>
          <w:p>
            <w:pPr>
              <w:pStyle w:val="6"/>
              <w:keepNext w:val="0"/>
              <w:keepLines w:val="0"/>
              <w:widowControl/>
              <w:suppressLineNumbers w:val="0"/>
              <w:jc w:val="center"/>
            </w:pPr>
            <w:r>
              <w:rPr>
                <w:rFonts w:hint="eastAsia" w:ascii="宋体" w:hAnsi="宋体" w:eastAsia="宋体" w:cs="宋体"/>
                <w:sz w:val="21"/>
                <w:szCs w:val="21"/>
              </w:rPr>
              <w:t>总价</w:t>
            </w:r>
          </w:p>
          <w:p>
            <w:pPr>
              <w:pStyle w:val="6"/>
              <w:keepNext w:val="0"/>
              <w:keepLines w:val="0"/>
              <w:widowControl/>
              <w:suppressLineNumbers w:val="0"/>
              <w:jc w:val="center"/>
            </w:pPr>
            <w:r>
              <w:rPr>
                <w:rFonts w:hint="eastAsia" w:ascii="宋体" w:hAnsi="宋体" w:eastAsia="宋体" w:cs="宋体"/>
                <w:sz w:val="21"/>
                <w:szCs w:val="21"/>
              </w:rPr>
              <w:t>（现场）</w:t>
            </w:r>
          </w:p>
        </w:tc>
        <w:tc>
          <w:tcPr>
            <w:tcW w:w="1180" w:type="dxa"/>
            <w:tcBorders>
              <w:top w:val="nil"/>
              <w:left w:val="nil"/>
              <w:bottom w:val="nil"/>
              <w:right w:val="nil"/>
            </w:tcBorders>
            <w:shd w:val="clear" w:color="auto" w:fill="auto"/>
            <w:tcMar>
              <w:top w:w="0" w:type="dxa"/>
              <w:left w:w="105" w:type="dxa"/>
              <w:bottom w:w="0" w:type="dxa"/>
              <w:right w:w="105" w:type="dxa"/>
            </w:tcMar>
            <w:vAlign w:val="center"/>
          </w:tcPr>
          <w:p>
            <w:pPr>
              <w:pStyle w:val="6"/>
              <w:keepNext w:val="0"/>
              <w:keepLines w:val="0"/>
              <w:widowControl/>
              <w:suppressLineNumbers w:val="0"/>
              <w:jc w:val="center"/>
            </w:pPr>
            <w:r>
              <w:rPr>
                <w:rFonts w:hint="eastAsia" w:ascii="宋体" w:hAnsi="宋体" w:eastAsia="宋体" w:cs="宋体"/>
                <w:sz w:val="21"/>
                <w:szCs w:val="21"/>
              </w:rPr>
              <w:t>认证种类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1172" w:type="dxa"/>
            <w:vMerge w:val="restart"/>
            <w:tcBorders>
              <w:top w:val="nil"/>
              <w:left w:val="nil"/>
              <w:bottom w:val="nil"/>
              <w:right w:val="nil"/>
            </w:tcBorders>
            <w:shd w:val="clear" w:color="auto" w:fill="auto"/>
            <w:tcMar>
              <w:top w:w="0" w:type="dxa"/>
              <w:left w:w="105" w:type="dxa"/>
              <w:bottom w:w="0" w:type="dxa"/>
              <w:right w:w="105" w:type="dxa"/>
            </w:tcMar>
            <w:vAlign w:val="center"/>
          </w:tcPr>
          <w:p>
            <w:pPr>
              <w:pStyle w:val="6"/>
              <w:keepNext w:val="0"/>
              <w:keepLines w:val="0"/>
              <w:widowControl/>
              <w:suppressLineNumbers w:val="0"/>
              <w:jc w:val="center"/>
            </w:pPr>
            <w:r>
              <w:rPr>
                <w:rFonts w:hint="eastAsia" w:ascii="宋体" w:hAnsi="宋体" w:eastAsia="宋体" w:cs="宋体"/>
                <w:sz w:val="21"/>
                <w:szCs w:val="21"/>
              </w:rPr>
              <w:t>*</w:t>
            </w:r>
          </w:p>
        </w:tc>
        <w:tc>
          <w:tcPr>
            <w:tcW w:w="1185" w:type="dxa"/>
            <w:tcBorders>
              <w:top w:val="nil"/>
              <w:left w:val="nil"/>
              <w:bottom w:val="nil"/>
              <w:right w:val="nil"/>
            </w:tcBorders>
            <w:shd w:val="clear" w:color="auto" w:fill="auto"/>
            <w:tcMar>
              <w:top w:w="0" w:type="dxa"/>
              <w:left w:w="105" w:type="dxa"/>
              <w:bottom w:w="0" w:type="dxa"/>
              <w:right w:w="105" w:type="dxa"/>
            </w:tcMar>
            <w:vAlign w:val="center"/>
          </w:tcPr>
          <w:p>
            <w:pPr>
              <w:pStyle w:val="6"/>
              <w:keepNext w:val="0"/>
              <w:keepLines w:val="0"/>
              <w:widowControl/>
              <w:suppressLineNumbers w:val="0"/>
              <w:jc w:val="center"/>
            </w:pPr>
            <w:r>
              <w:rPr>
                <w:rFonts w:hint="eastAsia" w:ascii="宋体" w:hAnsi="宋体" w:eastAsia="宋体" w:cs="宋体"/>
                <w:sz w:val="21"/>
                <w:szCs w:val="21"/>
              </w:rPr>
              <w:t>*-1</w:t>
            </w:r>
          </w:p>
        </w:tc>
        <w:tc>
          <w:tcPr>
            <w:tcW w:w="1179"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1192"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118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1192"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118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1172" w:type="dxa"/>
            <w:vMerge w:val="continue"/>
            <w:tcBorders>
              <w:top w:val="nil"/>
              <w:left w:val="nil"/>
              <w:bottom w:val="nil"/>
              <w:right w:val="nil"/>
            </w:tcBorders>
            <w:shd w:val="clear" w:color="auto" w:fill="auto"/>
            <w:tcMar>
              <w:top w:w="0" w:type="dxa"/>
              <w:left w:w="105" w:type="dxa"/>
              <w:bottom w:w="0" w:type="dxa"/>
              <w:right w:w="105" w:type="dxa"/>
            </w:tcMar>
            <w:vAlign w:val="center"/>
          </w:tcPr>
          <w:p>
            <w:pPr>
              <w:rPr>
                <w:rFonts w:hint="eastAsia" w:ascii="宋体"/>
                <w:sz w:val="24"/>
                <w:szCs w:val="24"/>
              </w:rPr>
            </w:pPr>
          </w:p>
        </w:tc>
        <w:tc>
          <w:tcPr>
            <w:tcW w:w="1185" w:type="dxa"/>
            <w:tcBorders>
              <w:top w:val="nil"/>
              <w:left w:val="nil"/>
              <w:bottom w:val="nil"/>
              <w:right w:val="nil"/>
            </w:tcBorders>
            <w:shd w:val="clear" w:color="auto" w:fill="auto"/>
            <w:tcMar>
              <w:top w:w="0" w:type="dxa"/>
              <w:left w:w="105" w:type="dxa"/>
              <w:bottom w:w="0" w:type="dxa"/>
              <w:right w:w="105" w:type="dxa"/>
            </w:tcMar>
            <w:vAlign w:val="center"/>
          </w:tcPr>
          <w:p>
            <w:pPr>
              <w:pStyle w:val="6"/>
              <w:keepNext w:val="0"/>
              <w:keepLines w:val="0"/>
              <w:widowControl/>
              <w:suppressLineNumbers w:val="0"/>
              <w:jc w:val="center"/>
            </w:pPr>
            <w:r>
              <w:rPr>
                <w:rFonts w:hint="default" w:ascii="Calibri" w:hAnsi="Calibri" w:cs="Calibri"/>
                <w:sz w:val="21"/>
                <w:szCs w:val="21"/>
              </w:rPr>
              <w:t>…</w:t>
            </w:r>
          </w:p>
        </w:tc>
        <w:tc>
          <w:tcPr>
            <w:tcW w:w="1179"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1192"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118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1192"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118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1172" w:type="dxa"/>
            <w:tcBorders>
              <w:top w:val="nil"/>
              <w:left w:val="nil"/>
              <w:bottom w:val="nil"/>
              <w:right w:val="nil"/>
            </w:tcBorders>
            <w:shd w:val="clear" w:color="auto" w:fill="auto"/>
            <w:tcMar>
              <w:top w:w="0" w:type="dxa"/>
              <w:left w:w="105" w:type="dxa"/>
              <w:bottom w:w="0" w:type="dxa"/>
              <w:right w:w="105" w:type="dxa"/>
            </w:tcMar>
            <w:vAlign w:val="center"/>
          </w:tcPr>
          <w:p>
            <w:pPr>
              <w:pStyle w:val="6"/>
              <w:keepNext w:val="0"/>
              <w:keepLines w:val="0"/>
              <w:widowControl/>
              <w:suppressLineNumbers w:val="0"/>
              <w:jc w:val="center"/>
            </w:pPr>
            <w:r>
              <w:rPr>
                <w:rFonts w:hint="eastAsia" w:ascii="宋体" w:hAnsi="宋体" w:eastAsia="宋体" w:cs="宋体"/>
                <w:sz w:val="21"/>
                <w:szCs w:val="21"/>
              </w:rPr>
              <w:t>备注</w:t>
            </w:r>
          </w:p>
        </w:tc>
        <w:tc>
          <w:tcPr>
            <w:tcW w:w="7258" w:type="dxa"/>
            <w:gridSpan w:val="6"/>
            <w:tcBorders>
              <w:top w:val="nil"/>
              <w:left w:val="nil"/>
              <w:bottom w:val="nil"/>
              <w:right w:val="nil"/>
            </w:tcBorders>
            <w:shd w:val="clear" w:color="auto" w:fill="auto"/>
            <w:tcMar>
              <w:top w:w="0" w:type="dxa"/>
              <w:left w:w="105" w:type="dxa"/>
              <w:bottom w:w="0" w:type="dxa"/>
              <w:right w:w="105" w:type="dxa"/>
            </w:tcMar>
            <w:vAlign w:val="top"/>
          </w:tcPr>
          <w:p>
            <w:pPr>
              <w:pStyle w:val="6"/>
              <w:keepNext w:val="0"/>
              <w:keepLines w:val="0"/>
              <w:widowControl/>
              <w:suppressLineNumbers w:val="0"/>
            </w:pPr>
            <w:r>
              <w:rPr>
                <w:rFonts w:hint="eastAsia" w:ascii="宋体" w:hAnsi="宋体" w:eastAsia="宋体" w:cs="宋体"/>
                <w:sz w:val="21"/>
                <w:szCs w:val="21"/>
              </w:rPr>
              <w:t>a.合同包内属于节能、环境标志产品的报价总金额：</w:t>
            </w:r>
            <w:r>
              <w:rPr>
                <w:rFonts w:hint="eastAsia" w:ascii="宋体" w:hAnsi="宋体" w:eastAsia="宋体" w:cs="宋体"/>
                <w:sz w:val="21"/>
                <w:szCs w:val="21"/>
                <w:u w:val="single"/>
              </w:rPr>
              <w:t>              </w:t>
            </w:r>
            <w:r>
              <w:rPr>
                <w:rFonts w:hint="eastAsia" w:ascii="宋体" w:hAnsi="宋体" w:eastAsia="宋体" w:cs="宋体"/>
                <w:sz w:val="21"/>
                <w:szCs w:val="21"/>
              </w:rPr>
              <w:t>；</w:t>
            </w:r>
          </w:p>
          <w:p>
            <w:pPr>
              <w:pStyle w:val="6"/>
              <w:keepNext w:val="0"/>
              <w:keepLines w:val="0"/>
              <w:widowControl/>
              <w:suppressLineNumbers w:val="0"/>
            </w:pPr>
            <w:r>
              <w:rPr>
                <w:rFonts w:hint="eastAsia" w:ascii="宋体" w:hAnsi="宋体" w:eastAsia="宋体" w:cs="宋体"/>
                <w:sz w:val="21"/>
                <w:szCs w:val="21"/>
              </w:rPr>
              <w:t>b.合同包投标总价（报价总金额）：</w:t>
            </w:r>
            <w:r>
              <w:rPr>
                <w:rFonts w:hint="eastAsia" w:ascii="宋体" w:hAnsi="宋体" w:eastAsia="宋体" w:cs="宋体"/>
                <w:sz w:val="21"/>
                <w:szCs w:val="21"/>
                <w:u w:val="single"/>
              </w:rPr>
              <w:t>              </w:t>
            </w:r>
            <w:r>
              <w:rPr>
                <w:rFonts w:hint="eastAsia" w:ascii="宋体" w:hAnsi="宋体" w:eastAsia="宋体" w:cs="宋体"/>
                <w:sz w:val="21"/>
                <w:szCs w:val="21"/>
              </w:rPr>
              <w:t>；</w:t>
            </w:r>
          </w:p>
          <w:p>
            <w:pPr>
              <w:pStyle w:val="6"/>
              <w:keepNext w:val="0"/>
              <w:keepLines w:val="0"/>
              <w:widowControl/>
              <w:suppressLineNumbers w:val="0"/>
            </w:pPr>
            <w:r>
              <w:rPr>
                <w:rFonts w:hint="eastAsia" w:ascii="宋体" w:hAnsi="宋体" w:eastAsia="宋体" w:cs="宋体"/>
                <w:sz w:val="21"/>
                <w:szCs w:val="21"/>
              </w:rPr>
              <w:t>c.“合同包内属于节能、环境标志产品的报价总金额”占“合同包投标总价（报价总金额）”的比例（以</w:t>
            </w:r>
            <w:r>
              <w:rPr>
                <w:rFonts w:hint="default" w:ascii="Calibri" w:hAnsi="Calibri" w:eastAsia="宋体" w:cs="Calibri"/>
                <w:sz w:val="21"/>
                <w:szCs w:val="21"/>
              </w:rPr>
              <w:t>%</w:t>
            </w:r>
            <w:r>
              <w:rPr>
                <w:rFonts w:hint="eastAsia" w:ascii="宋体" w:hAnsi="宋体" w:eastAsia="宋体" w:cs="宋体"/>
                <w:sz w:val="21"/>
                <w:szCs w:val="21"/>
              </w:rPr>
              <w:t>列示）：</w:t>
            </w:r>
            <w:r>
              <w:rPr>
                <w:rFonts w:hint="eastAsia" w:ascii="宋体" w:hAnsi="宋体" w:eastAsia="宋体" w:cs="宋体"/>
                <w:sz w:val="21"/>
                <w:szCs w:val="21"/>
                <w:u w:val="single"/>
              </w:rPr>
              <w:t>              </w:t>
            </w:r>
            <w:r>
              <w:rPr>
                <w:rFonts w:hint="eastAsia" w:ascii="宋体" w:hAnsi="宋体" w:eastAsia="宋体" w:cs="宋体"/>
                <w:sz w:val="21"/>
                <w:szCs w:val="21"/>
              </w:rPr>
              <w:t>。</w:t>
            </w:r>
          </w:p>
        </w:tc>
      </w:tr>
    </w:tbl>
    <w:p>
      <w:pPr>
        <w:pStyle w:val="6"/>
        <w:keepNext w:val="0"/>
        <w:keepLines w:val="0"/>
        <w:widowControl/>
        <w:suppressLineNumbers w:val="0"/>
      </w:pPr>
      <w:r>
        <w:rPr>
          <w:rFonts w:hint="eastAsia" w:ascii="宋体" w:hAnsi="宋体" w:eastAsia="宋体" w:cs="宋体"/>
          <w:sz w:val="21"/>
          <w:szCs w:val="21"/>
        </w:rPr>
        <w:t>★注意：</w:t>
      </w:r>
    </w:p>
    <w:p>
      <w:pPr>
        <w:pStyle w:val="6"/>
        <w:keepNext w:val="0"/>
        <w:keepLines w:val="0"/>
        <w:widowControl/>
        <w:suppressLineNumbers w:val="0"/>
      </w:pPr>
      <w:r>
        <w:rPr>
          <w:rFonts w:hint="eastAsia" w:ascii="宋体" w:hAnsi="宋体" w:eastAsia="宋体" w:cs="宋体"/>
          <w:sz w:val="21"/>
          <w:szCs w:val="21"/>
        </w:rPr>
        <w:t>1、对节能、环境标志产品计算价格扣除时，只依据投标文件</w:t>
      </w:r>
      <w:r>
        <w:rPr>
          <w:rStyle w:val="10"/>
          <w:rFonts w:hint="eastAsia" w:ascii="宋体" w:hAnsi="宋体" w:eastAsia="宋体" w:cs="宋体"/>
          <w:sz w:val="21"/>
          <w:szCs w:val="21"/>
        </w:rPr>
        <w:t>“三</w:t>
      </w:r>
      <w:r>
        <w:rPr>
          <w:rStyle w:val="10"/>
          <w:rFonts w:hint="default" w:ascii="Calibri" w:hAnsi="Calibri" w:eastAsia="宋体" w:cs="Calibri"/>
          <w:sz w:val="21"/>
          <w:szCs w:val="21"/>
        </w:rPr>
        <w:t>-1-</w:t>
      </w:r>
      <w:r>
        <w:rPr>
          <w:rStyle w:val="10"/>
          <w:rFonts w:hint="eastAsia" w:ascii="宋体" w:hAnsi="宋体" w:eastAsia="宋体" w:cs="宋体"/>
          <w:sz w:val="21"/>
          <w:szCs w:val="21"/>
        </w:rPr>
        <w:t>②优先类节能产品、环境标志产品证明材料（价格扣除适用，若有）”。</w:t>
      </w:r>
    </w:p>
    <w:p>
      <w:pPr>
        <w:pStyle w:val="6"/>
        <w:keepNext w:val="0"/>
        <w:keepLines w:val="0"/>
        <w:widowControl/>
        <w:suppressLineNumbers w:val="0"/>
      </w:pPr>
      <w:r>
        <w:rPr>
          <w:rFonts w:hint="eastAsia" w:ascii="宋体" w:hAnsi="宋体" w:eastAsia="宋体" w:cs="宋体"/>
          <w:sz w:val="21"/>
          <w:szCs w:val="21"/>
        </w:rPr>
        <w:t>2、本表以合同包为单位，不同合同包请分别填写；同一合同包请按照其品目号顺序分别填写。</w:t>
      </w:r>
    </w:p>
    <w:p>
      <w:pPr>
        <w:pStyle w:val="6"/>
        <w:keepNext w:val="0"/>
        <w:keepLines w:val="0"/>
        <w:widowControl/>
        <w:suppressLineNumbers w:val="0"/>
      </w:pPr>
      <w:r>
        <w:rPr>
          <w:rFonts w:hint="eastAsia" w:ascii="宋体" w:hAnsi="宋体" w:eastAsia="宋体" w:cs="宋体"/>
          <w:sz w:val="21"/>
          <w:szCs w:val="21"/>
        </w:rPr>
        <w:t>3、具体统计、计算：</w:t>
      </w:r>
    </w:p>
    <w:p>
      <w:pPr>
        <w:pStyle w:val="6"/>
        <w:keepNext w:val="0"/>
        <w:keepLines w:val="0"/>
        <w:widowControl/>
        <w:suppressLineNumbers w:val="0"/>
      </w:pPr>
      <w:r>
        <w:rPr>
          <w:rFonts w:hint="eastAsia" w:ascii="宋体" w:hAnsi="宋体" w:eastAsia="宋体" w:cs="宋体"/>
          <w:sz w:val="21"/>
          <w:szCs w:val="21"/>
        </w:rPr>
        <w:t>3.1若节能、环境标志产品仅是构成投标产品的部件、组件或零件，则该投标产品不享受鼓励优惠政策。同一品目中各认证证书不重复计算价格扣除。强制类节能产品不享受价格扣除。</w:t>
      </w:r>
    </w:p>
    <w:p>
      <w:pPr>
        <w:pStyle w:val="6"/>
        <w:keepNext w:val="0"/>
        <w:keepLines w:val="0"/>
        <w:widowControl/>
        <w:suppressLineNumbers w:val="0"/>
      </w:pPr>
      <w:r>
        <w:rPr>
          <w:rFonts w:hint="eastAsia" w:ascii="宋体" w:hAnsi="宋体" w:eastAsia="宋体" w:cs="宋体"/>
          <w:sz w:val="21"/>
          <w:szCs w:val="21"/>
        </w:rPr>
        <w:t>3.2计算结果若除不尽，可四舍五入保留到小数点后两位。</w:t>
      </w:r>
    </w:p>
    <w:p>
      <w:pPr>
        <w:pStyle w:val="6"/>
        <w:keepNext w:val="0"/>
        <w:keepLines w:val="0"/>
        <w:widowControl/>
        <w:suppressLineNumbers w:val="0"/>
      </w:pPr>
      <w:r>
        <w:rPr>
          <w:rFonts w:hint="eastAsia" w:ascii="宋体" w:hAnsi="宋体" w:eastAsia="宋体" w:cs="宋体"/>
          <w:sz w:val="21"/>
          <w:szCs w:val="21"/>
        </w:rPr>
        <w:t>3.3投标人应按照招标文件要求认真统计、计算，否则评标委员会不予认定。</w:t>
      </w:r>
    </w:p>
    <w:p>
      <w:pPr>
        <w:pStyle w:val="6"/>
        <w:keepNext w:val="0"/>
        <w:keepLines w:val="0"/>
        <w:widowControl/>
        <w:suppressLineNumbers w:val="0"/>
      </w:pPr>
      <w:r>
        <w:rPr>
          <w:rFonts w:hint="eastAsia" w:ascii="宋体" w:hAnsi="宋体" w:eastAsia="宋体" w:cs="宋体"/>
          <w:sz w:val="21"/>
          <w:szCs w:val="21"/>
        </w:rPr>
        <w:t>3.4若无节能、环境标志产品，不填写本表，否则，</w:t>
      </w:r>
      <w:r>
        <w:rPr>
          <w:rStyle w:val="10"/>
          <w:rFonts w:hint="eastAsia" w:ascii="宋体" w:hAnsi="宋体" w:eastAsia="宋体" w:cs="宋体"/>
          <w:sz w:val="21"/>
          <w:szCs w:val="21"/>
        </w:rPr>
        <w:t>视为提供虚假材料。</w:t>
      </w:r>
    </w:p>
    <w:p>
      <w:pPr>
        <w:pStyle w:val="6"/>
        <w:keepNext w:val="0"/>
        <w:keepLines w:val="0"/>
        <w:widowControl/>
        <w:suppressLineNumbers w:val="0"/>
      </w:pPr>
      <w:r>
        <w:rPr>
          <w:rFonts w:hint="eastAsia" w:ascii="宋体" w:hAnsi="宋体" w:eastAsia="宋体" w:cs="宋体"/>
          <w:sz w:val="21"/>
          <w:szCs w:val="21"/>
        </w:rPr>
        <w:t>4、纸质投标文件正本中的本表（若有）应为原件。</w:t>
      </w:r>
    </w:p>
    <w:p>
      <w:pPr>
        <w:pStyle w:val="6"/>
        <w:keepNext w:val="0"/>
        <w:keepLines w:val="0"/>
        <w:widowControl/>
        <w:suppressLineNumbers w:val="0"/>
      </w:pPr>
      <w:r>
        <w:rPr>
          <w:rFonts w:hint="eastAsia" w:ascii="宋体" w:hAnsi="宋体" w:eastAsia="宋体" w:cs="宋体"/>
          <w:sz w:val="21"/>
          <w:szCs w:val="21"/>
        </w:rPr>
        <w:t> </w:t>
      </w:r>
    </w:p>
    <w:p>
      <w:pPr>
        <w:pStyle w:val="6"/>
        <w:keepNext w:val="0"/>
        <w:keepLines w:val="0"/>
        <w:widowControl/>
        <w:suppressLineNumbers w:val="0"/>
      </w:pPr>
      <w:r>
        <w:rPr>
          <w:rFonts w:hint="eastAsia" w:ascii="宋体" w:hAnsi="宋体" w:eastAsia="宋体" w:cs="宋体"/>
          <w:sz w:val="21"/>
          <w:szCs w:val="21"/>
        </w:rPr>
        <w:t> </w:t>
      </w:r>
    </w:p>
    <w:p>
      <w:pPr>
        <w:pStyle w:val="6"/>
        <w:keepNext w:val="0"/>
        <w:keepLines w:val="0"/>
        <w:widowControl/>
        <w:suppressLineNumbers w:val="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6"/>
        <w:keepNext w:val="0"/>
        <w:keepLines w:val="0"/>
        <w:widowControl/>
        <w:suppressLineNumbers w:val="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6"/>
        <w:keepNext w:val="0"/>
        <w:keepLines w:val="0"/>
        <w:widowControl/>
        <w:suppressLineNumbers w:val="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6"/>
        <w:keepNext w:val="0"/>
        <w:keepLines w:val="0"/>
        <w:widowControl/>
        <w:suppressLineNumbers w:val="0"/>
      </w:pPr>
      <w:r>
        <w:rPr>
          <w:rStyle w:val="10"/>
          <w:rFonts w:hint="eastAsia" w:ascii="宋体" w:hAnsi="宋体" w:eastAsia="宋体" w:cs="宋体"/>
          <w:sz w:val="21"/>
          <w:szCs w:val="21"/>
        </w:rPr>
        <w:t> </w:t>
      </w:r>
    </w:p>
    <w:p>
      <w:pPr>
        <w:pStyle w:val="6"/>
        <w:keepNext w:val="0"/>
        <w:keepLines w:val="0"/>
        <w:widowControl/>
        <w:suppressLineNumbers w:val="0"/>
      </w:pPr>
      <w:r>
        <w:rPr>
          <w:rStyle w:val="10"/>
          <w:rFonts w:hint="eastAsia" w:ascii="宋体" w:hAnsi="宋体" w:eastAsia="宋体" w:cs="宋体"/>
          <w:sz w:val="21"/>
          <w:szCs w:val="21"/>
        </w:rPr>
        <w:t> </w:t>
      </w:r>
    </w:p>
    <w:p>
      <w:pPr>
        <w:pStyle w:val="6"/>
        <w:keepNext w:val="0"/>
        <w:keepLines w:val="0"/>
        <w:widowControl/>
        <w:suppressLineNumbers w:val="0"/>
        <w:jc w:val="center"/>
      </w:pPr>
      <w:r>
        <w:rPr>
          <w:rStyle w:val="10"/>
          <w:rFonts w:hint="default" w:ascii="Calibri" w:hAnsi="Calibri" w:cs="Calibri"/>
          <w:sz w:val="21"/>
          <w:szCs w:val="21"/>
        </w:rPr>
        <w:br w:type="textWrapping"/>
      </w:r>
      <w:r>
        <w:rPr>
          <w:rStyle w:val="10"/>
          <w:rFonts w:hint="eastAsia" w:ascii="宋体" w:hAnsi="宋体" w:eastAsia="宋体" w:cs="宋体"/>
          <w:sz w:val="21"/>
          <w:szCs w:val="21"/>
        </w:rPr>
        <w:t>三-1-②优先类节能产品、环境标志产品证明材料（价格扣除适用，若有）</w:t>
      </w:r>
    </w:p>
    <w:p>
      <w:pPr>
        <w:pStyle w:val="6"/>
        <w:keepNext w:val="0"/>
        <w:keepLines w:val="0"/>
        <w:widowControl/>
        <w:suppressLineNumbers w:val="0"/>
      </w:pPr>
      <w:r>
        <w:rPr>
          <w:rStyle w:val="10"/>
          <w:rFonts w:hint="eastAsia" w:ascii="宋体" w:hAnsi="宋体" w:eastAsia="宋体" w:cs="宋体"/>
          <w:sz w:val="21"/>
          <w:szCs w:val="21"/>
        </w:rPr>
        <w:t> </w:t>
      </w:r>
    </w:p>
    <w:p>
      <w:pPr>
        <w:pStyle w:val="6"/>
        <w:keepNext w:val="0"/>
        <w:keepLines w:val="0"/>
        <w:widowControl/>
        <w:suppressLineNumbers w:val="0"/>
      </w:pPr>
      <w:r>
        <w:rPr>
          <w:rStyle w:val="10"/>
          <w:rFonts w:hint="eastAsia" w:ascii="宋体" w:hAnsi="宋体" w:eastAsia="宋体" w:cs="宋体"/>
          <w:sz w:val="21"/>
          <w:szCs w:val="21"/>
        </w:rPr>
        <w:t> </w:t>
      </w:r>
    </w:p>
    <w:p>
      <w:pPr>
        <w:pStyle w:val="6"/>
        <w:keepNext w:val="0"/>
        <w:keepLines w:val="0"/>
        <w:widowControl/>
        <w:suppressLineNumbers w:val="0"/>
        <w:jc w:val="center"/>
      </w:pPr>
      <w:r>
        <w:rPr>
          <w:rFonts w:hint="eastAsia" w:ascii="宋体" w:hAnsi="宋体" w:eastAsia="宋体" w:cs="宋体"/>
          <w:sz w:val="21"/>
          <w:szCs w:val="21"/>
        </w:rPr>
        <w:t>编制说明</w:t>
      </w:r>
    </w:p>
    <w:p>
      <w:pPr>
        <w:pStyle w:val="6"/>
        <w:keepNext w:val="0"/>
        <w:keepLines w:val="0"/>
        <w:widowControl/>
        <w:suppressLineNumbers w:val="0"/>
        <w:jc w:val="center"/>
      </w:pPr>
      <w:r>
        <w:rPr>
          <w:rFonts w:hint="eastAsia" w:ascii="宋体" w:hAnsi="宋体" w:eastAsia="宋体" w:cs="宋体"/>
          <w:sz w:val="21"/>
          <w:szCs w:val="21"/>
        </w:rPr>
        <w:t> </w:t>
      </w:r>
    </w:p>
    <w:p>
      <w:pPr>
        <w:pStyle w:val="6"/>
        <w:keepNext w:val="0"/>
        <w:keepLines w:val="0"/>
        <w:widowControl/>
        <w:suppressLineNumbers w:val="0"/>
        <w:ind w:left="0" w:firstLine="420"/>
      </w:pPr>
      <w:r>
        <w:rPr>
          <w:rFonts w:hint="eastAsia" w:ascii="宋体" w:hAnsi="宋体" w:eastAsia="宋体" w:cs="宋体"/>
          <w:sz w:val="21"/>
          <w:szCs w:val="21"/>
        </w:rPr>
        <w:t>除招标文件另有规定外，投标人应按照招标文件第二章（表1）第</w:t>
      </w:r>
      <w:r>
        <w:rPr>
          <w:rFonts w:hint="default" w:ascii="Calibri" w:hAnsi="Calibri" w:eastAsia="宋体" w:cs="Calibri"/>
          <w:sz w:val="21"/>
          <w:szCs w:val="21"/>
        </w:rPr>
        <w:t>13</w:t>
      </w:r>
      <w:r>
        <w:rPr>
          <w:rFonts w:hint="eastAsia" w:ascii="宋体" w:hAnsi="宋体" w:eastAsia="宋体" w:cs="宋体"/>
          <w:sz w:val="21"/>
          <w:szCs w:val="21"/>
        </w:rPr>
        <w:t>项规定提供相应证明材料。</w:t>
      </w:r>
    </w:p>
    <w:p>
      <w:pPr>
        <w:pStyle w:val="6"/>
        <w:keepNext w:val="0"/>
        <w:keepLines w:val="0"/>
        <w:widowControl/>
        <w:suppressLineNumbers w:val="0"/>
      </w:pPr>
      <w:r>
        <w:rPr>
          <w:rFonts w:hint="eastAsia" w:ascii="宋体" w:hAnsi="宋体" w:eastAsia="宋体" w:cs="宋体"/>
          <w:sz w:val="21"/>
          <w:szCs w:val="21"/>
        </w:rPr>
        <w:t> </w:t>
      </w:r>
    </w:p>
    <w:p>
      <w:pPr>
        <w:pStyle w:val="6"/>
        <w:keepNext w:val="0"/>
        <w:keepLines w:val="0"/>
        <w:widowControl/>
        <w:suppressLineNumbers w:val="0"/>
      </w:pPr>
      <w:r>
        <w:rPr>
          <w:rStyle w:val="10"/>
          <w:rFonts w:hint="eastAsia" w:ascii="宋体" w:hAnsi="宋体" w:eastAsia="宋体" w:cs="宋体"/>
          <w:sz w:val="21"/>
          <w:szCs w:val="21"/>
        </w:rPr>
        <w:t> </w:t>
      </w:r>
    </w:p>
    <w:p>
      <w:pPr>
        <w:pStyle w:val="6"/>
        <w:keepNext w:val="0"/>
        <w:keepLines w:val="0"/>
        <w:widowControl/>
        <w:suppressLineNumbers w:val="0"/>
        <w:jc w:val="center"/>
      </w:pPr>
      <w:r>
        <w:rPr>
          <w:rStyle w:val="10"/>
          <w:rFonts w:hint="default" w:ascii="Calibri" w:hAnsi="Calibri" w:cs="Calibri"/>
          <w:sz w:val="21"/>
          <w:szCs w:val="21"/>
        </w:rPr>
        <w:br w:type="textWrapping"/>
      </w:r>
      <w:r>
        <w:rPr>
          <w:rStyle w:val="10"/>
          <w:rFonts w:hint="eastAsia" w:ascii="宋体" w:hAnsi="宋体" w:eastAsia="宋体" w:cs="宋体"/>
          <w:sz w:val="21"/>
          <w:szCs w:val="21"/>
        </w:rPr>
        <w:t>三-2小型、微型企业产品等价格扣除证明材料（若有）</w:t>
      </w:r>
    </w:p>
    <w:p>
      <w:pPr>
        <w:pStyle w:val="6"/>
        <w:keepNext w:val="0"/>
        <w:keepLines w:val="0"/>
        <w:widowControl/>
        <w:suppressLineNumbers w:val="0"/>
        <w:jc w:val="center"/>
      </w:pPr>
      <w:r>
        <w:rPr>
          <w:rStyle w:val="10"/>
          <w:rFonts w:hint="eastAsia" w:ascii="宋体" w:hAnsi="宋体" w:eastAsia="宋体" w:cs="宋体"/>
          <w:sz w:val="21"/>
          <w:szCs w:val="21"/>
        </w:rPr>
        <w:t> </w:t>
      </w:r>
    </w:p>
    <w:p>
      <w:pPr>
        <w:pStyle w:val="6"/>
        <w:keepNext w:val="0"/>
        <w:keepLines w:val="0"/>
        <w:widowControl/>
        <w:suppressLineNumbers w:val="0"/>
        <w:jc w:val="center"/>
      </w:pPr>
      <w:r>
        <w:rPr>
          <w:rStyle w:val="10"/>
          <w:rFonts w:hint="eastAsia" w:ascii="宋体" w:hAnsi="宋体" w:eastAsia="宋体" w:cs="宋体"/>
          <w:sz w:val="21"/>
          <w:szCs w:val="21"/>
        </w:rPr>
        <w:t>三-2-①小型、微型企业产品等统计表（价格扣除适用，若有）</w:t>
      </w:r>
    </w:p>
    <w:p>
      <w:pPr>
        <w:pStyle w:val="6"/>
        <w:keepNext w:val="0"/>
        <w:keepLines w:val="0"/>
        <w:widowControl/>
        <w:suppressLineNumbers w:val="0"/>
      </w:pPr>
      <w:r>
        <w:rPr>
          <w:rFonts w:hint="eastAsia" w:ascii="宋体" w:hAnsi="宋体" w:eastAsia="宋体" w:cs="宋体"/>
          <w:sz w:val="21"/>
          <w:szCs w:val="21"/>
        </w:rPr>
        <w:t> </w:t>
      </w:r>
    </w:p>
    <w:p>
      <w:pPr>
        <w:pStyle w:val="6"/>
        <w:keepNext w:val="0"/>
        <w:keepLines w:val="0"/>
        <w:widowControl/>
        <w:suppressLineNumbers w:val="0"/>
      </w:pPr>
      <w:r>
        <w:rPr>
          <w:rFonts w:hint="eastAsia" w:ascii="宋体" w:hAnsi="宋体" w:eastAsia="宋体" w:cs="宋体"/>
          <w:sz w:val="21"/>
          <w:szCs w:val="21"/>
        </w:rPr>
        <w:t>招标编号：</w:t>
      </w:r>
      <w:r>
        <w:rPr>
          <w:rFonts w:hint="eastAsia" w:ascii="宋体" w:hAnsi="宋体" w:eastAsia="宋体" w:cs="宋体"/>
          <w:sz w:val="21"/>
          <w:szCs w:val="21"/>
          <w:u w:val="single"/>
        </w:rPr>
        <w:t>                   </w:t>
      </w:r>
    </w:p>
    <w:p>
      <w:pPr>
        <w:pStyle w:val="6"/>
        <w:keepNext w:val="0"/>
        <w:keepLines w:val="0"/>
        <w:widowControl/>
        <w:suppressLineNumbers w:val="0"/>
        <w:jc w:val="right"/>
      </w:pPr>
      <w:r>
        <w:rPr>
          <w:rFonts w:hint="eastAsia" w:ascii="宋体" w:hAnsi="宋体" w:eastAsia="宋体" w:cs="宋体"/>
          <w:sz w:val="21"/>
          <w:szCs w:val="21"/>
        </w:rPr>
        <w:t>货币及单位：人民币元</w:t>
      </w:r>
    </w:p>
    <w:tbl>
      <w:tblPr>
        <w:tblStyle w:val="7"/>
        <w:tblW w:w="8520"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
      <w:tblGrid>
        <w:gridCol w:w="1211"/>
        <w:gridCol w:w="1205"/>
        <w:gridCol w:w="1072"/>
        <w:gridCol w:w="1000"/>
        <w:gridCol w:w="719"/>
        <w:gridCol w:w="1000"/>
        <w:gridCol w:w="1128"/>
        <w:gridCol w:w="118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Ex>
        <w:trPr>
          <w:tblCellSpacing w:w="15" w:type="dxa"/>
        </w:trPr>
        <w:tc>
          <w:tcPr>
            <w:tcW w:w="1166"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7264" w:type="dxa"/>
            <w:gridSpan w:val="7"/>
            <w:tcBorders>
              <w:top w:val="nil"/>
              <w:left w:val="nil"/>
              <w:bottom w:val="nil"/>
              <w:right w:val="nil"/>
            </w:tcBorders>
            <w:shd w:val="clear" w:color="auto" w:fill="auto"/>
            <w:tcMar>
              <w:top w:w="0" w:type="dxa"/>
              <w:left w:w="105" w:type="dxa"/>
              <w:bottom w:w="0" w:type="dxa"/>
              <w:right w:w="105" w:type="dxa"/>
            </w:tcMar>
            <w:vAlign w:val="center"/>
          </w:tcPr>
          <w:p>
            <w:pPr>
              <w:pStyle w:val="6"/>
              <w:keepNext w:val="0"/>
              <w:keepLines w:val="0"/>
              <w:widowControl/>
              <w:suppressLineNumbers w:val="0"/>
              <w:jc w:val="center"/>
            </w:pPr>
            <w:r>
              <w:rPr>
                <w:rFonts w:hint="eastAsia" w:ascii="宋体" w:hAnsi="宋体" w:eastAsia="宋体" w:cs="宋体"/>
                <w:sz w:val="21"/>
                <w:szCs w:val="21"/>
              </w:rPr>
              <w:t>合同包内属于小型、微型企业产品等的情况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Ex>
        <w:trPr>
          <w:tblCellSpacing w:w="15" w:type="dxa"/>
        </w:trPr>
        <w:tc>
          <w:tcPr>
            <w:tcW w:w="1166" w:type="dxa"/>
            <w:tcBorders>
              <w:top w:val="nil"/>
              <w:left w:val="nil"/>
              <w:bottom w:val="nil"/>
              <w:right w:val="nil"/>
            </w:tcBorders>
            <w:shd w:val="clear" w:color="auto" w:fill="auto"/>
            <w:tcMar>
              <w:top w:w="0" w:type="dxa"/>
              <w:left w:w="105" w:type="dxa"/>
              <w:bottom w:w="0" w:type="dxa"/>
              <w:right w:w="105" w:type="dxa"/>
            </w:tcMar>
            <w:vAlign w:val="center"/>
          </w:tcPr>
          <w:p>
            <w:pPr>
              <w:pStyle w:val="6"/>
              <w:keepNext w:val="0"/>
              <w:keepLines w:val="0"/>
              <w:widowControl/>
              <w:suppressLineNumbers w:val="0"/>
              <w:jc w:val="center"/>
            </w:pPr>
            <w:r>
              <w:rPr>
                <w:rFonts w:hint="eastAsia" w:ascii="宋体" w:hAnsi="宋体" w:eastAsia="宋体" w:cs="宋体"/>
                <w:sz w:val="21"/>
                <w:szCs w:val="21"/>
              </w:rPr>
              <w:t>合同包</w:t>
            </w:r>
          </w:p>
        </w:tc>
        <w:tc>
          <w:tcPr>
            <w:tcW w:w="1175" w:type="dxa"/>
            <w:tcBorders>
              <w:top w:val="nil"/>
              <w:left w:val="nil"/>
              <w:bottom w:val="nil"/>
              <w:right w:val="nil"/>
            </w:tcBorders>
            <w:shd w:val="clear" w:color="auto" w:fill="auto"/>
            <w:tcMar>
              <w:top w:w="0" w:type="dxa"/>
              <w:left w:w="105" w:type="dxa"/>
              <w:bottom w:w="0" w:type="dxa"/>
              <w:right w:w="105" w:type="dxa"/>
            </w:tcMar>
            <w:vAlign w:val="center"/>
          </w:tcPr>
          <w:p>
            <w:pPr>
              <w:pStyle w:val="6"/>
              <w:keepNext w:val="0"/>
              <w:keepLines w:val="0"/>
              <w:widowControl/>
              <w:suppressLineNumbers w:val="0"/>
              <w:jc w:val="center"/>
            </w:pPr>
            <w:r>
              <w:rPr>
                <w:rFonts w:hint="eastAsia" w:ascii="宋体" w:hAnsi="宋体" w:eastAsia="宋体" w:cs="宋体"/>
                <w:sz w:val="21"/>
                <w:szCs w:val="21"/>
              </w:rPr>
              <w:t>品目号</w:t>
            </w:r>
          </w:p>
        </w:tc>
        <w:tc>
          <w:tcPr>
            <w:tcW w:w="1042" w:type="dxa"/>
            <w:tcBorders>
              <w:top w:val="nil"/>
              <w:left w:val="nil"/>
              <w:bottom w:val="nil"/>
              <w:right w:val="nil"/>
            </w:tcBorders>
            <w:shd w:val="clear" w:color="auto" w:fill="auto"/>
            <w:tcMar>
              <w:top w:w="0" w:type="dxa"/>
              <w:left w:w="105" w:type="dxa"/>
              <w:bottom w:w="0" w:type="dxa"/>
              <w:right w:w="105" w:type="dxa"/>
            </w:tcMar>
            <w:vAlign w:val="center"/>
          </w:tcPr>
          <w:p>
            <w:pPr>
              <w:pStyle w:val="6"/>
              <w:keepNext w:val="0"/>
              <w:keepLines w:val="0"/>
              <w:widowControl/>
              <w:suppressLineNumbers w:val="0"/>
              <w:jc w:val="center"/>
            </w:pPr>
            <w:r>
              <w:rPr>
                <w:rFonts w:hint="eastAsia" w:ascii="宋体" w:hAnsi="宋体" w:eastAsia="宋体" w:cs="宋体"/>
                <w:sz w:val="21"/>
                <w:szCs w:val="21"/>
              </w:rPr>
              <w:t>采购标的</w:t>
            </w:r>
          </w:p>
        </w:tc>
        <w:tc>
          <w:tcPr>
            <w:tcW w:w="970" w:type="dxa"/>
            <w:tcBorders>
              <w:top w:val="nil"/>
              <w:left w:val="nil"/>
              <w:bottom w:val="nil"/>
              <w:right w:val="nil"/>
            </w:tcBorders>
            <w:shd w:val="clear" w:color="auto" w:fill="auto"/>
            <w:tcMar>
              <w:top w:w="0" w:type="dxa"/>
              <w:left w:w="105" w:type="dxa"/>
              <w:bottom w:w="0" w:type="dxa"/>
              <w:right w:w="105" w:type="dxa"/>
            </w:tcMar>
            <w:vAlign w:val="center"/>
          </w:tcPr>
          <w:p>
            <w:pPr>
              <w:pStyle w:val="6"/>
              <w:keepNext w:val="0"/>
              <w:keepLines w:val="0"/>
              <w:widowControl/>
              <w:suppressLineNumbers w:val="0"/>
              <w:jc w:val="center"/>
            </w:pPr>
            <w:r>
              <w:rPr>
                <w:rFonts w:hint="eastAsia" w:ascii="宋体" w:hAnsi="宋体" w:eastAsia="宋体" w:cs="宋体"/>
                <w:sz w:val="21"/>
                <w:szCs w:val="21"/>
              </w:rPr>
              <w:t>单价</w:t>
            </w:r>
          </w:p>
          <w:p>
            <w:pPr>
              <w:pStyle w:val="6"/>
              <w:keepNext w:val="0"/>
              <w:keepLines w:val="0"/>
              <w:widowControl/>
              <w:suppressLineNumbers w:val="0"/>
              <w:jc w:val="center"/>
            </w:pPr>
            <w:r>
              <w:rPr>
                <w:rFonts w:hint="eastAsia" w:ascii="宋体" w:hAnsi="宋体" w:eastAsia="宋体" w:cs="宋体"/>
                <w:sz w:val="21"/>
                <w:szCs w:val="21"/>
              </w:rPr>
              <w:t>（现场）</w:t>
            </w:r>
          </w:p>
        </w:tc>
        <w:tc>
          <w:tcPr>
            <w:tcW w:w="689" w:type="dxa"/>
            <w:tcBorders>
              <w:top w:val="nil"/>
              <w:left w:val="nil"/>
              <w:bottom w:val="nil"/>
              <w:right w:val="nil"/>
            </w:tcBorders>
            <w:shd w:val="clear" w:color="auto" w:fill="auto"/>
            <w:tcMar>
              <w:top w:w="0" w:type="dxa"/>
              <w:left w:w="105" w:type="dxa"/>
              <w:bottom w:w="0" w:type="dxa"/>
              <w:right w:w="105" w:type="dxa"/>
            </w:tcMar>
            <w:vAlign w:val="center"/>
          </w:tcPr>
          <w:p>
            <w:pPr>
              <w:pStyle w:val="6"/>
              <w:keepNext w:val="0"/>
              <w:keepLines w:val="0"/>
              <w:widowControl/>
              <w:suppressLineNumbers w:val="0"/>
              <w:jc w:val="center"/>
            </w:pPr>
            <w:r>
              <w:rPr>
                <w:rFonts w:hint="eastAsia" w:ascii="宋体" w:hAnsi="宋体" w:eastAsia="宋体" w:cs="宋体"/>
                <w:sz w:val="21"/>
                <w:szCs w:val="21"/>
              </w:rPr>
              <w:t>数量</w:t>
            </w:r>
          </w:p>
        </w:tc>
        <w:tc>
          <w:tcPr>
            <w:tcW w:w="970" w:type="dxa"/>
            <w:tcBorders>
              <w:top w:val="nil"/>
              <w:left w:val="nil"/>
              <w:bottom w:val="nil"/>
              <w:right w:val="nil"/>
            </w:tcBorders>
            <w:shd w:val="clear" w:color="auto" w:fill="auto"/>
            <w:tcMar>
              <w:top w:w="0" w:type="dxa"/>
              <w:left w:w="105" w:type="dxa"/>
              <w:bottom w:w="0" w:type="dxa"/>
              <w:right w:w="105" w:type="dxa"/>
            </w:tcMar>
            <w:vAlign w:val="center"/>
          </w:tcPr>
          <w:p>
            <w:pPr>
              <w:pStyle w:val="6"/>
              <w:keepNext w:val="0"/>
              <w:keepLines w:val="0"/>
              <w:widowControl/>
              <w:suppressLineNumbers w:val="0"/>
              <w:jc w:val="center"/>
            </w:pPr>
            <w:r>
              <w:rPr>
                <w:rFonts w:hint="eastAsia" w:ascii="宋体" w:hAnsi="宋体" w:eastAsia="宋体" w:cs="宋体"/>
                <w:sz w:val="21"/>
                <w:szCs w:val="21"/>
              </w:rPr>
              <w:t>总价</w:t>
            </w:r>
          </w:p>
          <w:p>
            <w:pPr>
              <w:pStyle w:val="6"/>
              <w:keepNext w:val="0"/>
              <w:keepLines w:val="0"/>
              <w:widowControl/>
              <w:suppressLineNumbers w:val="0"/>
              <w:jc w:val="center"/>
            </w:pPr>
            <w:r>
              <w:rPr>
                <w:rFonts w:hint="eastAsia" w:ascii="宋体" w:hAnsi="宋体" w:eastAsia="宋体" w:cs="宋体"/>
                <w:sz w:val="21"/>
                <w:szCs w:val="21"/>
              </w:rPr>
              <w:t>（现场）</w:t>
            </w:r>
          </w:p>
        </w:tc>
        <w:tc>
          <w:tcPr>
            <w:tcW w:w="1098" w:type="dxa"/>
            <w:tcBorders>
              <w:top w:val="nil"/>
              <w:left w:val="nil"/>
              <w:bottom w:val="nil"/>
              <w:right w:val="nil"/>
            </w:tcBorders>
            <w:shd w:val="clear" w:color="auto" w:fill="auto"/>
            <w:tcMar>
              <w:top w:w="0" w:type="dxa"/>
              <w:left w:w="105" w:type="dxa"/>
              <w:bottom w:w="0" w:type="dxa"/>
              <w:right w:w="105" w:type="dxa"/>
            </w:tcMar>
            <w:vAlign w:val="center"/>
          </w:tcPr>
          <w:p>
            <w:pPr>
              <w:pStyle w:val="6"/>
              <w:keepNext w:val="0"/>
              <w:keepLines w:val="0"/>
              <w:widowControl/>
              <w:suppressLineNumbers w:val="0"/>
              <w:jc w:val="center"/>
            </w:pPr>
            <w:r>
              <w:rPr>
                <w:rFonts w:hint="eastAsia" w:ascii="宋体" w:hAnsi="宋体" w:eastAsia="宋体" w:cs="宋体"/>
                <w:sz w:val="21"/>
                <w:szCs w:val="21"/>
              </w:rPr>
              <w:t>制造厂商</w:t>
            </w:r>
          </w:p>
        </w:tc>
        <w:tc>
          <w:tcPr>
            <w:tcW w:w="1140" w:type="dxa"/>
            <w:tcBorders>
              <w:top w:val="nil"/>
              <w:left w:val="nil"/>
              <w:bottom w:val="nil"/>
              <w:right w:val="nil"/>
            </w:tcBorders>
            <w:shd w:val="clear" w:color="auto" w:fill="auto"/>
            <w:tcMar>
              <w:top w:w="0" w:type="dxa"/>
              <w:left w:w="105" w:type="dxa"/>
              <w:bottom w:w="0" w:type="dxa"/>
              <w:right w:w="105" w:type="dxa"/>
            </w:tcMar>
            <w:vAlign w:val="center"/>
          </w:tcPr>
          <w:p>
            <w:pPr>
              <w:pStyle w:val="6"/>
              <w:keepNext w:val="0"/>
              <w:keepLines w:val="0"/>
              <w:widowControl/>
              <w:suppressLineNumbers w:val="0"/>
              <w:jc w:val="center"/>
            </w:pPr>
            <w:r>
              <w:rPr>
                <w:rFonts w:hint="eastAsia" w:ascii="宋体" w:hAnsi="宋体" w:eastAsia="宋体" w:cs="宋体"/>
                <w:sz w:val="21"/>
                <w:szCs w:val="21"/>
              </w:rPr>
              <w:t>企业类型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1166" w:type="dxa"/>
            <w:vMerge w:val="restart"/>
            <w:tcBorders>
              <w:top w:val="nil"/>
              <w:left w:val="nil"/>
              <w:bottom w:val="nil"/>
              <w:right w:val="nil"/>
            </w:tcBorders>
            <w:shd w:val="clear" w:color="auto" w:fill="auto"/>
            <w:tcMar>
              <w:top w:w="0" w:type="dxa"/>
              <w:left w:w="105" w:type="dxa"/>
              <w:bottom w:w="0" w:type="dxa"/>
              <w:right w:w="105" w:type="dxa"/>
            </w:tcMar>
            <w:vAlign w:val="center"/>
          </w:tcPr>
          <w:p>
            <w:pPr>
              <w:pStyle w:val="6"/>
              <w:keepNext w:val="0"/>
              <w:keepLines w:val="0"/>
              <w:widowControl/>
              <w:suppressLineNumbers w:val="0"/>
              <w:jc w:val="center"/>
            </w:pPr>
            <w:r>
              <w:rPr>
                <w:rFonts w:hint="eastAsia" w:ascii="宋体" w:hAnsi="宋体" w:eastAsia="宋体" w:cs="宋体"/>
                <w:sz w:val="21"/>
                <w:szCs w:val="21"/>
              </w:rPr>
              <w:t>*</w:t>
            </w:r>
          </w:p>
        </w:tc>
        <w:tc>
          <w:tcPr>
            <w:tcW w:w="1175" w:type="dxa"/>
            <w:tcBorders>
              <w:top w:val="nil"/>
              <w:left w:val="nil"/>
              <w:bottom w:val="nil"/>
              <w:right w:val="nil"/>
            </w:tcBorders>
            <w:shd w:val="clear" w:color="auto" w:fill="auto"/>
            <w:tcMar>
              <w:top w:w="0" w:type="dxa"/>
              <w:left w:w="105" w:type="dxa"/>
              <w:bottom w:w="0" w:type="dxa"/>
              <w:right w:w="105" w:type="dxa"/>
            </w:tcMar>
            <w:vAlign w:val="center"/>
          </w:tcPr>
          <w:p>
            <w:pPr>
              <w:pStyle w:val="6"/>
              <w:keepNext w:val="0"/>
              <w:keepLines w:val="0"/>
              <w:widowControl/>
              <w:suppressLineNumbers w:val="0"/>
              <w:jc w:val="center"/>
            </w:pPr>
            <w:r>
              <w:rPr>
                <w:rFonts w:hint="eastAsia" w:ascii="宋体" w:hAnsi="宋体" w:eastAsia="宋体" w:cs="宋体"/>
                <w:sz w:val="21"/>
                <w:szCs w:val="21"/>
              </w:rPr>
              <w:t>*-1</w:t>
            </w:r>
          </w:p>
        </w:tc>
        <w:tc>
          <w:tcPr>
            <w:tcW w:w="1042"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97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689"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97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1098"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114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Ex>
        <w:trPr>
          <w:tblCellSpacing w:w="15" w:type="dxa"/>
        </w:trPr>
        <w:tc>
          <w:tcPr>
            <w:tcW w:w="1166" w:type="dxa"/>
            <w:vMerge w:val="continue"/>
            <w:tcBorders>
              <w:top w:val="nil"/>
              <w:left w:val="nil"/>
              <w:bottom w:val="nil"/>
              <w:right w:val="nil"/>
            </w:tcBorders>
            <w:shd w:val="clear" w:color="auto" w:fill="auto"/>
            <w:tcMar>
              <w:top w:w="0" w:type="dxa"/>
              <w:left w:w="105" w:type="dxa"/>
              <w:bottom w:w="0" w:type="dxa"/>
              <w:right w:w="105" w:type="dxa"/>
            </w:tcMar>
            <w:vAlign w:val="center"/>
          </w:tcPr>
          <w:p>
            <w:pPr>
              <w:rPr>
                <w:rFonts w:hint="eastAsia" w:ascii="宋体"/>
                <w:sz w:val="24"/>
                <w:szCs w:val="24"/>
              </w:rPr>
            </w:pPr>
          </w:p>
        </w:tc>
        <w:tc>
          <w:tcPr>
            <w:tcW w:w="1175" w:type="dxa"/>
            <w:tcBorders>
              <w:top w:val="nil"/>
              <w:left w:val="nil"/>
              <w:bottom w:val="nil"/>
              <w:right w:val="nil"/>
            </w:tcBorders>
            <w:shd w:val="clear" w:color="auto" w:fill="auto"/>
            <w:tcMar>
              <w:top w:w="0" w:type="dxa"/>
              <w:left w:w="105" w:type="dxa"/>
              <w:bottom w:w="0" w:type="dxa"/>
              <w:right w:w="105" w:type="dxa"/>
            </w:tcMar>
            <w:vAlign w:val="center"/>
          </w:tcPr>
          <w:p>
            <w:pPr>
              <w:pStyle w:val="6"/>
              <w:keepNext w:val="0"/>
              <w:keepLines w:val="0"/>
              <w:widowControl/>
              <w:suppressLineNumbers w:val="0"/>
              <w:jc w:val="center"/>
            </w:pPr>
            <w:r>
              <w:rPr>
                <w:rFonts w:hint="default" w:ascii="Calibri" w:hAnsi="Calibri" w:cs="Calibri"/>
                <w:sz w:val="21"/>
                <w:szCs w:val="21"/>
              </w:rPr>
              <w:t>…</w:t>
            </w:r>
          </w:p>
        </w:tc>
        <w:tc>
          <w:tcPr>
            <w:tcW w:w="1042"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97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689"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97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1098"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114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1166" w:type="dxa"/>
            <w:tcBorders>
              <w:top w:val="nil"/>
              <w:left w:val="nil"/>
              <w:bottom w:val="nil"/>
              <w:right w:val="nil"/>
            </w:tcBorders>
            <w:shd w:val="clear" w:color="auto" w:fill="auto"/>
            <w:tcMar>
              <w:top w:w="0" w:type="dxa"/>
              <w:left w:w="105" w:type="dxa"/>
              <w:bottom w:w="0" w:type="dxa"/>
              <w:right w:w="105" w:type="dxa"/>
            </w:tcMar>
            <w:vAlign w:val="center"/>
          </w:tcPr>
          <w:p>
            <w:pPr>
              <w:pStyle w:val="6"/>
              <w:keepNext w:val="0"/>
              <w:keepLines w:val="0"/>
              <w:widowControl/>
              <w:suppressLineNumbers w:val="0"/>
              <w:jc w:val="center"/>
            </w:pPr>
            <w:r>
              <w:rPr>
                <w:rFonts w:hint="eastAsia" w:ascii="宋体" w:hAnsi="宋体" w:eastAsia="宋体" w:cs="宋体"/>
                <w:sz w:val="21"/>
                <w:szCs w:val="21"/>
              </w:rPr>
              <w:t>备注</w:t>
            </w:r>
          </w:p>
        </w:tc>
        <w:tc>
          <w:tcPr>
            <w:tcW w:w="7264" w:type="dxa"/>
            <w:gridSpan w:val="7"/>
            <w:tcBorders>
              <w:top w:val="nil"/>
              <w:left w:val="nil"/>
              <w:bottom w:val="nil"/>
              <w:right w:val="nil"/>
            </w:tcBorders>
            <w:shd w:val="clear" w:color="auto" w:fill="auto"/>
            <w:tcMar>
              <w:top w:w="0" w:type="dxa"/>
              <w:left w:w="105" w:type="dxa"/>
              <w:bottom w:w="0" w:type="dxa"/>
              <w:right w:w="105" w:type="dxa"/>
            </w:tcMar>
            <w:vAlign w:val="top"/>
          </w:tcPr>
          <w:p>
            <w:pPr>
              <w:pStyle w:val="6"/>
              <w:keepNext w:val="0"/>
              <w:keepLines w:val="0"/>
              <w:widowControl/>
              <w:suppressLineNumbers w:val="0"/>
            </w:pPr>
            <w:r>
              <w:rPr>
                <w:rFonts w:hint="eastAsia" w:ascii="宋体" w:hAnsi="宋体" w:eastAsia="宋体" w:cs="宋体"/>
                <w:sz w:val="21"/>
                <w:szCs w:val="21"/>
              </w:rPr>
              <w:t>合同包内属于小型、微型企业产品等的报价总金额：</w:t>
            </w:r>
            <w:r>
              <w:rPr>
                <w:rFonts w:hint="eastAsia" w:ascii="宋体" w:hAnsi="宋体" w:eastAsia="宋体" w:cs="宋体"/>
                <w:sz w:val="21"/>
                <w:szCs w:val="21"/>
                <w:u w:val="single"/>
              </w:rPr>
              <w:t>              </w:t>
            </w:r>
            <w:r>
              <w:rPr>
                <w:rFonts w:hint="eastAsia" w:ascii="宋体" w:hAnsi="宋体" w:eastAsia="宋体" w:cs="宋体"/>
                <w:sz w:val="21"/>
                <w:szCs w:val="21"/>
              </w:rPr>
              <w:t>。</w:t>
            </w:r>
          </w:p>
        </w:tc>
      </w:tr>
    </w:tbl>
    <w:p>
      <w:pPr>
        <w:pStyle w:val="6"/>
        <w:keepNext w:val="0"/>
        <w:keepLines w:val="0"/>
        <w:widowControl/>
        <w:suppressLineNumbers w:val="0"/>
      </w:pPr>
      <w:r>
        <w:rPr>
          <w:rFonts w:hint="eastAsia" w:ascii="宋体" w:hAnsi="宋体" w:eastAsia="宋体" w:cs="宋体"/>
          <w:sz w:val="21"/>
          <w:szCs w:val="21"/>
        </w:rPr>
        <w:t>★注意：</w:t>
      </w:r>
    </w:p>
    <w:p>
      <w:pPr>
        <w:pStyle w:val="6"/>
        <w:keepNext w:val="0"/>
        <w:keepLines w:val="0"/>
        <w:widowControl/>
        <w:suppressLineNumbers w:val="0"/>
      </w:pPr>
      <w:r>
        <w:rPr>
          <w:rFonts w:hint="eastAsia" w:ascii="宋体" w:hAnsi="宋体" w:eastAsia="宋体" w:cs="宋体"/>
          <w:sz w:val="21"/>
          <w:szCs w:val="21"/>
        </w:rPr>
        <w:t>1、对小型、微型企业产品等计算价格扣除时，只依据投标文件</w:t>
      </w:r>
      <w:r>
        <w:rPr>
          <w:rStyle w:val="10"/>
          <w:rFonts w:hint="eastAsia" w:ascii="宋体" w:hAnsi="宋体" w:eastAsia="宋体" w:cs="宋体"/>
          <w:sz w:val="21"/>
          <w:szCs w:val="21"/>
        </w:rPr>
        <w:t>“三</w:t>
      </w:r>
      <w:r>
        <w:rPr>
          <w:rStyle w:val="10"/>
          <w:rFonts w:hint="default" w:ascii="Calibri" w:hAnsi="Calibri" w:eastAsia="宋体" w:cs="Calibri"/>
          <w:sz w:val="21"/>
          <w:szCs w:val="21"/>
        </w:rPr>
        <w:t>-2-</w:t>
      </w:r>
      <w:r>
        <w:rPr>
          <w:rStyle w:val="10"/>
          <w:rFonts w:hint="eastAsia" w:ascii="宋体" w:hAnsi="宋体" w:eastAsia="宋体" w:cs="宋体"/>
          <w:sz w:val="21"/>
          <w:szCs w:val="21"/>
        </w:rPr>
        <w:t>②中小企业声明函（价格扣除适用，若有）”及“三</w:t>
      </w:r>
      <w:r>
        <w:rPr>
          <w:rStyle w:val="10"/>
          <w:rFonts w:hint="default" w:ascii="Calibri" w:hAnsi="Calibri" w:eastAsia="宋体" w:cs="Calibri"/>
          <w:sz w:val="21"/>
          <w:szCs w:val="21"/>
        </w:rPr>
        <w:t>-2-</w:t>
      </w:r>
      <w:r>
        <w:rPr>
          <w:rStyle w:val="10"/>
          <w:rFonts w:hint="eastAsia" w:ascii="宋体" w:hAnsi="宋体" w:eastAsia="宋体" w:cs="宋体"/>
          <w:sz w:val="21"/>
          <w:szCs w:val="21"/>
        </w:rPr>
        <w:t>③小型、微型企业等证明材料（价格扣除适用，若有）”。</w:t>
      </w:r>
    </w:p>
    <w:p>
      <w:pPr>
        <w:pStyle w:val="6"/>
        <w:keepNext w:val="0"/>
        <w:keepLines w:val="0"/>
        <w:widowControl/>
        <w:suppressLineNumbers w:val="0"/>
      </w:pPr>
      <w:r>
        <w:rPr>
          <w:rFonts w:hint="eastAsia" w:ascii="宋体" w:hAnsi="宋体" w:eastAsia="宋体" w:cs="宋体"/>
          <w:sz w:val="21"/>
          <w:szCs w:val="21"/>
        </w:rPr>
        <w:t>2、本表以合同包为单位，不同合同包请分别填写；同一合同包请按照其品目号顺序分别填写。</w:t>
      </w:r>
    </w:p>
    <w:p>
      <w:pPr>
        <w:pStyle w:val="6"/>
        <w:keepNext w:val="0"/>
        <w:keepLines w:val="0"/>
        <w:widowControl/>
        <w:suppressLineNumbers w:val="0"/>
      </w:pPr>
      <w:r>
        <w:rPr>
          <w:rFonts w:hint="eastAsia" w:ascii="宋体" w:hAnsi="宋体" w:eastAsia="宋体" w:cs="宋体"/>
          <w:sz w:val="21"/>
          <w:szCs w:val="21"/>
        </w:rPr>
        <w:t>3、</w:t>
      </w:r>
      <w:r>
        <w:rPr>
          <w:rStyle w:val="10"/>
          <w:rFonts w:hint="eastAsia" w:ascii="宋体" w:hAnsi="宋体" w:eastAsia="宋体" w:cs="宋体"/>
          <w:sz w:val="21"/>
          <w:szCs w:val="21"/>
        </w:rPr>
        <w:t>除本表第4条规定情形外，小型、微型企业（含监狱企业）承担的工程或提供的服务不享受价格扣除。</w:t>
      </w:r>
    </w:p>
    <w:p>
      <w:pPr>
        <w:pStyle w:val="6"/>
        <w:keepNext w:val="0"/>
        <w:keepLines w:val="0"/>
        <w:widowControl/>
        <w:suppressLineNumbers w:val="0"/>
      </w:pPr>
      <w:r>
        <w:rPr>
          <w:rFonts w:hint="eastAsia" w:ascii="宋体" w:hAnsi="宋体" w:eastAsia="宋体" w:cs="宋体"/>
          <w:sz w:val="21"/>
          <w:szCs w:val="21"/>
        </w:rPr>
        <w:t>4、符合财政部、民政部、中国残联文件（财库</w:t>
      </w:r>
      <w:r>
        <w:rPr>
          <w:rFonts w:hint="default" w:ascii="Calibri" w:hAnsi="Calibri" w:eastAsia="宋体" w:cs="Calibri"/>
          <w:sz w:val="21"/>
          <w:szCs w:val="21"/>
        </w:rPr>
        <w:t>[2017]141</w:t>
      </w:r>
      <w:r>
        <w:rPr>
          <w:rFonts w:hint="eastAsia" w:ascii="宋体" w:hAnsi="宋体" w:eastAsia="宋体" w:cs="宋体"/>
          <w:sz w:val="21"/>
          <w:szCs w:val="21"/>
        </w:rPr>
        <w:t>号）规定的残疾人福利性单位提供本单位制造的货物、承担的工程或服务，或提供其他残疾人福利性单位制造的货物（不包括使用非残疾人福利性单位注册商标的货物）</w:t>
      </w:r>
      <w:r>
        <w:rPr>
          <w:rStyle w:val="10"/>
          <w:rFonts w:hint="eastAsia" w:ascii="宋体" w:hAnsi="宋体" w:eastAsia="宋体" w:cs="宋体"/>
          <w:sz w:val="21"/>
          <w:szCs w:val="21"/>
        </w:rPr>
        <w:t>可享受价格扣除。</w:t>
      </w:r>
    </w:p>
    <w:p>
      <w:pPr>
        <w:pStyle w:val="6"/>
        <w:keepNext w:val="0"/>
        <w:keepLines w:val="0"/>
        <w:widowControl/>
        <w:suppressLineNumbers w:val="0"/>
      </w:pPr>
      <w:r>
        <w:rPr>
          <w:rFonts w:hint="eastAsia" w:ascii="宋体" w:hAnsi="宋体" w:eastAsia="宋体" w:cs="宋体"/>
          <w:sz w:val="21"/>
          <w:szCs w:val="21"/>
        </w:rPr>
        <w:t>5、纸质投标文件正本中的本表（若有）应为原件。</w:t>
      </w:r>
    </w:p>
    <w:p>
      <w:pPr>
        <w:pStyle w:val="6"/>
        <w:keepNext w:val="0"/>
        <w:keepLines w:val="0"/>
        <w:widowControl/>
        <w:suppressLineNumbers w:val="0"/>
      </w:pPr>
      <w:r>
        <w:rPr>
          <w:rFonts w:hint="eastAsia" w:ascii="宋体" w:hAnsi="宋体" w:eastAsia="宋体" w:cs="宋体"/>
          <w:sz w:val="21"/>
          <w:szCs w:val="21"/>
        </w:rPr>
        <w:t> </w:t>
      </w:r>
    </w:p>
    <w:p>
      <w:pPr>
        <w:pStyle w:val="6"/>
        <w:keepNext w:val="0"/>
        <w:keepLines w:val="0"/>
        <w:widowControl/>
        <w:suppressLineNumbers w:val="0"/>
      </w:pPr>
      <w:r>
        <w:rPr>
          <w:rFonts w:hint="eastAsia" w:ascii="宋体" w:hAnsi="宋体" w:eastAsia="宋体" w:cs="宋体"/>
          <w:sz w:val="21"/>
          <w:szCs w:val="21"/>
        </w:rPr>
        <w:t> </w:t>
      </w:r>
    </w:p>
    <w:p>
      <w:pPr>
        <w:pStyle w:val="6"/>
        <w:keepNext w:val="0"/>
        <w:keepLines w:val="0"/>
        <w:widowControl/>
        <w:suppressLineNumbers w:val="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6"/>
        <w:keepNext w:val="0"/>
        <w:keepLines w:val="0"/>
        <w:widowControl/>
        <w:suppressLineNumbers w:val="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6"/>
        <w:keepNext w:val="0"/>
        <w:keepLines w:val="0"/>
        <w:widowControl/>
        <w:suppressLineNumbers w:val="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6"/>
        <w:keepNext w:val="0"/>
        <w:keepLines w:val="0"/>
        <w:widowControl/>
        <w:suppressLineNumbers w:val="0"/>
      </w:pPr>
      <w:r>
        <w:rPr>
          <w:rFonts w:hint="eastAsia" w:ascii="宋体" w:hAnsi="宋体" w:eastAsia="宋体" w:cs="宋体"/>
          <w:sz w:val="21"/>
          <w:szCs w:val="21"/>
        </w:rPr>
        <w:t> </w:t>
      </w:r>
    </w:p>
    <w:p>
      <w:pPr>
        <w:pStyle w:val="6"/>
        <w:keepNext w:val="0"/>
        <w:keepLines w:val="0"/>
        <w:widowControl/>
        <w:suppressLineNumbers w:val="0"/>
      </w:pPr>
      <w:r>
        <w:rPr>
          <w:rFonts w:hint="eastAsia" w:ascii="宋体" w:hAnsi="宋体" w:eastAsia="宋体" w:cs="宋体"/>
          <w:sz w:val="21"/>
          <w:szCs w:val="21"/>
        </w:rPr>
        <w:t> </w:t>
      </w:r>
    </w:p>
    <w:p>
      <w:pPr>
        <w:pStyle w:val="6"/>
        <w:keepNext w:val="0"/>
        <w:keepLines w:val="0"/>
        <w:widowControl/>
        <w:suppressLineNumbers w:val="0"/>
        <w:jc w:val="center"/>
      </w:pPr>
      <w:r>
        <w:rPr>
          <w:rStyle w:val="10"/>
          <w:rFonts w:hint="default" w:ascii="Calibri" w:hAnsi="Calibri" w:cs="Calibri"/>
          <w:sz w:val="21"/>
          <w:szCs w:val="21"/>
        </w:rPr>
        <w:br w:type="textWrapping"/>
      </w:r>
      <w:r>
        <w:rPr>
          <w:rStyle w:val="10"/>
          <w:rFonts w:hint="eastAsia" w:ascii="宋体" w:hAnsi="宋体" w:eastAsia="宋体" w:cs="宋体"/>
          <w:sz w:val="21"/>
          <w:szCs w:val="21"/>
        </w:rPr>
        <w:t>三-2-②中小企业声明函（价格扣除适用，若有）</w:t>
      </w:r>
    </w:p>
    <w:p>
      <w:pPr>
        <w:pStyle w:val="6"/>
        <w:keepNext w:val="0"/>
        <w:keepLines w:val="0"/>
        <w:widowControl/>
        <w:suppressLineNumbers w:val="0"/>
      </w:pPr>
      <w:r>
        <w:rPr>
          <w:rStyle w:val="10"/>
          <w:rFonts w:hint="eastAsia" w:ascii="宋体" w:hAnsi="宋体" w:eastAsia="宋体" w:cs="宋体"/>
          <w:sz w:val="21"/>
          <w:szCs w:val="21"/>
        </w:rPr>
        <w:t> </w:t>
      </w:r>
    </w:p>
    <w:p>
      <w:pPr>
        <w:pStyle w:val="6"/>
        <w:keepNext w:val="0"/>
        <w:keepLines w:val="0"/>
        <w:widowControl/>
        <w:suppressLineNumbers w:val="0"/>
        <w:ind w:left="0" w:firstLine="420"/>
      </w:pPr>
      <w:r>
        <w:rPr>
          <w:rFonts w:hint="eastAsia" w:ascii="宋体" w:hAnsi="宋体" w:eastAsia="宋体" w:cs="宋体"/>
          <w:sz w:val="21"/>
          <w:szCs w:val="21"/>
        </w:rPr>
        <w:t>本投标人郑重声明，根据《政府采购促进中小企业发展暂行办法》（财库[2011]181号）的规定，本投标人为</w:t>
      </w:r>
      <w:r>
        <w:rPr>
          <w:rFonts w:hint="eastAsia" w:ascii="宋体" w:hAnsi="宋体" w:eastAsia="宋体" w:cs="宋体"/>
          <w:sz w:val="21"/>
          <w:szCs w:val="21"/>
          <w:u w:val="single"/>
        </w:rPr>
        <w:t>（填写“中型</w:t>
      </w:r>
      <w:r>
        <w:rPr>
          <w:rFonts w:hint="default" w:ascii="Calibri" w:hAnsi="Calibri" w:eastAsia="宋体" w:cs="Calibri"/>
          <w:sz w:val="21"/>
          <w:szCs w:val="21"/>
          <w:u w:val="single"/>
        </w:rPr>
        <w:t>/</w:t>
      </w:r>
      <w:r>
        <w:rPr>
          <w:rFonts w:hint="eastAsia" w:ascii="宋体" w:hAnsi="宋体" w:eastAsia="宋体" w:cs="宋体"/>
          <w:sz w:val="21"/>
          <w:szCs w:val="21"/>
          <w:u w:val="single"/>
        </w:rPr>
        <w:t>小型</w:t>
      </w:r>
      <w:r>
        <w:rPr>
          <w:rFonts w:hint="default" w:ascii="Calibri" w:hAnsi="Calibri" w:eastAsia="宋体" w:cs="Calibri"/>
          <w:sz w:val="21"/>
          <w:szCs w:val="21"/>
          <w:u w:val="single"/>
        </w:rPr>
        <w:t>/</w:t>
      </w:r>
      <w:r>
        <w:rPr>
          <w:rFonts w:hint="eastAsia" w:ascii="宋体" w:hAnsi="宋体" w:eastAsia="宋体" w:cs="宋体"/>
          <w:sz w:val="21"/>
          <w:szCs w:val="21"/>
          <w:u w:val="single"/>
        </w:rPr>
        <w:t>微型”）</w:t>
      </w:r>
      <w:r>
        <w:rPr>
          <w:rFonts w:hint="eastAsia" w:ascii="宋体" w:hAnsi="宋体" w:eastAsia="宋体" w:cs="宋体"/>
          <w:sz w:val="21"/>
          <w:szCs w:val="21"/>
        </w:rPr>
        <w:t>企业。即本投标人同时满足以下条件：</w:t>
      </w:r>
    </w:p>
    <w:p>
      <w:pPr>
        <w:pStyle w:val="6"/>
        <w:keepNext w:val="0"/>
        <w:keepLines w:val="0"/>
        <w:widowControl/>
        <w:suppressLineNumbers w:val="0"/>
        <w:ind w:left="0" w:firstLine="420"/>
      </w:pPr>
      <w:r>
        <w:rPr>
          <w:rFonts w:hint="eastAsia" w:ascii="宋体" w:hAnsi="宋体" w:eastAsia="宋体" w:cs="宋体"/>
          <w:sz w:val="21"/>
          <w:szCs w:val="21"/>
        </w:rPr>
        <w:t>1、根据《工业和信息化部、国家统计局、国家发展和改革委员会、财政部关于印发中小企业划型标准规定的通知》（工信部联企业</w:t>
      </w:r>
      <w:r>
        <w:rPr>
          <w:rFonts w:hint="default" w:ascii="Calibri" w:hAnsi="Calibri" w:eastAsia="宋体" w:cs="Calibri"/>
          <w:sz w:val="21"/>
          <w:szCs w:val="21"/>
        </w:rPr>
        <w:t>[2011]300</w:t>
      </w:r>
      <w:r>
        <w:rPr>
          <w:rFonts w:hint="eastAsia" w:ascii="宋体" w:hAnsi="宋体" w:eastAsia="宋体" w:cs="宋体"/>
          <w:sz w:val="21"/>
          <w:szCs w:val="21"/>
        </w:rPr>
        <w:t>号）规定的划分标准，本投标人为</w:t>
      </w:r>
      <w:r>
        <w:rPr>
          <w:rFonts w:hint="eastAsia" w:ascii="宋体" w:hAnsi="宋体" w:eastAsia="宋体" w:cs="宋体"/>
          <w:sz w:val="21"/>
          <w:szCs w:val="21"/>
          <w:u w:val="single"/>
        </w:rPr>
        <w:t>  （填写“中型</w:t>
      </w:r>
      <w:r>
        <w:rPr>
          <w:rFonts w:hint="default" w:ascii="Calibri" w:hAnsi="Calibri" w:eastAsia="宋体" w:cs="Calibri"/>
          <w:sz w:val="21"/>
          <w:szCs w:val="21"/>
          <w:u w:val="single"/>
        </w:rPr>
        <w:t>/</w:t>
      </w:r>
      <w:r>
        <w:rPr>
          <w:rFonts w:hint="eastAsia" w:ascii="宋体" w:hAnsi="宋体" w:eastAsia="宋体" w:cs="宋体"/>
          <w:sz w:val="21"/>
          <w:szCs w:val="21"/>
          <w:u w:val="single"/>
        </w:rPr>
        <w:t>小型</w:t>
      </w:r>
      <w:r>
        <w:rPr>
          <w:rFonts w:hint="default" w:ascii="Calibri" w:hAnsi="Calibri" w:eastAsia="宋体" w:cs="Calibri"/>
          <w:sz w:val="21"/>
          <w:szCs w:val="21"/>
          <w:u w:val="single"/>
        </w:rPr>
        <w:t>/</w:t>
      </w:r>
      <w:r>
        <w:rPr>
          <w:rFonts w:hint="eastAsia" w:ascii="宋体" w:hAnsi="宋体" w:eastAsia="宋体" w:cs="宋体"/>
          <w:sz w:val="21"/>
          <w:szCs w:val="21"/>
          <w:u w:val="single"/>
        </w:rPr>
        <w:t>微型”）</w:t>
      </w:r>
      <w:r>
        <w:rPr>
          <w:rFonts w:hint="eastAsia" w:ascii="宋体" w:hAnsi="宋体" w:eastAsia="宋体" w:cs="宋体"/>
          <w:sz w:val="21"/>
          <w:szCs w:val="21"/>
        </w:rPr>
        <w:t>企业。</w:t>
      </w:r>
    </w:p>
    <w:p>
      <w:pPr>
        <w:pStyle w:val="6"/>
        <w:keepNext w:val="0"/>
        <w:keepLines w:val="0"/>
        <w:widowControl/>
        <w:suppressLineNumbers w:val="0"/>
        <w:ind w:left="0" w:firstLine="420"/>
      </w:pPr>
      <w:r>
        <w:rPr>
          <w:rFonts w:hint="eastAsia" w:ascii="宋体" w:hAnsi="宋体" w:eastAsia="宋体" w:cs="宋体"/>
          <w:sz w:val="21"/>
          <w:szCs w:val="21"/>
        </w:rPr>
        <w:t>2、本投标人参加贵单位组织的</w:t>
      </w:r>
      <w:r>
        <w:rPr>
          <w:rFonts w:hint="eastAsia" w:ascii="宋体" w:hAnsi="宋体" w:eastAsia="宋体" w:cs="宋体"/>
          <w:sz w:val="21"/>
          <w:szCs w:val="21"/>
          <w:u w:val="single"/>
        </w:rPr>
        <w:t> （填写“项目名称”） </w:t>
      </w:r>
      <w:r>
        <w:rPr>
          <w:rFonts w:hint="eastAsia" w:ascii="宋体" w:hAnsi="宋体" w:eastAsia="宋体" w:cs="宋体"/>
          <w:sz w:val="21"/>
          <w:szCs w:val="21"/>
        </w:rPr>
        <w:t>项目采购活动，其中：</w:t>
      </w:r>
    </w:p>
    <w:p>
      <w:pPr>
        <w:pStyle w:val="6"/>
        <w:keepNext w:val="0"/>
        <w:keepLines w:val="0"/>
        <w:widowControl/>
        <w:suppressLineNumbers w:val="0"/>
        <w:ind w:left="0" w:firstLine="420"/>
      </w:pPr>
      <w:r>
        <w:rPr>
          <w:rFonts w:hint="eastAsia" w:ascii="宋体" w:hAnsi="宋体" w:eastAsia="宋体" w:cs="宋体"/>
          <w:sz w:val="21"/>
          <w:szCs w:val="21"/>
        </w:rPr>
        <w:t>①货物（不包括使用大型企业注册商标的货物）：</w:t>
      </w:r>
    </w:p>
    <w:p>
      <w:pPr>
        <w:pStyle w:val="6"/>
        <w:keepNext w:val="0"/>
        <w:keepLines w:val="0"/>
        <w:widowControl/>
        <w:suppressLineNumbers w:val="0"/>
        <w:ind w:left="0" w:firstLine="420"/>
      </w:pPr>
      <w:r>
        <w:rPr>
          <w:rFonts w:hint="eastAsia" w:ascii="宋体" w:hAnsi="宋体" w:eastAsia="宋体" w:cs="宋体"/>
          <w:sz w:val="21"/>
          <w:szCs w:val="21"/>
        </w:rPr>
        <w:t>（ ）提供本投标人制造的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货物；或</w:t>
      </w:r>
    </w:p>
    <w:p>
      <w:pPr>
        <w:pStyle w:val="6"/>
        <w:keepNext w:val="0"/>
        <w:keepLines w:val="0"/>
        <w:widowControl/>
        <w:suppressLineNumbers w:val="0"/>
        <w:ind w:left="0" w:firstLine="420"/>
      </w:pPr>
      <w:r>
        <w:rPr>
          <w:rFonts w:hint="eastAsia" w:ascii="宋体" w:hAnsi="宋体" w:eastAsia="宋体" w:cs="宋体"/>
          <w:sz w:val="21"/>
          <w:szCs w:val="21"/>
        </w:rPr>
        <w:t>（ ）提供其他</w:t>
      </w:r>
      <w:r>
        <w:rPr>
          <w:rFonts w:hint="eastAsia" w:ascii="宋体" w:hAnsi="宋体" w:eastAsia="宋体" w:cs="宋体"/>
          <w:sz w:val="21"/>
          <w:szCs w:val="21"/>
          <w:u w:val="single"/>
        </w:rPr>
        <w:t>（填写“中型</w:t>
      </w:r>
      <w:r>
        <w:rPr>
          <w:rFonts w:hint="default" w:ascii="Calibri" w:hAnsi="Calibri" w:eastAsia="宋体" w:cs="Calibri"/>
          <w:sz w:val="21"/>
          <w:szCs w:val="21"/>
          <w:u w:val="single"/>
        </w:rPr>
        <w:t>/</w:t>
      </w:r>
      <w:r>
        <w:rPr>
          <w:rFonts w:hint="eastAsia" w:ascii="宋体" w:hAnsi="宋体" w:eastAsia="宋体" w:cs="宋体"/>
          <w:sz w:val="21"/>
          <w:szCs w:val="21"/>
          <w:u w:val="single"/>
        </w:rPr>
        <w:t>小型</w:t>
      </w:r>
      <w:r>
        <w:rPr>
          <w:rFonts w:hint="default" w:ascii="Calibri" w:hAnsi="Calibri" w:eastAsia="宋体" w:cs="Calibri"/>
          <w:sz w:val="21"/>
          <w:szCs w:val="21"/>
          <w:u w:val="single"/>
        </w:rPr>
        <w:t>/</w:t>
      </w:r>
      <w:r>
        <w:rPr>
          <w:rFonts w:hint="eastAsia" w:ascii="宋体" w:hAnsi="宋体" w:eastAsia="宋体" w:cs="宋体"/>
          <w:sz w:val="21"/>
          <w:szCs w:val="21"/>
          <w:u w:val="single"/>
        </w:rPr>
        <w:t>微型”）</w:t>
      </w:r>
      <w:r>
        <w:rPr>
          <w:rFonts w:hint="eastAsia" w:ascii="宋体" w:hAnsi="宋体" w:eastAsia="宋体" w:cs="宋体"/>
          <w:sz w:val="21"/>
          <w:szCs w:val="21"/>
        </w:rPr>
        <w:t>企业制造的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货物。</w:t>
      </w:r>
    </w:p>
    <w:p>
      <w:pPr>
        <w:pStyle w:val="6"/>
        <w:keepNext w:val="0"/>
        <w:keepLines w:val="0"/>
        <w:widowControl/>
        <w:suppressLineNumbers w:val="0"/>
        <w:ind w:left="0" w:firstLine="420"/>
      </w:pPr>
      <w:r>
        <w:rPr>
          <w:rFonts w:hint="eastAsia" w:ascii="宋体" w:hAnsi="宋体" w:eastAsia="宋体" w:cs="宋体"/>
          <w:sz w:val="21"/>
          <w:szCs w:val="21"/>
        </w:rPr>
        <w:t>②工程：</w:t>
      </w:r>
    </w:p>
    <w:p>
      <w:pPr>
        <w:pStyle w:val="6"/>
        <w:keepNext w:val="0"/>
        <w:keepLines w:val="0"/>
        <w:widowControl/>
        <w:suppressLineNumbers w:val="0"/>
        <w:ind w:left="0" w:firstLine="420"/>
      </w:pPr>
      <w:r>
        <w:rPr>
          <w:rFonts w:hint="eastAsia" w:ascii="宋体" w:hAnsi="宋体" w:eastAsia="宋体" w:cs="宋体"/>
          <w:sz w:val="21"/>
          <w:szCs w:val="21"/>
        </w:rPr>
        <w:t>（ ）由本投标人承担的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工程。</w:t>
      </w:r>
    </w:p>
    <w:p>
      <w:pPr>
        <w:pStyle w:val="6"/>
        <w:keepNext w:val="0"/>
        <w:keepLines w:val="0"/>
        <w:widowControl/>
        <w:suppressLineNumbers w:val="0"/>
        <w:ind w:left="0" w:firstLine="420"/>
      </w:pPr>
      <w:r>
        <w:rPr>
          <w:rFonts w:hint="eastAsia" w:ascii="宋体" w:hAnsi="宋体" w:eastAsia="宋体" w:cs="宋体"/>
          <w:sz w:val="21"/>
          <w:szCs w:val="21"/>
        </w:rPr>
        <w:t>③服务：</w:t>
      </w:r>
    </w:p>
    <w:p>
      <w:pPr>
        <w:pStyle w:val="6"/>
        <w:keepNext w:val="0"/>
        <w:keepLines w:val="0"/>
        <w:widowControl/>
        <w:suppressLineNumbers w:val="0"/>
        <w:ind w:left="0" w:firstLine="420"/>
      </w:pPr>
      <w:r>
        <w:rPr>
          <w:rFonts w:hint="eastAsia" w:ascii="宋体" w:hAnsi="宋体" w:eastAsia="宋体" w:cs="宋体"/>
          <w:sz w:val="21"/>
          <w:szCs w:val="21"/>
        </w:rPr>
        <w:t>（ ）由本投标人提供的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服务。</w:t>
      </w:r>
    </w:p>
    <w:p>
      <w:pPr>
        <w:pStyle w:val="6"/>
        <w:keepNext w:val="0"/>
        <w:keepLines w:val="0"/>
        <w:widowControl/>
        <w:suppressLineNumbers w:val="0"/>
        <w:ind w:left="0" w:firstLine="420"/>
      </w:pPr>
      <w:r>
        <w:rPr>
          <w:rFonts w:hint="eastAsia" w:ascii="宋体" w:hAnsi="宋体" w:eastAsia="宋体" w:cs="宋体"/>
          <w:sz w:val="21"/>
          <w:szCs w:val="21"/>
        </w:rPr>
        <w:t>本投标人对上述声明的真实性负责。如有虚假，将依法承担相应责任。</w:t>
      </w:r>
    </w:p>
    <w:p>
      <w:pPr>
        <w:pStyle w:val="6"/>
        <w:keepNext w:val="0"/>
        <w:keepLines w:val="0"/>
        <w:widowControl/>
        <w:suppressLineNumbers w:val="0"/>
        <w:ind w:left="0" w:firstLine="420"/>
      </w:pPr>
      <w:r>
        <w:rPr>
          <w:rFonts w:hint="default" w:ascii="Calibri" w:hAnsi="Calibri" w:cs="Calibri"/>
          <w:sz w:val="21"/>
          <w:szCs w:val="21"/>
        </w:rPr>
        <w:t> </w:t>
      </w:r>
    </w:p>
    <w:p>
      <w:pPr>
        <w:pStyle w:val="6"/>
        <w:keepNext w:val="0"/>
        <w:keepLines w:val="0"/>
        <w:widowControl/>
        <w:suppressLineNumbers w:val="0"/>
      </w:pPr>
      <w:r>
        <w:rPr>
          <w:rFonts w:hint="eastAsia" w:ascii="宋体" w:hAnsi="宋体" w:eastAsia="宋体" w:cs="宋体"/>
          <w:sz w:val="21"/>
          <w:szCs w:val="21"/>
        </w:rPr>
        <w:t>★注意：</w:t>
      </w:r>
    </w:p>
    <w:p>
      <w:pPr>
        <w:pStyle w:val="6"/>
        <w:keepNext w:val="0"/>
        <w:keepLines w:val="0"/>
        <w:widowControl/>
        <w:suppressLineNumbers w:val="0"/>
      </w:pPr>
      <w:r>
        <w:rPr>
          <w:rFonts w:hint="eastAsia" w:ascii="宋体" w:hAnsi="宋体" w:eastAsia="宋体" w:cs="宋体"/>
          <w:sz w:val="21"/>
          <w:szCs w:val="21"/>
        </w:rPr>
        <w:t>1、请投标人按照实际情况编制填写本声明函，并在相应的（）中打“√”。</w:t>
      </w:r>
    </w:p>
    <w:p>
      <w:pPr>
        <w:pStyle w:val="6"/>
        <w:keepNext w:val="0"/>
        <w:keepLines w:val="0"/>
        <w:widowControl/>
        <w:suppressLineNumbers w:val="0"/>
      </w:pPr>
      <w:r>
        <w:rPr>
          <w:rFonts w:hint="eastAsia" w:ascii="宋体" w:hAnsi="宋体" w:eastAsia="宋体" w:cs="宋体"/>
          <w:sz w:val="21"/>
          <w:szCs w:val="21"/>
        </w:rPr>
        <w:t>2、投标人应认真对照《工业和信息化部、国家统计局、国家发展和改革委员会、财政部关于印发中小企业划型标准规定的通知》（工信部联企业</w:t>
      </w:r>
      <w:r>
        <w:rPr>
          <w:rFonts w:hint="default" w:ascii="Calibri" w:hAnsi="Calibri" w:eastAsia="宋体" w:cs="Calibri"/>
          <w:sz w:val="21"/>
          <w:szCs w:val="21"/>
        </w:rPr>
        <w:t>[2011]300</w:t>
      </w:r>
      <w:r>
        <w:rPr>
          <w:rFonts w:hint="eastAsia" w:ascii="宋体" w:hAnsi="宋体" w:eastAsia="宋体" w:cs="宋体"/>
          <w:sz w:val="21"/>
          <w:szCs w:val="21"/>
        </w:rPr>
        <w:t>号）规定的划分标准，并按照国家统计局现行的关于统计上大中小微型企业划分办法的有关规定准确划分企业类型。</w:t>
      </w:r>
    </w:p>
    <w:p>
      <w:pPr>
        <w:pStyle w:val="6"/>
        <w:keepNext w:val="0"/>
        <w:keepLines w:val="0"/>
        <w:widowControl/>
        <w:suppressLineNumbers w:val="0"/>
      </w:pPr>
      <w:r>
        <w:rPr>
          <w:rFonts w:hint="eastAsia" w:ascii="宋体" w:hAnsi="宋体" w:eastAsia="宋体" w:cs="宋体"/>
          <w:sz w:val="21"/>
          <w:szCs w:val="21"/>
        </w:rPr>
        <w:t>3、若《中小企业声明函》内容不真实，</w:t>
      </w:r>
      <w:r>
        <w:rPr>
          <w:rStyle w:val="10"/>
          <w:rFonts w:hint="eastAsia" w:ascii="宋体" w:hAnsi="宋体" w:eastAsia="宋体" w:cs="宋体"/>
          <w:sz w:val="21"/>
          <w:szCs w:val="21"/>
        </w:rPr>
        <w:t>视为提供虚假材料</w:t>
      </w:r>
      <w:r>
        <w:rPr>
          <w:rFonts w:hint="eastAsia" w:ascii="宋体" w:hAnsi="宋体" w:eastAsia="宋体" w:cs="宋体"/>
          <w:sz w:val="21"/>
          <w:szCs w:val="21"/>
        </w:rPr>
        <w:t>。</w:t>
      </w:r>
    </w:p>
    <w:p>
      <w:pPr>
        <w:pStyle w:val="6"/>
        <w:keepNext w:val="0"/>
        <w:keepLines w:val="0"/>
        <w:widowControl/>
        <w:suppressLineNumbers w:val="0"/>
      </w:pPr>
      <w:r>
        <w:rPr>
          <w:rFonts w:hint="eastAsia" w:ascii="宋体" w:hAnsi="宋体" w:eastAsia="宋体" w:cs="宋体"/>
          <w:sz w:val="21"/>
          <w:szCs w:val="21"/>
        </w:rPr>
        <w:t>4、投标人为监狱企业的，可不填写本声明函。</w:t>
      </w:r>
    </w:p>
    <w:p>
      <w:pPr>
        <w:pStyle w:val="6"/>
        <w:keepNext w:val="0"/>
        <w:keepLines w:val="0"/>
        <w:widowControl/>
        <w:suppressLineNumbers w:val="0"/>
      </w:pPr>
      <w:r>
        <w:rPr>
          <w:rFonts w:hint="eastAsia" w:ascii="宋体" w:hAnsi="宋体" w:eastAsia="宋体" w:cs="宋体"/>
          <w:sz w:val="21"/>
          <w:szCs w:val="21"/>
        </w:rPr>
        <w:t>5、投标人为残疾人福利性单位的，可不填写本声明函。</w:t>
      </w:r>
    </w:p>
    <w:p>
      <w:pPr>
        <w:pStyle w:val="6"/>
        <w:keepNext w:val="0"/>
        <w:keepLines w:val="0"/>
        <w:widowControl/>
        <w:suppressLineNumbers w:val="0"/>
      </w:pPr>
      <w:r>
        <w:rPr>
          <w:rFonts w:hint="eastAsia" w:ascii="宋体" w:hAnsi="宋体" w:eastAsia="宋体" w:cs="宋体"/>
          <w:sz w:val="21"/>
          <w:szCs w:val="21"/>
        </w:rPr>
        <w:t>6、纸质投标文件正本中的本声明函（若有）应为原件。</w:t>
      </w:r>
    </w:p>
    <w:p>
      <w:pPr>
        <w:pStyle w:val="6"/>
        <w:keepNext w:val="0"/>
        <w:keepLines w:val="0"/>
        <w:widowControl/>
        <w:suppressLineNumbers w:val="0"/>
      </w:pPr>
      <w:r>
        <w:rPr>
          <w:rFonts w:hint="eastAsia" w:ascii="宋体" w:hAnsi="宋体" w:eastAsia="宋体" w:cs="宋体"/>
          <w:sz w:val="21"/>
          <w:szCs w:val="21"/>
        </w:rPr>
        <w:t> </w:t>
      </w:r>
    </w:p>
    <w:p>
      <w:pPr>
        <w:pStyle w:val="6"/>
        <w:keepNext w:val="0"/>
        <w:keepLines w:val="0"/>
        <w:widowControl/>
        <w:suppressLineNumbers w:val="0"/>
      </w:pPr>
      <w:r>
        <w:rPr>
          <w:rFonts w:hint="default" w:ascii="Calibri" w:hAnsi="Calibri" w:cs="Calibri"/>
          <w:sz w:val="21"/>
          <w:szCs w:val="21"/>
        </w:rPr>
        <w:t> </w:t>
      </w:r>
    </w:p>
    <w:p>
      <w:pPr>
        <w:pStyle w:val="6"/>
        <w:keepNext w:val="0"/>
        <w:keepLines w:val="0"/>
        <w:widowControl/>
        <w:suppressLineNumbers w:val="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6"/>
        <w:keepNext w:val="0"/>
        <w:keepLines w:val="0"/>
        <w:widowControl/>
        <w:suppressLineNumbers w:val="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6"/>
        <w:keepNext w:val="0"/>
        <w:keepLines w:val="0"/>
        <w:widowControl/>
        <w:suppressLineNumbers w:val="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6"/>
        <w:keepNext w:val="0"/>
        <w:keepLines w:val="0"/>
        <w:widowControl/>
        <w:suppressLineNumbers w:val="0"/>
      </w:pPr>
      <w:r>
        <w:rPr>
          <w:rFonts w:hint="eastAsia" w:ascii="宋体" w:hAnsi="宋体" w:eastAsia="宋体" w:cs="宋体"/>
          <w:sz w:val="21"/>
          <w:szCs w:val="21"/>
        </w:rPr>
        <w:t> </w:t>
      </w:r>
    </w:p>
    <w:p>
      <w:pPr>
        <w:pStyle w:val="6"/>
        <w:keepNext w:val="0"/>
        <w:keepLines w:val="0"/>
        <w:widowControl/>
        <w:suppressLineNumbers w:val="0"/>
      </w:pPr>
      <w:r>
        <w:rPr>
          <w:rFonts w:hint="eastAsia" w:ascii="宋体" w:hAnsi="宋体" w:eastAsia="宋体" w:cs="宋体"/>
          <w:sz w:val="21"/>
          <w:szCs w:val="21"/>
        </w:rPr>
        <w:t> </w:t>
      </w:r>
    </w:p>
    <w:p>
      <w:pPr>
        <w:pStyle w:val="6"/>
        <w:keepNext w:val="0"/>
        <w:keepLines w:val="0"/>
        <w:widowControl/>
        <w:suppressLineNumbers w:val="0"/>
        <w:jc w:val="center"/>
      </w:pPr>
      <w:r>
        <w:rPr>
          <w:rFonts w:hint="default" w:ascii="Calibri" w:hAnsi="Calibri" w:cs="Calibri"/>
          <w:sz w:val="21"/>
          <w:szCs w:val="21"/>
        </w:rPr>
        <w:br w:type="textWrapping"/>
      </w:r>
      <w:r>
        <w:rPr>
          <w:rStyle w:val="10"/>
          <w:rFonts w:hint="eastAsia" w:ascii="宋体" w:hAnsi="宋体" w:eastAsia="宋体" w:cs="宋体"/>
          <w:sz w:val="21"/>
          <w:szCs w:val="21"/>
        </w:rPr>
        <w:t>三-2-③小型、微型企业等证明材料（价格扣除适用，若有）</w:t>
      </w:r>
    </w:p>
    <w:p>
      <w:pPr>
        <w:pStyle w:val="6"/>
        <w:keepNext w:val="0"/>
        <w:keepLines w:val="0"/>
        <w:widowControl/>
        <w:suppressLineNumbers w:val="0"/>
      </w:pPr>
      <w:r>
        <w:rPr>
          <w:rStyle w:val="10"/>
          <w:rFonts w:hint="eastAsia" w:ascii="宋体" w:hAnsi="宋体" w:eastAsia="宋体" w:cs="宋体"/>
          <w:sz w:val="21"/>
          <w:szCs w:val="21"/>
        </w:rPr>
        <w:t> </w:t>
      </w:r>
    </w:p>
    <w:p>
      <w:pPr>
        <w:pStyle w:val="6"/>
        <w:keepNext w:val="0"/>
        <w:keepLines w:val="0"/>
        <w:widowControl/>
        <w:suppressLineNumbers w:val="0"/>
      </w:pPr>
      <w:r>
        <w:rPr>
          <w:rStyle w:val="10"/>
          <w:rFonts w:hint="eastAsia" w:ascii="宋体" w:hAnsi="宋体" w:eastAsia="宋体" w:cs="宋体"/>
          <w:sz w:val="21"/>
          <w:szCs w:val="21"/>
        </w:rPr>
        <w:t> </w:t>
      </w:r>
    </w:p>
    <w:p>
      <w:pPr>
        <w:pStyle w:val="6"/>
        <w:keepNext w:val="0"/>
        <w:keepLines w:val="0"/>
        <w:widowControl/>
        <w:suppressLineNumbers w:val="0"/>
        <w:jc w:val="center"/>
      </w:pPr>
      <w:r>
        <w:rPr>
          <w:rFonts w:hint="eastAsia" w:ascii="宋体" w:hAnsi="宋体" w:eastAsia="宋体" w:cs="宋体"/>
          <w:sz w:val="21"/>
          <w:szCs w:val="21"/>
        </w:rPr>
        <w:t>编制说明</w:t>
      </w:r>
    </w:p>
    <w:p>
      <w:pPr>
        <w:pStyle w:val="6"/>
        <w:keepNext w:val="0"/>
        <w:keepLines w:val="0"/>
        <w:widowControl/>
        <w:suppressLineNumbers w:val="0"/>
        <w:jc w:val="center"/>
      </w:pPr>
      <w:r>
        <w:rPr>
          <w:rFonts w:hint="eastAsia" w:ascii="宋体" w:hAnsi="宋体" w:eastAsia="宋体" w:cs="宋体"/>
          <w:sz w:val="21"/>
          <w:szCs w:val="21"/>
        </w:rPr>
        <w:t> </w:t>
      </w:r>
    </w:p>
    <w:p>
      <w:pPr>
        <w:pStyle w:val="6"/>
        <w:keepNext w:val="0"/>
        <w:keepLines w:val="0"/>
        <w:widowControl/>
        <w:suppressLineNumbers w:val="0"/>
      </w:pPr>
      <w:r>
        <w:rPr>
          <w:rFonts w:hint="eastAsia" w:ascii="宋体" w:hAnsi="宋体" w:eastAsia="宋体" w:cs="宋体"/>
          <w:sz w:val="21"/>
          <w:szCs w:val="21"/>
        </w:rPr>
        <w:t>1、投标人应按照招标文件要求提供相应证明材料，证明材料应与《中小企业声明函》的内容相一致，否则视为《中小企业声明函》内容不真实。</w:t>
      </w:r>
    </w:p>
    <w:p>
      <w:pPr>
        <w:pStyle w:val="6"/>
        <w:keepNext w:val="0"/>
        <w:keepLines w:val="0"/>
        <w:widowControl/>
        <w:suppressLineNumbers w:val="0"/>
      </w:pPr>
      <w:r>
        <w:rPr>
          <w:rFonts w:hint="eastAsia" w:ascii="宋体" w:hAnsi="宋体" w:eastAsia="宋体" w:cs="宋体"/>
          <w:sz w:val="21"/>
          <w:szCs w:val="21"/>
        </w:rPr>
        <w:t>2、投标人为监狱企业的，根据其提供的由省级以上监狱管理局、戒毒管理局（含新疆生产建设兵团）出具的属于监狱企业的证明文件进行认定，监狱企业视同小型、微型企业。</w:t>
      </w:r>
    </w:p>
    <w:p>
      <w:pPr>
        <w:pStyle w:val="6"/>
        <w:keepNext w:val="0"/>
        <w:keepLines w:val="0"/>
        <w:widowControl/>
        <w:suppressLineNumbers w:val="0"/>
      </w:pPr>
      <w:r>
        <w:rPr>
          <w:rFonts w:hint="eastAsia" w:ascii="宋体" w:hAnsi="宋体" w:eastAsia="宋体" w:cs="宋体"/>
          <w:sz w:val="21"/>
          <w:szCs w:val="21"/>
        </w:rPr>
        <w:t>3、投标人为残疾人福利性单位的，根据其提供的《残疾人福利性单位声明函》（格式附后）进行认定，残疾人福利性单位视同小型、微型企业。残疾人福利性单位属于小型、微型企业的，不重复享受政策。</w:t>
      </w:r>
    </w:p>
    <w:p>
      <w:pPr>
        <w:pStyle w:val="6"/>
        <w:keepNext w:val="0"/>
        <w:keepLines w:val="0"/>
        <w:widowControl/>
        <w:suppressLineNumbers w:val="0"/>
      </w:pPr>
      <w:r>
        <w:rPr>
          <w:rFonts w:hint="eastAsia" w:ascii="宋体" w:hAnsi="宋体" w:eastAsia="宋体" w:cs="宋体"/>
          <w:sz w:val="21"/>
          <w:szCs w:val="21"/>
        </w:rPr>
        <w:t> </w:t>
      </w:r>
    </w:p>
    <w:p>
      <w:pPr>
        <w:pStyle w:val="6"/>
        <w:keepNext w:val="0"/>
        <w:keepLines w:val="0"/>
        <w:widowControl/>
        <w:suppressLineNumbers w:val="0"/>
      </w:pPr>
      <w:r>
        <w:rPr>
          <w:rFonts w:hint="eastAsia" w:ascii="宋体" w:hAnsi="宋体" w:eastAsia="宋体" w:cs="宋体"/>
          <w:sz w:val="21"/>
          <w:szCs w:val="21"/>
        </w:rPr>
        <w:t> </w:t>
      </w:r>
    </w:p>
    <w:p>
      <w:pPr>
        <w:pStyle w:val="6"/>
        <w:keepNext w:val="0"/>
        <w:keepLines w:val="0"/>
        <w:widowControl/>
        <w:suppressLineNumbers w:val="0"/>
      </w:pPr>
      <w:r>
        <w:rPr>
          <w:rFonts w:hint="default" w:ascii="Calibri" w:hAnsi="Calibri" w:cs="Calibri"/>
          <w:sz w:val="21"/>
          <w:szCs w:val="21"/>
        </w:rPr>
        <w:br w:type="textWrapping"/>
      </w:r>
      <w:r>
        <w:rPr>
          <w:rFonts w:hint="eastAsia" w:ascii="宋体" w:hAnsi="宋体" w:eastAsia="宋体" w:cs="宋体"/>
          <w:sz w:val="21"/>
          <w:szCs w:val="21"/>
        </w:rPr>
        <w:t>附：</w:t>
      </w:r>
    </w:p>
    <w:p>
      <w:pPr>
        <w:pStyle w:val="6"/>
        <w:keepNext w:val="0"/>
        <w:keepLines w:val="0"/>
        <w:widowControl/>
        <w:suppressLineNumbers w:val="0"/>
        <w:jc w:val="center"/>
      </w:pPr>
      <w:r>
        <w:rPr>
          <w:rStyle w:val="10"/>
          <w:rFonts w:hint="eastAsia" w:ascii="宋体" w:hAnsi="宋体" w:eastAsia="宋体" w:cs="宋体"/>
          <w:sz w:val="21"/>
          <w:szCs w:val="21"/>
        </w:rPr>
        <w:t>残疾人福利性单位声明函（价格扣除适用，若有）</w:t>
      </w:r>
    </w:p>
    <w:p>
      <w:pPr>
        <w:pStyle w:val="6"/>
        <w:keepNext w:val="0"/>
        <w:keepLines w:val="0"/>
        <w:widowControl/>
        <w:suppressLineNumbers w:val="0"/>
      </w:pPr>
      <w:r>
        <w:rPr>
          <w:rStyle w:val="10"/>
          <w:rFonts w:hint="eastAsia" w:ascii="宋体" w:hAnsi="宋体" w:eastAsia="宋体" w:cs="宋体"/>
          <w:sz w:val="21"/>
          <w:szCs w:val="21"/>
        </w:rPr>
        <w:t> </w:t>
      </w:r>
    </w:p>
    <w:p>
      <w:pPr>
        <w:pStyle w:val="6"/>
        <w:keepNext w:val="0"/>
        <w:keepLines w:val="0"/>
        <w:widowControl/>
        <w:suppressLineNumbers w:val="0"/>
        <w:ind w:left="0" w:firstLine="420"/>
      </w:pPr>
      <w:r>
        <w:rPr>
          <w:rFonts w:hint="eastAsia" w:ascii="宋体" w:hAnsi="宋体" w:eastAsia="宋体" w:cs="宋体"/>
          <w:sz w:val="21"/>
          <w:szCs w:val="21"/>
        </w:rPr>
        <w:t>本投标人郑重声明，根据《财政部 民政部 中国残疾人联合会关于促进残疾人就业政府采购政策的通知》（财库[2017]141号）的规定，本投标人为符合条件的残疾人福利性单位，且本投标人参加贵单位的</w:t>
      </w:r>
      <w:r>
        <w:rPr>
          <w:rFonts w:hint="eastAsia" w:ascii="宋体" w:hAnsi="宋体" w:eastAsia="宋体" w:cs="宋体"/>
          <w:sz w:val="21"/>
          <w:szCs w:val="21"/>
          <w:u w:val="single"/>
        </w:rPr>
        <w:t>（填写“项目名称”）</w:t>
      </w:r>
      <w:r>
        <w:rPr>
          <w:rFonts w:hint="eastAsia" w:ascii="宋体" w:hAnsi="宋体" w:eastAsia="宋体" w:cs="宋体"/>
          <w:sz w:val="21"/>
          <w:szCs w:val="21"/>
        </w:rPr>
        <w:t>项目采购活动：</w:t>
      </w:r>
    </w:p>
    <w:p>
      <w:pPr>
        <w:pStyle w:val="6"/>
        <w:keepNext w:val="0"/>
        <w:keepLines w:val="0"/>
        <w:widowControl/>
        <w:suppressLineNumbers w:val="0"/>
        <w:ind w:left="0" w:firstLine="420"/>
      </w:pPr>
      <w:r>
        <w:rPr>
          <w:rFonts w:hint="eastAsia" w:ascii="宋体" w:hAnsi="宋体" w:eastAsia="宋体" w:cs="宋体"/>
          <w:sz w:val="21"/>
          <w:szCs w:val="21"/>
        </w:rPr>
        <w:t>（ ）提供本投标人制造的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货物，</w:t>
      </w:r>
    </w:p>
    <w:p>
      <w:pPr>
        <w:pStyle w:val="6"/>
        <w:keepNext w:val="0"/>
        <w:keepLines w:val="0"/>
        <w:widowControl/>
        <w:suppressLineNumbers w:val="0"/>
        <w:ind w:left="0" w:firstLine="420"/>
      </w:pPr>
      <w:r>
        <w:rPr>
          <w:rFonts w:hint="eastAsia" w:ascii="宋体" w:hAnsi="宋体" w:eastAsia="宋体" w:cs="宋体"/>
          <w:sz w:val="21"/>
          <w:szCs w:val="21"/>
        </w:rPr>
        <w:t>（ ）由本投标人承担的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工程，</w:t>
      </w:r>
    </w:p>
    <w:p>
      <w:pPr>
        <w:pStyle w:val="6"/>
        <w:keepNext w:val="0"/>
        <w:keepLines w:val="0"/>
        <w:widowControl/>
        <w:suppressLineNumbers w:val="0"/>
        <w:ind w:left="0" w:firstLine="420"/>
      </w:pPr>
      <w:r>
        <w:rPr>
          <w:rFonts w:hint="eastAsia" w:ascii="宋体" w:hAnsi="宋体" w:eastAsia="宋体" w:cs="宋体"/>
          <w:sz w:val="21"/>
          <w:szCs w:val="21"/>
        </w:rPr>
        <w:t>（ ）由本投标人提供的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服务；或</w:t>
      </w:r>
    </w:p>
    <w:p>
      <w:pPr>
        <w:pStyle w:val="6"/>
        <w:keepNext w:val="0"/>
        <w:keepLines w:val="0"/>
        <w:widowControl/>
        <w:suppressLineNumbers w:val="0"/>
        <w:ind w:left="0" w:firstLine="420"/>
      </w:pPr>
      <w:r>
        <w:rPr>
          <w:rFonts w:hint="eastAsia" w:ascii="宋体" w:hAnsi="宋体" w:eastAsia="宋体" w:cs="宋体"/>
          <w:sz w:val="21"/>
          <w:szCs w:val="21"/>
        </w:rPr>
        <w:t>（ ）提供其他残疾人福利性单位制造的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货物（不包括使用非残疾人福利性单位注册商标的货物）。</w:t>
      </w:r>
    </w:p>
    <w:p>
      <w:pPr>
        <w:pStyle w:val="6"/>
        <w:keepNext w:val="0"/>
        <w:keepLines w:val="0"/>
        <w:widowControl/>
        <w:suppressLineNumbers w:val="0"/>
        <w:ind w:left="0" w:firstLine="420"/>
      </w:pPr>
      <w:r>
        <w:rPr>
          <w:rFonts w:hint="eastAsia" w:ascii="宋体" w:hAnsi="宋体" w:eastAsia="宋体" w:cs="宋体"/>
          <w:sz w:val="21"/>
          <w:szCs w:val="21"/>
        </w:rPr>
        <w:t>本投标人对上述声明的真实性负责。如有虚假，将依法承担相应责任。</w:t>
      </w:r>
    </w:p>
    <w:p>
      <w:pPr>
        <w:pStyle w:val="6"/>
        <w:keepNext w:val="0"/>
        <w:keepLines w:val="0"/>
        <w:widowControl/>
        <w:suppressLineNumbers w:val="0"/>
        <w:ind w:left="0" w:firstLine="420"/>
      </w:pPr>
      <w:r>
        <w:rPr>
          <w:rFonts w:hint="default" w:ascii="Calibri" w:hAnsi="Calibri" w:cs="Calibri"/>
          <w:sz w:val="21"/>
          <w:szCs w:val="21"/>
        </w:rPr>
        <w:t> </w:t>
      </w:r>
    </w:p>
    <w:p>
      <w:pPr>
        <w:pStyle w:val="6"/>
        <w:keepNext w:val="0"/>
        <w:keepLines w:val="0"/>
        <w:widowControl/>
        <w:suppressLineNumbers w:val="0"/>
      </w:pPr>
      <w:r>
        <w:rPr>
          <w:rFonts w:hint="eastAsia" w:ascii="宋体" w:hAnsi="宋体" w:eastAsia="宋体" w:cs="宋体"/>
          <w:sz w:val="21"/>
          <w:szCs w:val="21"/>
        </w:rPr>
        <w:t>★注意：</w:t>
      </w:r>
    </w:p>
    <w:p>
      <w:pPr>
        <w:pStyle w:val="6"/>
        <w:keepNext w:val="0"/>
        <w:keepLines w:val="0"/>
        <w:widowControl/>
        <w:suppressLineNumbers w:val="0"/>
      </w:pPr>
      <w:r>
        <w:rPr>
          <w:rFonts w:hint="eastAsia" w:ascii="宋体" w:hAnsi="宋体" w:eastAsia="宋体" w:cs="宋体"/>
          <w:sz w:val="21"/>
          <w:szCs w:val="21"/>
        </w:rPr>
        <w:t>1、请投标人按照实际情况编制填写本声明函，并在相应的（）中打“√”。</w:t>
      </w:r>
    </w:p>
    <w:p>
      <w:pPr>
        <w:pStyle w:val="6"/>
        <w:keepNext w:val="0"/>
        <w:keepLines w:val="0"/>
        <w:widowControl/>
        <w:suppressLineNumbers w:val="0"/>
      </w:pPr>
      <w:r>
        <w:rPr>
          <w:rFonts w:hint="eastAsia" w:ascii="宋体" w:hAnsi="宋体" w:eastAsia="宋体" w:cs="宋体"/>
          <w:sz w:val="21"/>
          <w:szCs w:val="21"/>
        </w:rPr>
        <w:t>2、纸质投标文件正本中的本声明函（若有）应为原件。</w:t>
      </w:r>
    </w:p>
    <w:p>
      <w:pPr>
        <w:pStyle w:val="6"/>
        <w:keepNext w:val="0"/>
        <w:keepLines w:val="0"/>
        <w:widowControl/>
        <w:suppressLineNumbers w:val="0"/>
      </w:pPr>
      <w:r>
        <w:rPr>
          <w:rFonts w:hint="eastAsia" w:ascii="宋体" w:hAnsi="宋体" w:eastAsia="宋体" w:cs="宋体"/>
          <w:sz w:val="21"/>
          <w:szCs w:val="21"/>
        </w:rPr>
        <w:t>3、若《残疾人福利性单位声明函》内容不真实，</w:t>
      </w:r>
      <w:r>
        <w:rPr>
          <w:rStyle w:val="10"/>
          <w:rFonts w:hint="eastAsia" w:ascii="宋体" w:hAnsi="宋体" w:eastAsia="宋体" w:cs="宋体"/>
          <w:sz w:val="21"/>
          <w:szCs w:val="21"/>
        </w:rPr>
        <w:t>视为提供虚假材料</w:t>
      </w:r>
      <w:r>
        <w:rPr>
          <w:rFonts w:hint="eastAsia" w:ascii="宋体" w:hAnsi="宋体" w:eastAsia="宋体" w:cs="宋体"/>
          <w:sz w:val="21"/>
          <w:szCs w:val="21"/>
        </w:rPr>
        <w:t>。</w:t>
      </w:r>
    </w:p>
    <w:p>
      <w:pPr>
        <w:pStyle w:val="6"/>
        <w:keepNext w:val="0"/>
        <w:keepLines w:val="0"/>
        <w:widowControl/>
        <w:suppressLineNumbers w:val="0"/>
      </w:pPr>
      <w:r>
        <w:rPr>
          <w:rFonts w:hint="eastAsia" w:ascii="宋体" w:hAnsi="宋体" w:eastAsia="宋体" w:cs="宋体"/>
          <w:sz w:val="21"/>
          <w:szCs w:val="21"/>
        </w:rPr>
        <w:t>4、符合财政部、民政部、中国残联文件（财库</w:t>
      </w:r>
      <w:r>
        <w:rPr>
          <w:rFonts w:hint="default" w:ascii="Calibri" w:hAnsi="Calibri" w:eastAsia="宋体" w:cs="Calibri"/>
          <w:sz w:val="21"/>
          <w:szCs w:val="21"/>
        </w:rPr>
        <w:t>[2017]141</w:t>
      </w:r>
      <w:r>
        <w:rPr>
          <w:rFonts w:hint="eastAsia" w:ascii="宋体" w:hAnsi="宋体" w:eastAsia="宋体" w:cs="宋体"/>
          <w:sz w:val="21"/>
          <w:szCs w:val="21"/>
        </w:rPr>
        <w:t>号）规定的残疾人福利性单位提供本单位制造的货物、承担的工程或服务，或提供其他残疾人福利性单位制造的货物（不包括使用非残疾人福利性单位注册商标的货物）</w:t>
      </w:r>
      <w:r>
        <w:rPr>
          <w:rStyle w:val="10"/>
          <w:rFonts w:hint="eastAsia" w:ascii="宋体" w:hAnsi="宋体" w:eastAsia="宋体" w:cs="宋体"/>
          <w:sz w:val="21"/>
          <w:szCs w:val="21"/>
        </w:rPr>
        <w:t>可享受价格扣除。</w:t>
      </w:r>
    </w:p>
    <w:p>
      <w:pPr>
        <w:pStyle w:val="6"/>
        <w:keepNext w:val="0"/>
        <w:keepLines w:val="0"/>
        <w:widowControl/>
        <w:suppressLineNumbers w:val="0"/>
      </w:pPr>
      <w:r>
        <w:rPr>
          <w:rFonts w:hint="eastAsia" w:ascii="宋体" w:hAnsi="宋体" w:eastAsia="宋体" w:cs="宋体"/>
          <w:sz w:val="21"/>
          <w:szCs w:val="21"/>
        </w:rPr>
        <w:t> </w:t>
      </w:r>
    </w:p>
    <w:p>
      <w:pPr>
        <w:pStyle w:val="6"/>
        <w:keepNext w:val="0"/>
        <w:keepLines w:val="0"/>
        <w:widowControl/>
        <w:suppressLineNumbers w:val="0"/>
      </w:pPr>
      <w:r>
        <w:rPr>
          <w:rFonts w:hint="default" w:ascii="Calibri" w:hAnsi="Calibri" w:cs="Calibri"/>
          <w:sz w:val="21"/>
          <w:szCs w:val="21"/>
        </w:rPr>
        <w:t> </w:t>
      </w:r>
    </w:p>
    <w:p>
      <w:pPr>
        <w:pStyle w:val="6"/>
        <w:keepNext w:val="0"/>
        <w:keepLines w:val="0"/>
        <w:widowControl/>
        <w:suppressLineNumbers w:val="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6"/>
        <w:keepNext w:val="0"/>
        <w:keepLines w:val="0"/>
        <w:widowControl/>
        <w:suppressLineNumbers w:val="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6"/>
        <w:keepNext w:val="0"/>
        <w:keepLines w:val="0"/>
        <w:widowControl/>
        <w:suppressLineNumbers w:val="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6"/>
        <w:keepNext w:val="0"/>
        <w:keepLines w:val="0"/>
        <w:widowControl/>
        <w:suppressLineNumbers w:val="0"/>
        <w:jc w:val="center"/>
      </w:pPr>
      <w:r>
        <w:rPr>
          <w:rFonts w:hint="default" w:ascii="Calibri" w:hAnsi="Calibri" w:cs="Calibri"/>
          <w:sz w:val="21"/>
          <w:szCs w:val="21"/>
        </w:rPr>
        <w:br w:type="textWrapping"/>
      </w:r>
      <w:r>
        <w:rPr>
          <w:rStyle w:val="10"/>
          <w:rFonts w:hint="eastAsia" w:ascii="宋体" w:hAnsi="宋体" w:eastAsia="宋体" w:cs="宋体"/>
          <w:sz w:val="21"/>
          <w:szCs w:val="21"/>
        </w:rPr>
        <w:t>三-3招标文件规定的其他价格扣除证明材料（若有）</w:t>
      </w:r>
    </w:p>
    <w:p>
      <w:pPr>
        <w:pStyle w:val="6"/>
        <w:keepNext w:val="0"/>
        <w:keepLines w:val="0"/>
        <w:widowControl/>
        <w:suppressLineNumbers w:val="0"/>
      </w:pPr>
      <w:r>
        <w:rPr>
          <w:rFonts w:hint="eastAsia" w:ascii="宋体" w:hAnsi="宋体" w:eastAsia="宋体" w:cs="宋体"/>
          <w:sz w:val="21"/>
          <w:szCs w:val="21"/>
        </w:rPr>
        <w:t> </w:t>
      </w:r>
    </w:p>
    <w:p>
      <w:pPr>
        <w:pStyle w:val="6"/>
        <w:keepNext w:val="0"/>
        <w:keepLines w:val="0"/>
        <w:widowControl/>
        <w:suppressLineNumbers w:val="0"/>
      </w:pPr>
      <w:r>
        <w:rPr>
          <w:rFonts w:hint="eastAsia" w:ascii="宋体" w:hAnsi="宋体" w:eastAsia="宋体" w:cs="宋体"/>
          <w:sz w:val="21"/>
          <w:szCs w:val="21"/>
        </w:rPr>
        <w:t> </w:t>
      </w:r>
    </w:p>
    <w:p>
      <w:pPr>
        <w:pStyle w:val="6"/>
        <w:keepNext w:val="0"/>
        <w:keepLines w:val="0"/>
        <w:widowControl/>
        <w:suppressLineNumbers w:val="0"/>
        <w:jc w:val="center"/>
      </w:pPr>
      <w:r>
        <w:rPr>
          <w:rFonts w:hint="eastAsia" w:ascii="宋体" w:hAnsi="宋体" w:eastAsia="宋体" w:cs="宋体"/>
          <w:sz w:val="21"/>
          <w:szCs w:val="21"/>
        </w:rPr>
        <w:t>编制说明</w:t>
      </w:r>
    </w:p>
    <w:p>
      <w:pPr>
        <w:pStyle w:val="6"/>
        <w:keepNext w:val="0"/>
        <w:keepLines w:val="0"/>
        <w:widowControl/>
        <w:suppressLineNumbers w:val="0"/>
        <w:jc w:val="center"/>
      </w:pPr>
      <w:r>
        <w:rPr>
          <w:rFonts w:hint="eastAsia" w:ascii="宋体" w:hAnsi="宋体" w:eastAsia="宋体" w:cs="宋体"/>
          <w:sz w:val="21"/>
          <w:szCs w:val="21"/>
        </w:rPr>
        <w:t> </w:t>
      </w:r>
    </w:p>
    <w:p>
      <w:pPr>
        <w:pStyle w:val="6"/>
        <w:keepNext w:val="0"/>
        <w:keepLines w:val="0"/>
        <w:widowControl/>
        <w:suppressLineNumbers w:val="0"/>
        <w:ind w:left="0" w:firstLine="420"/>
      </w:pPr>
      <w:r>
        <w:rPr>
          <w:rFonts w:hint="eastAsia" w:ascii="宋体" w:hAnsi="宋体" w:eastAsia="宋体" w:cs="宋体"/>
          <w:sz w:val="21"/>
          <w:szCs w:val="21"/>
        </w:rPr>
        <w:t>若投标人可享受招标文件规定的除</w:t>
      </w:r>
      <w:r>
        <w:rPr>
          <w:rStyle w:val="10"/>
          <w:rFonts w:hint="eastAsia" w:ascii="宋体" w:hAnsi="宋体" w:eastAsia="宋体" w:cs="宋体"/>
          <w:sz w:val="21"/>
          <w:szCs w:val="21"/>
        </w:rPr>
        <w:t>“节能（非强制类）、环境标志产品价格扣除”及“小型、微型企业产品等价格扣除”</w:t>
      </w:r>
      <w:r>
        <w:rPr>
          <w:rFonts w:hint="eastAsia" w:ascii="宋体" w:hAnsi="宋体" w:eastAsia="宋体" w:cs="宋体"/>
          <w:sz w:val="21"/>
          <w:szCs w:val="21"/>
        </w:rPr>
        <w:t>外的其他价格扣除优惠，则投标人应按照招标文件要求提供相应证明材料。</w:t>
      </w:r>
    </w:p>
    <w:p>
      <w:pPr>
        <w:pStyle w:val="6"/>
        <w:keepNext w:val="0"/>
        <w:keepLines w:val="0"/>
        <w:widowControl/>
        <w:suppressLineNumbers w:val="0"/>
      </w:pPr>
      <w:r>
        <w:rPr>
          <w:rFonts w:hint="eastAsia" w:ascii="宋体" w:hAnsi="宋体" w:eastAsia="宋体" w:cs="宋体"/>
          <w:sz w:val="21"/>
          <w:szCs w:val="21"/>
        </w:rPr>
        <w:t> </w:t>
      </w:r>
    </w:p>
    <w:p>
      <w:pPr>
        <w:pStyle w:val="6"/>
        <w:keepNext w:val="0"/>
        <w:keepLines w:val="0"/>
        <w:widowControl/>
        <w:suppressLineNumbers w:val="0"/>
      </w:pPr>
      <w:r>
        <w:rPr>
          <w:rFonts w:hint="eastAsia" w:ascii="宋体" w:hAnsi="宋体" w:eastAsia="宋体" w:cs="宋体"/>
          <w:sz w:val="21"/>
          <w:szCs w:val="21"/>
        </w:rPr>
        <w:t> </w:t>
      </w:r>
    </w:p>
    <w:p>
      <w:pPr>
        <w:pStyle w:val="6"/>
        <w:keepNext w:val="0"/>
        <w:keepLines w:val="0"/>
        <w:widowControl/>
        <w:suppressLineNumbers w:val="0"/>
        <w:jc w:val="center"/>
      </w:pPr>
      <w:r>
        <w:rPr>
          <w:rFonts w:hint="default" w:ascii="Calibri" w:hAnsi="Calibri" w:cs="Calibri"/>
          <w:sz w:val="21"/>
          <w:szCs w:val="21"/>
        </w:rPr>
        <w:br w:type="textWrapping"/>
      </w:r>
      <w:r>
        <w:rPr>
          <w:rStyle w:val="10"/>
          <w:rFonts w:hint="eastAsia" w:ascii="宋体" w:hAnsi="宋体" w:eastAsia="宋体" w:cs="宋体"/>
          <w:sz w:val="21"/>
          <w:szCs w:val="21"/>
        </w:rPr>
        <w:t>四、招标文件规定的加分证明材料（若有）</w:t>
      </w:r>
    </w:p>
    <w:p>
      <w:pPr>
        <w:pStyle w:val="6"/>
        <w:keepNext w:val="0"/>
        <w:keepLines w:val="0"/>
        <w:widowControl/>
        <w:suppressLineNumbers w:val="0"/>
        <w:jc w:val="center"/>
      </w:pPr>
      <w:r>
        <w:rPr>
          <w:rFonts w:hint="eastAsia" w:ascii="宋体" w:hAnsi="宋体" w:eastAsia="宋体" w:cs="宋体"/>
          <w:sz w:val="21"/>
          <w:szCs w:val="21"/>
        </w:rPr>
        <w:t> </w:t>
      </w:r>
    </w:p>
    <w:p>
      <w:pPr>
        <w:pStyle w:val="6"/>
        <w:keepNext w:val="0"/>
        <w:keepLines w:val="0"/>
        <w:widowControl/>
        <w:suppressLineNumbers w:val="0"/>
        <w:jc w:val="center"/>
      </w:pPr>
      <w:r>
        <w:rPr>
          <w:rStyle w:val="10"/>
          <w:rFonts w:hint="eastAsia" w:ascii="宋体" w:hAnsi="宋体" w:eastAsia="宋体" w:cs="宋体"/>
          <w:sz w:val="21"/>
          <w:szCs w:val="21"/>
        </w:rPr>
        <w:t>四-1优先类节能产品、环境标志产品加分证明材料（若有）</w:t>
      </w:r>
    </w:p>
    <w:p>
      <w:pPr>
        <w:pStyle w:val="6"/>
        <w:keepNext w:val="0"/>
        <w:keepLines w:val="0"/>
        <w:widowControl/>
        <w:suppressLineNumbers w:val="0"/>
        <w:jc w:val="center"/>
      </w:pPr>
      <w:r>
        <w:rPr>
          <w:rStyle w:val="10"/>
          <w:rFonts w:hint="eastAsia" w:ascii="宋体" w:hAnsi="宋体" w:eastAsia="宋体" w:cs="宋体"/>
          <w:sz w:val="21"/>
          <w:szCs w:val="21"/>
        </w:rPr>
        <w:t> </w:t>
      </w:r>
    </w:p>
    <w:p>
      <w:pPr>
        <w:pStyle w:val="6"/>
        <w:keepNext w:val="0"/>
        <w:keepLines w:val="0"/>
        <w:widowControl/>
        <w:suppressLineNumbers w:val="0"/>
        <w:jc w:val="center"/>
      </w:pPr>
      <w:r>
        <w:rPr>
          <w:rStyle w:val="10"/>
          <w:rFonts w:hint="eastAsia" w:ascii="宋体" w:hAnsi="宋体" w:eastAsia="宋体" w:cs="宋体"/>
          <w:sz w:val="21"/>
          <w:szCs w:val="21"/>
        </w:rPr>
        <w:t>四-1-①优先类节能产品、环境标志产品统计表（加分适用，若有）</w:t>
      </w:r>
    </w:p>
    <w:p>
      <w:pPr>
        <w:pStyle w:val="6"/>
        <w:keepNext w:val="0"/>
        <w:keepLines w:val="0"/>
        <w:widowControl/>
        <w:suppressLineNumbers w:val="0"/>
      </w:pPr>
      <w:r>
        <w:rPr>
          <w:rFonts w:hint="eastAsia" w:ascii="宋体" w:hAnsi="宋体" w:eastAsia="宋体" w:cs="宋体"/>
          <w:sz w:val="21"/>
          <w:szCs w:val="21"/>
        </w:rPr>
        <w:t> </w:t>
      </w:r>
    </w:p>
    <w:p>
      <w:pPr>
        <w:pStyle w:val="6"/>
        <w:keepNext w:val="0"/>
        <w:keepLines w:val="0"/>
        <w:widowControl/>
        <w:suppressLineNumbers w:val="0"/>
      </w:pPr>
      <w:r>
        <w:rPr>
          <w:rFonts w:hint="eastAsia" w:ascii="宋体" w:hAnsi="宋体" w:eastAsia="宋体" w:cs="宋体"/>
          <w:sz w:val="21"/>
          <w:szCs w:val="21"/>
        </w:rPr>
        <w:t>招标编号：</w:t>
      </w:r>
      <w:r>
        <w:rPr>
          <w:rFonts w:hint="eastAsia" w:ascii="宋体" w:hAnsi="宋体" w:eastAsia="宋体" w:cs="宋体"/>
          <w:sz w:val="21"/>
          <w:szCs w:val="21"/>
          <w:u w:val="single"/>
        </w:rPr>
        <w:t>                   </w:t>
      </w:r>
    </w:p>
    <w:p>
      <w:pPr>
        <w:pStyle w:val="6"/>
        <w:keepNext w:val="0"/>
        <w:keepLines w:val="0"/>
        <w:widowControl/>
        <w:suppressLineNumbers w:val="0"/>
        <w:jc w:val="right"/>
      </w:pPr>
      <w:r>
        <w:rPr>
          <w:rFonts w:hint="eastAsia" w:ascii="宋体" w:hAnsi="宋体" w:eastAsia="宋体" w:cs="宋体"/>
          <w:sz w:val="21"/>
          <w:szCs w:val="21"/>
        </w:rPr>
        <w:t>货币及单位：人民币元</w:t>
      </w:r>
    </w:p>
    <w:tbl>
      <w:tblPr>
        <w:tblStyle w:val="7"/>
        <w:tblW w:w="8520"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
      <w:tblGrid>
        <w:gridCol w:w="1217"/>
        <w:gridCol w:w="1215"/>
        <w:gridCol w:w="1209"/>
        <w:gridCol w:w="1222"/>
        <w:gridCol w:w="1210"/>
        <w:gridCol w:w="1222"/>
        <w:gridCol w:w="122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Ex>
        <w:trPr>
          <w:tblCellSpacing w:w="15" w:type="dxa"/>
        </w:trPr>
        <w:tc>
          <w:tcPr>
            <w:tcW w:w="1172"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7258" w:type="dxa"/>
            <w:gridSpan w:val="6"/>
            <w:tcBorders>
              <w:top w:val="nil"/>
              <w:left w:val="nil"/>
              <w:bottom w:val="nil"/>
              <w:right w:val="nil"/>
            </w:tcBorders>
            <w:shd w:val="clear" w:color="auto" w:fill="auto"/>
            <w:tcMar>
              <w:top w:w="0" w:type="dxa"/>
              <w:left w:w="105" w:type="dxa"/>
              <w:bottom w:w="0" w:type="dxa"/>
              <w:right w:w="105" w:type="dxa"/>
            </w:tcMar>
            <w:vAlign w:val="center"/>
          </w:tcPr>
          <w:p>
            <w:pPr>
              <w:pStyle w:val="6"/>
              <w:keepNext w:val="0"/>
              <w:keepLines w:val="0"/>
              <w:widowControl/>
              <w:suppressLineNumbers w:val="0"/>
              <w:jc w:val="center"/>
            </w:pPr>
            <w:r>
              <w:rPr>
                <w:rFonts w:hint="eastAsia" w:ascii="宋体" w:hAnsi="宋体" w:eastAsia="宋体" w:cs="宋体"/>
                <w:sz w:val="21"/>
                <w:szCs w:val="21"/>
              </w:rPr>
              <w:t>本合同包内属于节能、环境标志产品的情况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1172" w:type="dxa"/>
            <w:tcBorders>
              <w:top w:val="nil"/>
              <w:left w:val="nil"/>
              <w:bottom w:val="nil"/>
              <w:right w:val="nil"/>
            </w:tcBorders>
            <w:shd w:val="clear" w:color="auto" w:fill="auto"/>
            <w:tcMar>
              <w:top w:w="0" w:type="dxa"/>
              <w:left w:w="105" w:type="dxa"/>
              <w:bottom w:w="0" w:type="dxa"/>
              <w:right w:w="105" w:type="dxa"/>
            </w:tcMar>
            <w:vAlign w:val="center"/>
          </w:tcPr>
          <w:p>
            <w:pPr>
              <w:pStyle w:val="6"/>
              <w:keepNext w:val="0"/>
              <w:keepLines w:val="0"/>
              <w:widowControl/>
              <w:suppressLineNumbers w:val="0"/>
              <w:jc w:val="center"/>
            </w:pPr>
            <w:r>
              <w:rPr>
                <w:rFonts w:hint="eastAsia" w:ascii="宋体" w:hAnsi="宋体" w:eastAsia="宋体" w:cs="宋体"/>
                <w:sz w:val="21"/>
                <w:szCs w:val="21"/>
              </w:rPr>
              <w:t>合同包</w:t>
            </w:r>
          </w:p>
        </w:tc>
        <w:tc>
          <w:tcPr>
            <w:tcW w:w="1185" w:type="dxa"/>
            <w:tcBorders>
              <w:top w:val="nil"/>
              <w:left w:val="nil"/>
              <w:bottom w:val="nil"/>
              <w:right w:val="nil"/>
            </w:tcBorders>
            <w:shd w:val="clear" w:color="auto" w:fill="auto"/>
            <w:tcMar>
              <w:top w:w="0" w:type="dxa"/>
              <w:left w:w="105" w:type="dxa"/>
              <w:bottom w:w="0" w:type="dxa"/>
              <w:right w:w="105" w:type="dxa"/>
            </w:tcMar>
            <w:vAlign w:val="center"/>
          </w:tcPr>
          <w:p>
            <w:pPr>
              <w:pStyle w:val="6"/>
              <w:keepNext w:val="0"/>
              <w:keepLines w:val="0"/>
              <w:widowControl/>
              <w:suppressLineNumbers w:val="0"/>
              <w:jc w:val="center"/>
            </w:pPr>
            <w:r>
              <w:rPr>
                <w:rFonts w:hint="eastAsia" w:ascii="宋体" w:hAnsi="宋体" w:eastAsia="宋体" w:cs="宋体"/>
                <w:sz w:val="21"/>
                <w:szCs w:val="21"/>
              </w:rPr>
              <w:t>品目号</w:t>
            </w:r>
          </w:p>
        </w:tc>
        <w:tc>
          <w:tcPr>
            <w:tcW w:w="1179" w:type="dxa"/>
            <w:tcBorders>
              <w:top w:val="nil"/>
              <w:left w:val="nil"/>
              <w:bottom w:val="nil"/>
              <w:right w:val="nil"/>
            </w:tcBorders>
            <w:shd w:val="clear" w:color="auto" w:fill="auto"/>
            <w:tcMar>
              <w:top w:w="0" w:type="dxa"/>
              <w:left w:w="105" w:type="dxa"/>
              <w:bottom w:w="0" w:type="dxa"/>
              <w:right w:w="105" w:type="dxa"/>
            </w:tcMar>
            <w:vAlign w:val="center"/>
          </w:tcPr>
          <w:p>
            <w:pPr>
              <w:pStyle w:val="6"/>
              <w:keepNext w:val="0"/>
              <w:keepLines w:val="0"/>
              <w:widowControl/>
              <w:suppressLineNumbers w:val="0"/>
              <w:jc w:val="center"/>
            </w:pPr>
            <w:r>
              <w:rPr>
                <w:rFonts w:hint="eastAsia" w:ascii="宋体" w:hAnsi="宋体" w:eastAsia="宋体" w:cs="宋体"/>
                <w:sz w:val="21"/>
                <w:szCs w:val="21"/>
              </w:rPr>
              <w:t>货物名称</w:t>
            </w:r>
          </w:p>
        </w:tc>
        <w:tc>
          <w:tcPr>
            <w:tcW w:w="1192" w:type="dxa"/>
            <w:tcBorders>
              <w:top w:val="nil"/>
              <w:left w:val="nil"/>
              <w:bottom w:val="nil"/>
              <w:right w:val="nil"/>
            </w:tcBorders>
            <w:shd w:val="clear" w:color="auto" w:fill="auto"/>
            <w:tcMar>
              <w:top w:w="0" w:type="dxa"/>
              <w:left w:w="105" w:type="dxa"/>
              <w:bottom w:w="0" w:type="dxa"/>
              <w:right w:w="105" w:type="dxa"/>
            </w:tcMar>
            <w:vAlign w:val="center"/>
          </w:tcPr>
          <w:p>
            <w:pPr>
              <w:pStyle w:val="6"/>
              <w:keepNext w:val="0"/>
              <w:keepLines w:val="0"/>
              <w:widowControl/>
              <w:suppressLineNumbers w:val="0"/>
              <w:jc w:val="center"/>
            </w:pPr>
            <w:r>
              <w:rPr>
                <w:rFonts w:hint="eastAsia" w:ascii="宋体" w:hAnsi="宋体" w:eastAsia="宋体" w:cs="宋体"/>
                <w:sz w:val="21"/>
                <w:szCs w:val="21"/>
              </w:rPr>
              <w:t>单价</w:t>
            </w:r>
          </w:p>
          <w:p>
            <w:pPr>
              <w:pStyle w:val="6"/>
              <w:keepNext w:val="0"/>
              <w:keepLines w:val="0"/>
              <w:widowControl/>
              <w:suppressLineNumbers w:val="0"/>
              <w:jc w:val="center"/>
            </w:pPr>
            <w:r>
              <w:rPr>
                <w:rFonts w:hint="eastAsia" w:ascii="宋体" w:hAnsi="宋体" w:eastAsia="宋体" w:cs="宋体"/>
                <w:sz w:val="21"/>
                <w:szCs w:val="21"/>
              </w:rPr>
              <w:t>（现场）</w:t>
            </w:r>
          </w:p>
        </w:tc>
        <w:tc>
          <w:tcPr>
            <w:tcW w:w="1180" w:type="dxa"/>
            <w:tcBorders>
              <w:top w:val="nil"/>
              <w:left w:val="nil"/>
              <w:bottom w:val="nil"/>
              <w:right w:val="nil"/>
            </w:tcBorders>
            <w:shd w:val="clear" w:color="auto" w:fill="auto"/>
            <w:tcMar>
              <w:top w:w="0" w:type="dxa"/>
              <w:left w:w="105" w:type="dxa"/>
              <w:bottom w:w="0" w:type="dxa"/>
              <w:right w:w="105" w:type="dxa"/>
            </w:tcMar>
            <w:vAlign w:val="center"/>
          </w:tcPr>
          <w:p>
            <w:pPr>
              <w:pStyle w:val="6"/>
              <w:keepNext w:val="0"/>
              <w:keepLines w:val="0"/>
              <w:widowControl/>
              <w:suppressLineNumbers w:val="0"/>
              <w:jc w:val="center"/>
            </w:pPr>
            <w:r>
              <w:rPr>
                <w:rFonts w:hint="eastAsia" w:ascii="宋体" w:hAnsi="宋体" w:eastAsia="宋体" w:cs="宋体"/>
                <w:sz w:val="21"/>
                <w:szCs w:val="21"/>
              </w:rPr>
              <w:t>数量</w:t>
            </w:r>
          </w:p>
        </w:tc>
        <w:tc>
          <w:tcPr>
            <w:tcW w:w="1192" w:type="dxa"/>
            <w:tcBorders>
              <w:top w:val="nil"/>
              <w:left w:val="nil"/>
              <w:bottom w:val="nil"/>
              <w:right w:val="nil"/>
            </w:tcBorders>
            <w:shd w:val="clear" w:color="auto" w:fill="auto"/>
            <w:tcMar>
              <w:top w:w="0" w:type="dxa"/>
              <w:left w:w="105" w:type="dxa"/>
              <w:bottom w:w="0" w:type="dxa"/>
              <w:right w:w="105" w:type="dxa"/>
            </w:tcMar>
            <w:vAlign w:val="center"/>
          </w:tcPr>
          <w:p>
            <w:pPr>
              <w:pStyle w:val="6"/>
              <w:keepNext w:val="0"/>
              <w:keepLines w:val="0"/>
              <w:widowControl/>
              <w:suppressLineNumbers w:val="0"/>
              <w:jc w:val="center"/>
            </w:pPr>
            <w:r>
              <w:rPr>
                <w:rFonts w:hint="eastAsia" w:ascii="宋体" w:hAnsi="宋体" w:eastAsia="宋体" w:cs="宋体"/>
                <w:sz w:val="21"/>
                <w:szCs w:val="21"/>
              </w:rPr>
              <w:t>总价</w:t>
            </w:r>
          </w:p>
          <w:p>
            <w:pPr>
              <w:pStyle w:val="6"/>
              <w:keepNext w:val="0"/>
              <w:keepLines w:val="0"/>
              <w:widowControl/>
              <w:suppressLineNumbers w:val="0"/>
              <w:jc w:val="center"/>
            </w:pPr>
            <w:r>
              <w:rPr>
                <w:rFonts w:hint="eastAsia" w:ascii="宋体" w:hAnsi="宋体" w:eastAsia="宋体" w:cs="宋体"/>
                <w:sz w:val="21"/>
                <w:szCs w:val="21"/>
              </w:rPr>
              <w:t>（现场）</w:t>
            </w:r>
          </w:p>
        </w:tc>
        <w:tc>
          <w:tcPr>
            <w:tcW w:w="1180" w:type="dxa"/>
            <w:tcBorders>
              <w:top w:val="nil"/>
              <w:left w:val="nil"/>
              <w:bottom w:val="nil"/>
              <w:right w:val="nil"/>
            </w:tcBorders>
            <w:shd w:val="clear" w:color="auto" w:fill="auto"/>
            <w:tcMar>
              <w:top w:w="0" w:type="dxa"/>
              <w:left w:w="105" w:type="dxa"/>
              <w:bottom w:w="0" w:type="dxa"/>
              <w:right w:w="105" w:type="dxa"/>
            </w:tcMar>
            <w:vAlign w:val="center"/>
          </w:tcPr>
          <w:p>
            <w:pPr>
              <w:pStyle w:val="6"/>
              <w:keepNext w:val="0"/>
              <w:keepLines w:val="0"/>
              <w:widowControl/>
              <w:suppressLineNumbers w:val="0"/>
              <w:jc w:val="center"/>
            </w:pPr>
            <w:r>
              <w:rPr>
                <w:rFonts w:hint="eastAsia" w:ascii="宋体" w:hAnsi="宋体" w:eastAsia="宋体" w:cs="宋体"/>
                <w:sz w:val="21"/>
                <w:szCs w:val="21"/>
              </w:rPr>
              <w:t>认证种类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1172" w:type="dxa"/>
            <w:vMerge w:val="restart"/>
            <w:tcBorders>
              <w:top w:val="nil"/>
              <w:left w:val="nil"/>
              <w:bottom w:val="nil"/>
              <w:right w:val="nil"/>
            </w:tcBorders>
            <w:shd w:val="clear" w:color="auto" w:fill="auto"/>
            <w:tcMar>
              <w:top w:w="0" w:type="dxa"/>
              <w:left w:w="105" w:type="dxa"/>
              <w:bottom w:w="0" w:type="dxa"/>
              <w:right w:w="105" w:type="dxa"/>
            </w:tcMar>
            <w:vAlign w:val="center"/>
          </w:tcPr>
          <w:p>
            <w:pPr>
              <w:pStyle w:val="6"/>
              <w:keepNext w:val="0"/>
              <w:keepLines w:val="0"/>
              <w:widowControl/>
              <w:suppressLineNumbers w:val="0"/>
              <w:jc w:val="center"/>
            </w:pPr>
            <w:r>
              <w:rPr>
                <w:rFonts w:hint="eastAsia" w:ascii="宋体" w:hAnsi="宋体" w:eastAsia="宋体" w:cs="宋体"/>
                <w:sz w:val="21"/>
                <w:szCs w:val="21"/>
              </w:rPr>
              <w:t>*</w:t>
            </w:r>
          </w:p>
        </w:tc>
        <w:tc>
          <w:tcPr>
            <w:tcW w:w="1185" w:type="dxa"/>
            <w:tcBorders>
              <w:top w:val="nil"/>
              <w:left w:val="nil"/>
              <w:bottom w:val="nil"/>
              <w:right w:val="nil"/>
            </w:tcBorders>
            <w:shd w:val="clear" w:color="auto" w:fill="auto"/>
            <w:tcMar>
              <w:top w:w="0" w:type="dxa"/>
              <w:left w:w="105" w:type="dxa"/>
              <w:bottom w:w="0" w:type="dxa"/>
              <w:right w:w="105" w:type="dxa"/>
            </w:tcMar>
            <w:vAlign w:val="center"/>
          </w:tcPr>
          <w:p>
            <w:pPr>
              <w:pStyle w:val="6"/>
              <w:keepNext w:val="0"/>
              <w:keepLines w:val="0"/>
              <w:widowControl/>
              <w:suppressLineNumbers w:val="0"/>
              <w:jc w:val="center"/>
            </w:pPr>
            <w:r>
              <w:rPr>
                <w:rFonts w:hint="eastAsia" w:ascii="宋体" w:hAnsi="宋体" w:eastAsia="宋体" w:cs="宋体"/>
                <w:sz w:val="21"/>
                <w:szCs w:val="21"/>
              </w:rPr>
              <w:t>*-1</w:t>
            </w:r>
          </w:p>
        </w:tc>
        <w:tc>
          <w:tcPr>
            <w:tcW w:w="1179"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1192"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118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1192"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118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1172" w:type="dxa"/>
            <w:vMerge w:val="continue"/>
            <w:tcBorders>
              <w:top w:val="nil"/>
              <w:left w:val="nil"/>
              <w:bottom w:val="nil"/>
              <w:right w:val="nil"/>
            </w:tcBorders>
            <w:shd w:val="clear" w:color="auto" w:fill="auto"/>
            <w:tcMar>
              <w:top w:w="0" w:type="dxa"/>
              <w:left w:w="105" w:type="dxa"/>
              <w:bottom w:w="0" w:type="dxa"/>
              <w:right w:w="105" w:type="dxa"/>
            </w:tcMar>
            <w:vAlign w:val="center"/>
          </w:tcPr>
          <w:p>
            <w:pPr>
              <w:rPr>
                <w:rFonts w:hint="eastAsia" w:ascii="宋体"/>
                <w:sz w:val="24"/>
                <w:szCs w:val="24"/>
              </w:rPr>
            </w:pPr>
          </w:p>
        </w:tc>
        <w:tc>
          <w:tcPr>
            <w:tcW w:w="1185" w:type="dxa"/>
            <w:tcBorders>
              <w:top w:val="nil"/>
              <w:left w:val="nil"/>
              <w:bottom w:val="nil"/>
              <w:right w:val="nil"/>
            </w:tcBorders>
            <w:shd w:val="clear" w:color="auto" w:fill="auto"/>
            <w:tcMar>
              <w:top w:w="0" w:type="dxa"/>
              <w:left w:w="105" w:type="dxa"/>
              <w:bottom w:w="0" w:type="dxa"/>
              <w:right w:w="105" w:type="dxa"/>
            </w:tcMar>
            <w:vAlign w:val="center"/>
          </w:tcPr>
          <w:p>
            <w:pPr>
              <w:pStyle w:val="6"/>
              <w:keepNext w:val="0"/>
              <w:keepLines w:val="0"/>
              <w:widowControl/>
              <w:suppressLineNumbers w:val="0"/>
              <w:jc w:val="center"/>
            </w:pPr>
            <w:r>
              <w:rPr>
                <w:rFonts w:hint="default" w:ascii="Calibri" w:hAnsi="Calibri" w:cs="Calibri"/>
                <w:sz w:val="21"/>
                <w:szCs w:val="21"/>
              </w:rPr>
              <w:t>…</w:t>
            </w:r>
          </w:p>
        </w:tc>
        <w:tc>
          <w:tcPr>
            <w:tcW w:w="1179"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1192"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118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1192"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118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1172" w:type="dxa"/>
            <w:tcBorders>
              <w:top w:val="nil"/>
              <w:left w:val="nil"/>
              <w:bottom w:val="nil"/>
              <w:right w:val="nil"/>
            </w:tcBorders>
            <w:shd w:val="clear" w:color="auto" w:fill="auto"/>
            <w:tcMar>
              <w:top w:w="0" w:type="dxa"/>
              <w:left w:w="105" w:type="dxa"/>
              <w:bottom w:w="0" w:type="dxa"/>
              <w:right w:w="105" w:type="dxa"/>
            </w:tcMar>
            <w:vAlign w:val="center"/>
          </w:tcPr>
          <w:p>
            <w:pPr>
              <w:pStyle w:val="6"/>
              <w:keepNext w:val="0"/>
              <w:keepLines w:val="0"/>
              <w:widowControl/>
              <w:suppressLineNumbers w:val="0"/>
              <w:jc w:val="center"/>
            </w:pPr>
            <w:r>
              <w:rPr>
                <w:rFonts w:hint="eastAsia" w:ascii="宋体" w:hAnsi="宋体" w:eastAsia="宋体" w:cs="宋体"/>
                <w:sz w:val="21"/>
                <w:szCs w:val="21"/>
              </w:rPr>
              <w:t>备注</w:t>
            </w:r>
          </w:p>
        </w:tc>
        <w:tc>
          <w:tcPr>
            <w:tcW w:w="7258" w:type="dxa"/>
            <w:gridSpan w:val="6"/>
            <w:tcBorders>
              <w:top w:val="nil"/>
              <w:left w:val="nil"/>
              <w:bottom w:val="nil"/>
              <w:right w:val="nil"/>
            </w:tcBorders>
            <w:shd w:val="clear" w:color="auto" w:fill="auto"/>
            <w:tcMar>
              <w:top w:w="0" w:type="dxa"/>
              <w:left w:w="105" w:type="dxa"/>
              <w:bottom w:w="0" w:type="dxa"/>
              <w:right w:w="105" w:type="dxa"/>
            </w:tcMar>
            <w:vAlign w:val="top"/>
          </w:tcPr>
          <w:p>
            <w:pPr>
              <w:pStyle w:val="6"/>
              <w:keepNext w:val="0"/>
              <w:keepLines w:val="0"/>
              <w:widowControl/>
              <w:suppressLineNumbers w:val="0"/>
            </w:pPr>
            <w:r>
              <w:rPr>
                <w:rFonts w:hint="eastAsia" w:ascii="宋体" w:hAnsi="宋体" w:eastAsia="宋体" w:cs="宋体"/>
                <w:sz w:val="21"/>
                <w:szCs w:val="21"/>
              </w:rPr>
              <w:t>a.合同包内属于节能、环境标志产品的报价总金额：</w:t>
            </w:r>
            <w:r>
              <w:rPr>
                <w:rFonts w:hint="eastAsia" w:ascii="宋体" w:hAnsi="宋体" w:eastAsia="宋体" w:cs="宋体"/>
                <w:sz w:val="21"/>
                <w:szCs w:val="21"/>
                <w:u w:val="single"/>
              </w:rPr>
              <w:t>              </w:t>
            </w:r>
            <w:r>
              <w:rPr>
                <w:rFonts w:hint="eastAsia" w:ascii="宋体" w:hAnsi="宋体" w:eastAsia="宋体" w:cs="宋体"/>
                <w:sz w:val="21"/>
                <w:szCs w:val="21"/>
              </w:rPr>
              <w:t>；</w:t>
            </w:r>
          </w:p>
          <w:p>
            <w:pPr>
              <w:pStyle w:val="6"/>
              <w:keepNext w:val="0"/>
              <w:keepLines w:val="0"/>
              <w:widowControl/>
              <w:suppressLineNumbers w:val="0"/>
            </w:pPr>
            <w:r>
              <w:rPr>
                <w:rFonts w:hint="eastAsia" w:ascii="宋体" w:hAnsi="宋体" w:eastAsia="宋体" w:cs="宋体"/>
                <w:sz w:val="21"/>
                <w:szCs w:val="21"/>
              </w:rPr>
              <w:t>b.合同包投标总价（报价总金额）：</w:t>
            </w:r>
            <w:r>
              <w:rPr>
                <w:rFonts w:hint="eastAsia" w:ascii="宋体" w:hAnsi="宋体" w:eastAsia="宋体" w:cs="宋体"/>
                <w:sz w:val="21"/>
                <w:szCs w:val="21"/>
                <w:u w:val="single"/>
              </w:rPr>
              <w:t>              </w:t>
            </w:r>
            <w:r>
              <w:rPr>
                <w:rFonts w:hint="eastAsia" w:ascii="宋体" w:hAnsi="宋体" w:eastAsia="宋体" w:cs="宋体"/>
                <w:sz w:val="21"/>
                <w:szCs w:val="21"/>
              </w:rPr>
              <w:t>；</w:t>
            </w:r>
          </w:p>
          <w:p>
            <w:pPr>
              <w:pStyle w:val="6"/>
              <w:keepNext w:val="0"/>
              <w:keepLines w:val="0"/>
              <w:widowControl/>
              <w:suppressLineNumbers w:val="0"/>
            </w:pPr>
            <w:r>
              <w:rPr>
                <w:rFonts w:hint="eastAsia" w:ascii="宋体" w:hAnsi="宋体" w:eastAsia="宋体" w:cs="宋体"/>
                <w:sz w:val="21"/>
                <w:szCs w:val="21"/>
              </w:rPr>
              <w:t>c.“合同包内属于节能、环境标志产品的报价总金额”占“合同包投标总价（报价总金额）”的比例（以</w:t>
            </w:r>
            <w:r>
              <w:rPr>
                <w:rFonts w:hint="default" w:ascii="Calibri" w:hAnsi="Calibri" w:eastAsia="宋体" w:cs="Calibri"/>
                <w:sz w:val="21"/>
                <w:szCs w:val="21"/>
              </w:rPr>
              <w:t>%</w:t>
            </w:r>
            <w:r>
              <w:rPr>
                <w:rFonts w:hint="eastAsia" w:ascii="宋体" w:hAnsi="宋体" w:eastAsia="宋体" w:cs="宋体"/>
                <w:sz w:val="21"/>
                <w:szCs w:val="21"/>
              </w:rPr>
              <w:t>列示）：</w:t>
            </w:r>
            <w:r>
              <w:rPr>
                <w:rFonts w:hint="eastAsia" w:ascii="宋体" w:hAnsi="宋体" w:eastAsia="宋体" w:cs="宋体"/>
                <w:sz w:val="21"/>
                <w:szCs w:val="21"/>
                <w:u w:val="single"/>
              </w:rPr>
              <w:t>              </w:t>
            </w:r>
            <w:r>
              <w:rPr>
                <w:rFonts w:hint="eastAsia" w:ascii="宋体" w:hAnsi="宋体" w:eastAsia="宋体" w:cs="宋体"/>
                <w:sz w:val="21"/>
                <w:szCs w:val="21"/>
              </w:rPr>
              <w:t>。</w:t>
            </w:r>
          </w:p>
        </w:tc>
      </w:tr>
    </w:tbl>
    <w:p>
      <w:pPr>
        <w:pStyle w:val="6"/>
        <w:keepNext w:val="0"/>
        <w:keepLines w:val="0"/>
        <w:widowControl/>
        <w:suppressLineNumbers w:val="0"/>
      </w:pPr>
      <w:r>
        <w:rPr>
          <w:rFonts w:hint="eastAsia" w:ascii="宋体" w:hAnsi="宋体" w:eastAsia="宋体" w:cs="宋体"/>
          <w:sz w:val="21"/>
          <w:szCs w:val="21"/>
        </w:rPr>
        <w:t>★注意：</w:t>
      </w:r>
    </w:p>
    <w:p>
      <w:pPr>
        <w:pStyle w:val="6"/>
        <w:keepNext w:val="0"/>
        <w:keepLines w:val="0"/>
        <w:widowControl/>
        <w:suppressLineNumbers w:val="0"/>
      </w:pPr>
      <w:r>
        <w:rPr>
          <w:rFonts w:hint="eastAsia" w:ascii="宋体" w:hAnsi="宋体" w:eastAsia="宋体" w:cs="宋体"/>
          <w:sz w:val="21"/>
          <w:szCs w:val="21"/>
        </w:rPr>
        <w:t>1、对节能、环境标志产品计算加分时，只依据投标文件</w:t>
      </w:r>
      <w:r>
        <w:rPr>
          <w:rStyle w:val="10"/>
          <w:rFonts w:hint="eastAsia" w:ascii="宋体" w:hAnsi="宋体" w:eastAsia="宋体" w:cs="宋体"/>
          <w:sz w:val="21"/>
          <w:szCs w:val="21"/>
        </w:rPr>
        <w:t>“四</w:t>
      </w:r>
      <w:r>
        <w:rPr>
          <w:rStyle w:val="10"/>
          <w:rFonts w:hint="default" w:ascii="Calibri" w:hAnsi="Calibri" w:eastAsia="宋体" w:cs="Calibri"/>
          <w:sz w:val="21"/>
          <w:szCs w:val="21"/>
        </w:rPr>
        <w:t>-1-</w:t>
      </w:r>
      <w:r>
        <w:rPr>
          <w:rStyle w:val="10"/>
          <w:rFonts w:hint="eastAsia" w:ascii="宋体" w:hAnsi="宋体" w:eastAsia="宋体" w:cs="宋体"/>
          <w:sz w:val="21"/>
          <w:szCs w:val="21"/>
        </w:rPr>
        <w:t>②优先类节能产品、环境标志产品加分证明材料（加分适用，若有）”。</w:t>
      </w:r>
    </w:p>
    <w:p>
      <w:pPr>
        <w:pStyle w:val="6"/>
        <w:keepNext w:val="0"/>
        <w:keepLines w:val="0"/>
        <w:widowControl/>
        <w:suppressLineNumbers w:val="0"/>
      </w:pPr>
      <w:r>
        <w:rPr>
          <w:rFonts w:hint="eastAsia" w:ascii="宋体" w:hAnsi="宋体" w:eastAsia="宋体" w:cs="宋体"/>
          <w:sz w:val="21"/>
          <w:szCs w:val="21"/>
        </w:rPr>
        <w:t>2、本表以合同包为单位，不同合同包请分别填写；同一合同包请按照其品目号顺序分别填写。</w:t>
      </w:r>
    </w:p>
    <w:p>
      <w:pPr>
        <w:pStyle w:val="6"/>
        <w:keepNext w:val="0"/>
        <w:keepLines w:val="0"/>
        <w:widowControl/>
        <w:suppressLineNumbers w:val="0"/>
      </w:pPr>
      <w:r>
        <w:rPr>
          <w:rFonts w:hint="eastAsia" w:ascii="宋体" w:hAnsi="宋体" w:eastAsia="宋体" w:cs="宋体"/>
          <w:sz w:val="21"/>
          <w:szCs w:val="21"/>
        </w:rPr>
        <w:t>3、具体统计、计算：</w:t>
      </w:r>
    </w:p>
    <w:p>
      <w:pPr>
        <w:pStyle w:val="6"/>
        <w:keepNext w:val="0"/>
        <w:keepLines w:val="0"/>
        <w:widowControl/>
        <w:suppressLineNumbers w:val="0"/>
      </w:pPr>
      <w:r>
        <w:rPr>
          <w:rFonts w:hint="eastAsia" w:ascii="宋体" w:hAnsi="宋体" w:eastAsia="宋体" w:cs="宋体"/>
          <w:sz w:val="21"/>
          <w:szCs w:val="21"/>
        </w:rPr>
        <w:t>3.1</w:t>
      </w:r>
      <w:r>
        <w:rPr>
          <w:rFonts w:hint="default" w:ascii="Calibri" w:hAnsi="Calibri" w:cs="Calibri"/>
          <w:sz w:val="21"/>
          <w:szCs w:val="21"/>
        </w:rPr>
        <w:t> </w:t>
      </w:r>
      <w:r>
        <w:rPr>
          <w:rFonts w:hint="eastAsia" w:ascii="宋体" w:hAnsi="宋体" w:eastAsia="宋体" w:cs="宋体"/>
          <w:sz w:val="21"/>
          <w:szCs w:val="21"/>
        </w:rPr>
        <w:t>若节能、环境标志产品仅是构成投标产品的部件、组件或零件，则该投标产品不享受鼓励优惠政策。同一品目中各认证证书不重复计算加分。强制类节能产品不享受加分。</w:t>
      </w:r>
    </w:p>
    <w:p>
      <w:pPr>
        <w:pStyle w:val="6"/>
        <w:keepNext w:val="0"/>
        <w:keepLines w:val="0"/>
        <w:widowControl/>
        <w:suppressLineNumbers w:val="0"/>
      </w:pPr>
      <w:r>
        <w:rPr>
          <w:rFonts w:hint="eastAsia" w:ascii="宋体" w:hAnsi="宋体" w:eastAsia="宋体" w:cs="宋体"/>
          <w:sz w:val="21"/>
          <w:szCs w:val="21"/>
        </w:rPr>
        <w:t>3.2计算结果若除不尽，可四舍五入保留到小数点后两位。</w:t>
      </w:r>
    </w:p>
    <w:p>
      <w:pPr>
        <w:pStyle w:val="6"/>
        <w:keepNext w:val="0"/>
        <w:keepLines w:val="0"/>
        <w:widowControl/>
        <w:suppressLineNumbers w:val="0"/>
      </w:pPr>
      <w:r>
        <w:rPr>
          <w:rFonts w:hint="eastAsia" w:ascii="宋体" w:hAnsi="宋体" w:eastAsia="宋体" w:cs="宋体"/>
          <w:sz w:val="21"/>
          <w:szCs w:val="21"/>
        </w:rPr>
        <w:t>3.3投标人应按照招标文件要求认真统计、计算，否则评标委员会不予认定。</w:t>
      </w:r>
    </w:p>
    <w:p>
      <w:pPr>
        <w:pStyle w:val="6"/>
        <w:keepNext w:val="0"/>
        <w:keepLines w:val="0"/>
        <w:widowControl/>
        <w:suppressLineNumbers w:val="0"/>
      </w:pPr>
      <w:r>
        <w:rPr>
          <w:rFonts w:hint="eastAsia" w:ascii="宋体" w:hAnsi="宋体" w:eastAsia="宋体" w:cs="宋体"/>
          <w:sz w:val="21"/>
          <w:szCs w:val="21"/>
        </w:rPr>
        <w:t>3.4若无节能、环境标志产品，不填写本表，否则，</w:t>
      </w:r>
      <w:r>
        <w:rPr>
          <w:rStyle w:val="10"/>
          <w:rFonts w:hint="eastAsia" w:ascii="宋体" w:hAnsi="宋体" w:eastAsia="宋体" w:cs="宋体"/>
          <w:sz w:val="21"/>
          <w:szCs w:val="21"/>
        </w:rPr>
        <w:t>视为提供虚假材料</w:t>
      </w:r>
      <w:r>
        <w:rPr>
          <w:rFonts w:hint="eastAsia" w:ascii="宋体" w:hAnsi="宋体" w:eastAsia="宋体" w:cs="宋体"/>
          <w:sz w:val="21"/>
          <w:szCs w:val="21"/>
        </w:rPr>
        <w:t>。</w:t>
      </w:r>
    </w:p>
    <w:p>
      <w:pPr>
        <w:pStyle w:val="6"/>
        <w:keepNext w:val="0"/>
        <w:keepLines w:val="0"/>
        <w:widowControl/>
        <w:suppressLineNumbers w:val="0"/>
      </w:pPr>
      <w:r>
        <w:rPr>
          <w:rFonts w:hint="eastAsia" w:ascii="宋体" w:hAnsi="宋体" w:eastAsia="宋体" w:cs="宋体"/>
          <w:sz w:val="21"/>
          <w:szCs w:val="21"/>
        </w:rPr>
        <w:t>4、纸质投标文件正本中的本表（若有）应为原件。</w:t>
      </w:r>
    </w:p>
    <w:p>
      <w:pPr>
        <w:pStyle w:val="6"/>
        <w:keepNext w:val="0"/>
        <w:keepLines w:val="0"/>
        <w:widowControl/>
        <w:suppressLineNumbers w:val="0"/>
      </w:pPr>
      <w:r>
        <w:rPr>
          <w:rFonts w:hint="eastAsia" w:ascii="宋体" w:hAnsi="宋体" w:eastAsia="宋体" w:cs="宋体"/>
          <w:sz w:val="21"/>
          <w:szCs w:val="21"/>
        </w:rPr>
        <w:t> </w:t>
      </w:r>
    </w:p>
    <w:p>
      <w:pPr>
        <w:pStyle w:val="6"/>
        <w:keepNext w:val="0"/>
        <w:keepLines w:val="0"/>
        <w:widowControl/>
        <w:suppressLineNumbers w:val="0"/>
      </w:pPr>
      <w:r>
        <w:rPr>
          <w:rFonts w:hint="eastAsia" w:ascii="宋体" w:hAnsi="宋体" w:eastAsia="宋体" w:cs="宋体"/>
          <w:sz w:val="21"/>
          <w:szCs w:val="21"/>
        </w:rPr>
        <w:t> </w:t>
      </w:r>
    </w:p>
    <w:p>
      <w:pPr>
        <w:pStyle w:val="6"/>
        <w:keepNext w:val="0"/>
        <w:keepLines w:val="0"/>
        <w:widowControl/>
        <w:suppressLineNumbers w:val="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6"/>
        <w:keepNext w:val="0"/>
        <w:keepLines w:val="0"/>
        <w:widowControl/>
        <w:suppressLineNumbers w:val="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6"/>
        <w:keepNext w:val="0"/>
        <w:keepLines w:val="0"/>
        <w:widowControl/>
        <w:suppressLineNumbers w:val="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6"/>
        <w:keepNext w:val="0"/>
        <w:keepLines w:val="0"/>
        <w:widowControl/>
        <w:suppressLineNumbers w:val="0"/>
      </w:pPr>
      <w:r>
        <w:rPr>
          <w:rStyle w:val="10"/>
          <w:rFonts w:hint="eastAsia" w:ascii="宋体" w:hAnsi="宋体" w:eastAsia="宋体" w:cs="宋体"/>
          <w:sz w:val="21"/>
          <w:szCs w:val="21"/>
        </w:rPr>
        <w:t> </w:t>
      </w:r>
    </w:p>
    <w:p>
      <w:pPr>
        <w:pStyle w:val="6"/>
        <w:keepNext w:val="0"/>
        <w:keepLines w:val="0"/>
        <w:widowControl/>
        <w:suppressLineNumbers w:val="0"/>
      </w:pPr>
      <w:r>
        <w:rPr>
          <w:rStyle w:val="10"/>
          <w:rFonts w:hint="eastAsia" w:ascii="宋体" w:hAnsi="宋体" w:eastAsia="宋体" w:cs="宋体"/>
          <w:sz w:val="21"/>
          <w:szCs w:val="21"/>
        </w:rPr>
        <w:t> </w:t>
      </w:r>
    </w:p>
    <w:p>
      <w:pPr>
        <w:pStyle w:val="6"/>
        <w:keepNext w:val="0"/>
        <w:keepLines w:val="0"/>
        <w:widowControl/>
        <w:suppressLineNumbers w:val="0"/>
        <w:jc w:val="center"/>
      </w:pPr>
      <w:r>
        <w:rPr>
          <w:rStyle w:val="10"/>
          <w:rFonts w:hint="default" w:ascii="Calibri" w:hAnsi="Calibri" w:cs="Calibri"/>
          <w:sz w:val="21"/>
          <w:szCs w:val="21"/>
        </w:rPr>
        <w:br w:type="textWrapping"/>
      </w:r>
      <w:r>
        <w:rPr>
          <w:rStyle w:val="10"/>
          <w:rFonts w:hint="eastAsia" w:ascii="宋体" w:hAnsi="宋体" w:eastAsia="宋体" w:cs="宋体"/>
          <w:sz w:val="21"/>
          <w:szCs w:val="21"/>
        </w:rPr>
        <w:t>四-1-②优先类节能产品、环境标志产品证明材料（加分适用，若有）</w:t>
      </w:r>
    </w:p>
    <w:p>
      <w:pPr>
        <w:pStyle w:val="6"/>
        <w:keepNext w:val="0"/>
        <w:keepLines w:val="0"/>
        <w:widowControl/>
        <w:suppressLineNumbers w:val="0"/>
      </w:pPr>
      <w:r>
        <w:rPr>
          <w:rStyle w:val="10"/>
          <w:rFonts w:hint="eastAsia" w:ascii="宋体" w:hAnsi="宋体" w:eastAsia="宋体" w:cs="宋体"/>
          <w:sz w:val="21"/>
          <w:szCs w:val="21"/>
        </w:rPr>
        <w:t> </w:t>
      </w:r>
    </w:p>
    <w:p>
      <w:pPr>
        <w:pStyle w:val="6"/>
        <w:keepNext w:val="0"/>
        <w:keepLines w:val="0"/>
        <w:widowControl/>
        <w:suppressLineNumbers w:val="0"/>
      </w:pPr>
      <w:r>
        <w:rPr>
          <w:rStyle w:val="10"/>
          <w:rFonts w:hint="eastAsia" w:ascii="宋体" w:hAnsi="宋体" w:eastAsia="宋体" w:cs="宋体"/>
          <w:sz w:val="21"/>
          <w:szCs w:val="21"/>
        </w:rPr>
        <w:t> </w:t>
      </w:r>
    </w:p>
    <w:p>
      <w:pPr>
        <w:pStyle w:val="6"/>
        <w:keepNext w:val="0"/>
        <w:keepLines w:val="0"/>
        <w:widowControl/>
        <w:suppressLineNumbers w:val="0"/>
        <w:jc w:val="center"/>
      </w:pPr>
      <w:r>
        <w:rPr>
          <w:rFonts w:hint="eastAsia" w:ascii="宋体" w:hAnsi="宋体" w:eastAsia="宋体" w:cs="宋体"/>
          <w:sz w:val="21"/>
          <w:szCs w:val="21"/>
        </w:rPr>
        <w:t>编制说明</w:t>
      </w:r>
    </w:p>
    <w:p>
      <w:pPr>
        <w:pStyle w:val="6"/>
        <w:keepNext w:val="0"/>
        <w:keepLines w:val="0"/>
        <w:widowControl/>
        <w:suppressLineNumbers w:val="0"/>
        <w:jc w:val="center"/>
      </w:pPr>
      <w:r>
        <w:rPr>
          <w:rFonts w:hint="eastAsia" w:ascii="宋体" w:hAnsi="宋体" w:eastAsia="宋体" w:cs="宋体"/>
          <w:sz w:val="21"/>
          <w:szCs w:val="21"/>
        </w:rPr>
        <w:t> </w:t>
      </w:r>
    </w:p>
    <w:p>
      <w:pPr>
        <w:pStyle w:val="6"/>
        <w:keepNext w:val="0"/>
        <w:keepLines w:val="0"/>
        <w:widowControl/>
        <w:suppressLineNumbers w:val="0"/>
        <w:ind w:left="0" w:firstLine="420"/>
      </w:pPr>
      <w:r>
        <w:rPr>
          <w:rFonts w:hint="eastAsia" w:ascii="宋体" w:hAnsi="宋体" w:eastAsia="宋体" w:cs="宋体"/>
          <w:sz w:val="21"/>
          <w:szCs w:val="21"/>
        </w:rPr>
        <w:t>除招标文件另有规定外，投标人应按照招标文件第二章（表1）第</w:t>
      </w:r>
      <w:r>
        <w:rPr>
          <w:rFonts w:hint="default" w:ascii="Calibri" w:hAnsi="Calibri" w:eastAsia="宋体" w:cs="Calibri"/>
          <w:sz w:val="21"/>
          <w:szCs w:val="21"/>
        </w:rPr>
        <w:t>13</w:t>
      </w:r>
      <w:r>
        <w:rPr>
          <w:rFonts w:hint="eastAsia" w:ascii="宋体" w:hAnsi="宋体" w:eastAsia="宋体" w:cs="宋体"/>
          <w:sz w:val="21"/>
          <w:szCs w:val="21"/>
        </w:rPr>
        <w:t>项规定提供相应证明材料。</w:t>
      </w:r>
    </w:p>
    <w:p>
      <w:pPr>
        <w:pStyle w:val="6"/>
        <w:keepNext w:val="0"/>
        <w:keepLines w:val="0"/>
        <w:widowControl/>
        <w:suppressLineNumbers w:val="0"/>
      </w:pPr>
      <w:r>
        <w:rPr>
          <w:rFonts w:hint="eastAsia" w:ascii="宋体" w:hAnsi="宋体" w:eastAsia="宋体" w:cs="宋体"/>
          <w:sz w:val="21"/>
          <w:szCs w:val="21"/>
        </w:rPr>
        <w:t> </w:t>
      </w:r>
    </w:p>
    <w:p>
      <w:pPr>
        <w:pStyle w:val="6"/>
        <w:keepNext w:val="0"/>
        <w:keepLines w:val="0"/>
        <w:widowControl/>
        <w:suppressLineNumbers w:val="0"/>
      </w:pPr>
      <w:r>
        <w:rPr>
          <w:rFonts w:hint="eastAsia" w:ascii="宋体" w:hAnsi="宋体" w:eastAsia="宋体" w:cs="宋体"/>
          <w:sz w:val="21"/>
          <w:szCs w:val="21"/>
        </w:rPr>
        <w:t> </w:t>
      </w:r>
    </w:p>
    <w:p>
      <w:pPr>
        <w:pStyle w:val="6"/>
        <w:keepNext w:val="0"/>
        <w:keepLines w:val="0"/>
        <w:widowControl/>
        <w:suppressLineNumbers w:val="0"/>
        <w:jc w:val="center"/>
      </w:pPr>
      <w:r>
        <w:rPr>
          <w:rFonts w:hint="default" w:ascii="Calibri" w:hAnsi="Calibri" w:cs="Calibri"/>
          <w:sz w:val="21"/>
          <w:szCs w:val="21"/>
        </w:rPr>
        <w:br w:type="textWrapping"/>
      </w:r>
      <w:r>
        <w:rPr>
          <w:rFonts w:hint="eastAsia" w:ascii="宋体" w:hAnsi="宋体" w:eastAsia="宋体" w:cs="宋体"/>
          <w:sz w:val="21"/>
          <w:szCs w:val="21"/>
        </w:rPr>
        <w:t>四</w:t>
      </w:r>
      <w:r>
        <w:rPr>
          <w:rStyle w:val="10"/>
          <w:rFonts w:hint="eastAsia" w:ascii="宋体" w:hAnsi="宋体" w:eastAsia="宋体" w:cs="宋体"/>
          <w:sz w:val="21"/>
          <w:szCs w:val="21"/>
        </w:rPr>
        <w:t>-2招标文件规定的其他加分证明材料（若有）</w:t>
      </w:r>
    </w:p>
    <w:p>
      <w:pPr>
        <w:pStyle w:val="6"/>
        <w:keepNext w:val="0"/>
        <w:keepLines w:val="0"/>
        <w:widowControl/>
        <w:suppressLineNumbers w:val="0"/>
      </w:pPr>
      <w:r>
        <w:rPr>
          <w:rFonts w:hint="eastAsia" w:ascii="宋体" w:hAnsi="宋体" w:eastAsia="宋体" w:cs="宋体"/>
          <w:sz w:val="21"/>
          <w:szCs w:val="21"/>
        </w:rPr>
        <w:t> </w:t>
      </w:r>
    </w:p>
    <w:p>
      <w:pPr>
        <w:pStyle w:val="6"/>
        <w:keepNext w:val="0"/>
        <w:keepLines w:val="0"/>
        <w:widowControl/>
        <w:suppressLineNumbers w:val="0"/>
      </w:pPr>
      <w:r>
        <w:rPr>
          <w:rFonts w:hint="eastAsia" w:ascii="宋体" w:hAnsi="宋体" w:eastAsia="宋体" w:cs="宋体"/>
          <w:sz w:val="21"/>
          <w:szCs w:val="21"/>
        </w:rPr>
        <w:t> </w:t>
      </w:r>
    </w:p>
    <w:p>
      <w:pPr>
        <w:pStyle w:val="6"/>
        <w:keepNext w:val="0"/>
        <w:keepLines w:val="0"/>
        <w:widowControl/>
        <w:suppressLineNumbers w:val="0"/>
        <w:jc w:val="center"/>
      </w:pPr>
      <w:r>
        <w:rPr>
          <w:rFonts w:hint="eastAsia" w:ascii="宋体" w:hAnsi="宋体" w:eastAsia="宋体" w:cs="宋体"/>
          <w:sz w:val="21"/>
          <w:szCs w:val="21"/>
        </w:rPr>
        <w:t>编制说明</w:t>
      </w:r>
    </w:p>
    <w:p>
      <w:pPr>
        <w:pStyle w:val="6"/>
        <w:keepNext w:val="0"/>
        <w:keepLines w:val="0"/>
        <w:widowControl/>
        <w:suppressLineNumbers w:val="0"/>
        <w:jc w:val="center"/>
      </w:pPr>
      <w:r>
        <w:rPr>
          <w:rFonts w:hint="eastAsia" w:ascii="宋体" w:hAnsi="宋体" w:eastAsia="宋体" w:cs="宋体"/>
          <w:sz w:val="21"/>
          <w:szCs w:val="21"/>
        </w:rPr>
        <w:t> </w:t>
      </w:r>
    </w:p>
    <w:p>
      <w:pPr>
        <w:pStyle w:val="6"/>
        <w:keepNext w:val="0"/>
        <w:keepLines w:val="0"/>
        <w:widowControl/>
        <w:suppressLineNumbers w:val="0"/>
        <w:ind w:left="0" w:firstLine="420"/>
      </w:pPr>
      <w:r>
        <w:rPr>
          <w:rFonts w:hint="eastAsia" w:ascii="宋体" w:hAnsi="宋体" w:eastAsia="宋体" w:cs="宋体"/>
          <w:sz w:val="21"/>
          <w:szCs w:val="21"/>
        </w:rPr>
        <w:t>若投标人可享受招标文件规定的除</w:t>
      </w:r>
      <w:r>
        <w:rPr>
          <w:rStyle w:val="10"/>
          <w:rFonts w:hint="eastAsia" w:ascii="宋体" w:hAnsi="宋体" w:eastAsia="宋体" w:cs="宋体"/>
          <w:sz w:val="21"/>
          <w:szCs w:val="21"/>
        </w:rPr>
        <w:t>“优先类节能产品、环境标志产品加分”</w:t>
      </w:r>
      <w:r>
        <w:rPr>
          <w:rFonts w:hint="eastAsia" w:ascii="宋体" w:hAnsi="宋体" w:eastAsia="宋体" w:cs="宋体"/>
          <w:sz w:val="21"/>
          <w:szCs w:val="21"/>
        </w:rPr>
        <w:t>外的其他加分优惠，则投标人应按照招标文件要求提供相应证明材料。</w:t>
      </w:r>
    </w:p>
    <w:p>
      <w:pPr>
        <w:pStyle w:val="6"/>
        <w:keepNext w:val="0"/>
        <w:keepLines w:val="0"/>
        <w:widowControl/>
        <w:suppressLineNumbers w:val="0"/>
      </w:pPr>
      <w:r>
        <w:rPr>
          <w:rFonts w:hint="eastAsia" w:ascii="宋体" w:hAnsi="宋体" w:eastAsia="宋体" w:cs="宋体"/>
          <w:sz w:val="21"/>
          <w:szCs w:val="21"/>
        </w:rPr>
        <w:t> </w:t>
      </w:r>
    </w:p>
    <w:p>
      <w:pPr>
        <w:pStyle w:val="6"/>
        <w:keepNext w:val="0"/>
        <w:keepLines w:val="0"/>
        <w:widowControl/>
        <w:suppressLineNumbers w:val="0"/>
      </w:pPr>
      <w:r>
        <w:rPr>
          <w:rFonts w:hint="eastAsia" w:ascii="宋体" w:hAnsi="宋体" w:eastAsia="宋体" w:cs="宋体"/>
          <w:sz w:val="21"/>
          <w:szCs w:val="21"/>
        </w:rPr>
        <w:t> </w:t>
      </w:r>
    </w:p>
    <w:p>
      <w:pPr>
        <w:pStyle w:val="6"/>
        <w:keepNext w:val="0"/>
        <w:keepLines w:val="0"/>
        <w:widowControl/>
        <w:suppressLineNumbers w:val="0"/>
      </w:pPr>
    </w:p>
    <w:p>
      <w:pPr>
        <w:pStyle w:val="6"/>
        <w:keepNext w:val="0"/>
        <w:keepLines w:val="0"/>
        <w:widowControl/>
        <w:suppressLineNumbers w:val="0"/>
      </w:pPr>
      <w:r>
        <w:rPr>
          <w:rFonts w:hint="eastAsia" w:ascii="宋体" w:hAnsi="宋体" w:eastAsia="宋体" w:cs="宋体"/>
          <w:sz w:val="21"/>
          <w:szCs w:val="21"/>
        </w:rPr>
        <w:t> </w:t>
      </w:r>
    </w:p>
    <w:p>
      <w:pPr>
        <w:pStyle w:val="6"/>
        <w:keepNext w:val="0"/>
        <w:keepLines w:val="0"/>
        <w:widowControl/>
        <w:suppressLineNumbers w:val="0"/>
      </w:pPr>
      <w:r>
        <w:rPr>
          <w:rFonts w:hint="eastAsia" w:ascii="宋体" w:hAnsi="宋体" w:eastAsia="宋体" w:cs="宋体"/>
          <w:sz w:val="21"/>
          <w:szCs w:val="21"/>
        </w:rPr>
        <w:t> </w:t>
      </w:r>
    </w:p>
    <w:p>
      <w:pPr>
        <w:pStyle w:val="6"/>
        <w:keepNext w:val="0"/>
        <w:keepLines w:val="0"/>
        <w:widowControl/>
        <w:suppressLineNumbers w:val="0"/>
        <w:jc w:val="center"/>
      </w:pPr>
      <w:r>
        <w:rPr>
          <w:rStyle w:val="10"/>
          <w:rFonts w:hint="eastAsia" w:ascii="宋体" w:hAnsi="宋体" w:eastAsia="宋体" w:cs="宋体"/>
          <w:sz w:val="28"/>
          <w:szCs w:val="28"/>
        </w:rPr>
        <w:t>封面格式</w:t>
      </w:r>
    </w:p>
    <w:p>
      <w:pPr>
        <w:pStyle w:val="6"/>
        <w:keepNext w:val="0"/>
        <w:keepLines w:val="0"/>
        <w:widowControl/>
        <w:suppressLineNumbers w:val="0"/>
      </w:pPr>
      <w:r>
        <w:rPr>
          <w:rFonts w:hint="eastAsia" w:ascii="宋体" w:hAnsi="宋体" w:eastAsia="宋体" w:cs="宋体"/>
          <w:sz w:val="36"/>
          <w:szCs w:val="36"/>
        </w:rPr>
        <w:t> </w:t>
      </w:r>
    </w:p>
    <w:p>
      <w:pPr>
        <w:pStyle w:val="6"/>
        <w:keepNext w:val="0"/>
        <w:keepLines w:val="0"/>
        <w:widowControl/>
        <w:suppressLineNumbers w:val="0"/>
      </w:pPr>
      <w:r>
        <w:rPr>
          <w:rFonts w:hint="eastAsia" w:ascii="宋体" w:hAnsi="宋体" w:eastAsia="宋体" w:cs="宋体"/>
          <w:sz w:val="36"/>
          <w:szCs w:val="36"/>
        </w:rPr>
        <w:t> </w:t>
      </w:r>
    </w:p>
    <w:p>
      <w:pPr>
        <w:pStyle w:val="6"/>
        <w:keepNext w:val="0"/>
        <w:keepLines w:val="0"/>
        <w:widowControl/>
        <w:suppressLineNumbers w:val="0"/>
      </w:pPr>
      <w:r>
        <w:rPr>
          <w:rFonts w:hint="eastAsia" w:ascii="宋体" w:hAnsi="宋体" w:eastAsia="宋体" w:cs="宋体"/>
          <w:sz w:val="36"/>
          <w:szCs w:val="36"/>
        </w:rPr>
        <w:t> </w:t>
      </w:r>
    </w:p>
    <w:p>
      <w:pPr>
        <w:pStyle w:val="6"/>
        <w:keepNext w:val="0"/>
        <w:keepLines w:val="0"/>
        <w:widowControl/>
        <w:suppressLineNumbers w:val="0"/>
        <w:jc w:val="center"/>
      </w:pPr>
      <w:r>
        <w:rPr>
          <w:rStyle w:val="10"/>
          <w:rFonts w:hint="eastAsia" w:ascii="宋体" w:hAnsi="宋体" w:eastAsia="宋体" w:cs="宋体"/>
          <w:sz w:val="48"/>
          <w:szCs w:val="48"/>
        </w:rPr>
        <w:t>福建省政府采购投标文件</w:t>
      </w:r>
    </w:p>
    <w:p>
      <w:pPr>
        <w:pStyle w:val="6"/>
        <w:keepNext w:val="0"/>
        <w:keepLines w:val="0"/>
        <w:widowControl/>
        <w:suppressLineNumbers w:val="0"/>
        <w:jc w:val="center"/>
      </w:pPr>
      <w:r>
        <w:rPr>
          <w:rStyle w:val="10"/>
          <w:rFonts w:hint="eastAsia" w:ascii="宋体" w:hAnsi="宋体" w:eastAsia="宋体" w:cs="宋体"/>
          <w:sz w:val="48"/>
          <w:szCs w:val="48"/>
        </w:rPr>
        <w:t>（技术商务部分）</w:t>
      </w:r>
    </w:p>
    <w:p>
      <w:pPr>
        <w:pStyle w:val="6"/>
        <w:keepNext w:val="0"/>
        <w:keepLines w:val="0"/>
        <w:widowControl/>
        <w:suppressLineNumbers w:val="0"/>
      </w:pPr>
      <w:r>
        <w:rPr>
          <w:rFonts w:hint="eastAsia" w:ascii="宋体" w:hAnsi="宋体" w:eastAsia="宋体" w:cs="宋体"/>
          <w:sz w:val="36"/>
          <w:szCs w:val="36"/>
        </w:rPr>
        <w:t> </w:t>
      </w:r>
    </w:p>
    <w:p>
      <w:pPr>
        <w:pStyle w:val="6"/>
        <w:keepNext w:val="0"/>
        <w:keepLines w:val="0"/>
        <w:widowControl/>
        <w:suppressLineNumbers w:val="0"/>
        <w:jc w:val="center"/>
      </w:pPr>
      <w:r>
        <w:rPr>
          <w:rStyle w:val="10"/>
          <w:rFonts w:hint="eastAsia" w:ascii="宋体" w:hAnsi="宋体" w:eastAsia="宋体" w:cs="宋体"/>
          <w:sz w:val="36"/>
          <w:szCs w:val="36"/>
          <w:u w:val="single"/>
        </w:rPr>
        <w:t>（填写正本或副本）</w:t>
      </w:r>
    </w:p>
    <w:p>
      <w:pPr>
        <w:pStyle w:val="6"/>
        <w:keepNext w:val="0"/>
        <w:keepLines w:val="0"/>
        <w:widowControl/>
        <w:suppressLineNumbers w:val="0"/>
      </w:pPr>
      <w:r>
        <w:rPr>
          <w:rFonts w:hint="eastAsia" w:ascii="宋体" w:hAnsi="宋体" w:eastAsia="宋体" w:cs="宋体"/>
          <w:sz w:val="36"/>
          <w:szCs w:val="36"/>
        </w:rPr>
        <w:t> </w:t>
      </w:r>
    </w:p>
    <w:p>
      <w:pPr>
        <w:pStyle w:val="6"/>
        <w:keepNext w:val="0"/>
        <w:keepLines w:val="0"/>
        <w:widowControl/>
        <w:suppressLineNumbers w:val="0"/>
        <w:ind w:left="0" w:firstLine="1920"/>
      </w:pPr>
      <w:r>
        <w:rPr>
          <w:rStyle w:val="10"/>
          <w:rFonts w:hint="eastAsia" w:ascii="宋体" w:hAnsi="宋体" w:eastAsia="宋体" w:cs="宋体"/>
          <w:sz w:val="31"/>
          <w:szCs w:val="31"/>
        </w:rPr>
        <w:t>项目名称：</w:t>
      </w:r>
      <w:r>
        <w:rPr>
          <w:rStyle w:val="10"/>
          <w:rFonts w:hint="eastAsia" w:ascii="宋体" w:hAnsi="宋体" w:eastAsia="宋体" w:cs="宋体"/>
          <w:sz w:val="31"/>
          <w:szCs w:val="31"/>
          <w:u w:val="single"/>
        </w:rPr>
        <w:t>（由投标人填写）</w:t>
      </w:r>
    </w:p>
    <w:p>
      <w:pPr>
        <w:pStyle w:val="6"/>
        <w:keepNext w:val="0"/>
        <w:keepLines w:val="0"/>
        <w:widowControl/>
        <w:suppressLineNumbers w:val="0"/>
        <w:ind w:left="0" w:firstLine="1920"/>
      </w:pPr>
      <w:r>
        <w:rPr>
          <w:rStyle w:val="10"/>
          <w:rFonts w:hint="eastAsia" w:ascii="宋体" w:hAnsi="宋体" w:eastAsia="宋体" w:cs="宋体"/>
          <w:sz w:val="31"/>
          <w:szCs w:val="31"/>
        </w:rPr>
        <w:t>备案编号：</w:t>
      </w:r>
      <w:r>
        <w:rPr>
          <w:rStyle w:val="10"/>
          <w:rFonts w:hint="eastAsia" w:ascii="宋体" w:hAnsi="宋体" w:eastAsia="宋体" w:cs="宋体"/>
          <w:sz w:val="31"/>
          <w:szCs w:val="31"/>
          <w:u w:val="single"/>
        </w:rPr>
        <w:t>（由投标人填写）</w:t>
      </w:r>
    </w:p>
    <w:p>
      <w:pPr>
        <w:pStyle w:val="6"/>
        <w:keepNext w:val="0"/>
        <w:keepLines w:val="0"/>
        <w:widowControl/>
        <w:suppressLineNumbers w:val="0"/>
        <w:ind w:left="0" w:firstLine="1920"/>
      </w:pPr>
      <w:r>
        <w:rPr>
          <w:rStyle w:val="10"/>
          <w:rFonts w:hint="eastAsia" w:ascii="宋体" w:hAnsi="宋体" w:eastAsia="宋体" w:cs="宋体"/>
          <w:sz w:val="31"/>
          <w:szCs w:val="31"/>
        </w:rPr>
        <w:t>招标编号：</w:t>
      </w:r>
      <w:r>
        <w:rPr>
          <w:rStyle w:val="10"/>
          <w:rFonts w:hint="eastAsia" w:ascii="宋体" w:hAnsi="宋体" w:eastAsia="宋体" w:cs="宋体"/>
          <w:sz w:val="31"/>
          <w:szCs w:val="31"/>
          <w:u w:val="single"/>
        </w:rPr>
        <w:t>（由投标人填写）</w:t>
      </w:r>
    </w:p>
    <w:p>
      <w:pPr>
        <w:pStyle w:val="6"/>
        <w:keepNext w:val="0"/>
        <w:keepLines w:val="0"/>
        <w:widowControl/>
        <w:suppressLineNumbers w:val="0"/>
        <w:ind w:left="0" w:firstLine="1920"/>
      </w:pPr>
      <w:r>
        <w:rPr>
          <w:rStyle w:val="10"/>
          <w:rFonts w:hint="eastAsia" w:ascii="宋体" w:hAnsi="宋体" w:eastAsia="宋体" w:cs="宋体"/>
          <w:sz w:val="31"/>
          <w:szCs w:val="31"/>
        </w:rPr>
        <w:t>所投合同包：</w:t>
      </w:r>
      <w:r>
        <w:rPr>
          <w:rStyle w:val="10"/>
          <w:rFonts w:hint="eastAsia" w:ascii="宋体" w:hAnsi="宋体" w:eastAsia="宋体" w:cs="宋体"/>
          <w:sz w:val="31"/>
          <w:szCs w:val="31"/>
          <w:u w:val="single"/>
        </w:rPr>
        <w:t>（由投标人填写）</w:t>
      </w:r>
    </w:p>
    <w:p>
      <w:pPr>
        <w:pStyle w:val="6"/>
        <w:keepNext w:val="0"/>
        <w:keepLines w:val="0"/>
        <w:widowControl/>
        <w:suppressLineNumbers w:val="0"/>
      </w:pPr>
      <w:r>
        <w:rPr>
          <w:rFonts w:hint="eastAsia" w:ascii="宋体" w:hAnsi="宋体" w:eastAsia="宋体" w:cs="宋体"/>
          <w:sz w:val="36"/>
          <w:szCs w:val="36"/>
        </w:rPr>
        <w:t> </w:t>
      </w:r>
    </w:p>
    <w:p>
      <w:pPr>
        <w:pStyle w:val="6"/>
        <w:keepNext w:val="0"/>
        <w:keepLines w:val="0"/>
        <w:widowControl/>
        <w:suppressLineNumbers w:val="0"/>
      </w:pPr>
      <w:r>
        <w:rPr>
          <w:rFonts w:hint="eastAsia" w:ascii="宋体" w:hAnsi="宋体" w:eastAsia="宋体" w:cs="宋体"/>
          <w:sz w:val="36"/>
          <w:szCs w:val="36"/>
        </w:rPr>
        <w:t> </w:t>
      </w:r>
    </w:p>
    <w:p>
      <w:pPr>
        <w:pStyle w:val="6"/>
        <w:keepNext w:val="0"/>
        <w:keepLines w:val="0"/>
        <w:widowControl/>
        <w:suppressLineNumbers w:val="0"/>
      </w:pPr>
      <w:r>
        <w:rPr>
          <w:rFonts w:hint="eastAsia" w:ascii="宋体" w:hAnsi="宋体" w:eastAsia="宋体" w:cs="宋体"/>
          <w:sz w:val="36"/>
          <w:szCs w:val="36"/>
        </w:rPr>
        <w:t> </w:t>
      </w:r>
    </w:p>
    <w:p>
      <w:pPr>
        <w:pStyle w:val="6"/>
        <w:keepNext w:val="0"/>
        <w:keepLines w:val="0"/>
        <w:widowControl/>
        <w:suppressLineNumbers w:val="0"/>
      </w:pPr>
      <w:r>
        <w:rPr>
          <w:rFonts w:hint="eastAsia" w:ascii="宋体" w:hAnsi="宋体" w:eastAsia="宋体" w:cs="宋体"/>
          <w:sz w:val="36"/>
          <w:szCs w:val="36"/>
        </w:rPr>
        <w:t> </w:t>
      </w:r>
    </w:p>
    <w:p>
      <w:pPr>
        <w:pStyle w:val="6"/>
        <w:keepNext w:val="0"/>
        <w:keepLines w:val="0"/>
        <w:widowControl/>
        <w:suppressLineNumbers w:val="0"/>
        <w:jc w:val="center"/>
      </w:pPr>
      <w:r>
        <w:rPr>
          <w:rStyle w:val="10"/>
          <w:rFonts w:hint="eastAsia" w:ascii="宋体" w:hAnsi="宋体" w:eastAsia="宋体" w:cs="宋体"/>
          <w:sz w:val="31"/>
          <w:szCs w:val="31"/>
        </w:rPr>
        <w:t>投标人：</w:t>
      </w:r>
      <w:r>
        <w:rPr>
          <w:rStyle w:val="10"/>
          <w:rFonts w:hint="eastAsia" w:ascii="宋体" w:hAnsi="宋体" w:eastAsia="宋体" w:cs="宋体"/>
          <w:sz w:val="31"/>
          <w:szCs w:val="31"/>
          <w:u w:val="single"/>
        </w:rPr>
        <w:t>（填写“全称”）</w:t>
      </w:r>
    </w:p>
    <w:p>
      <w:pPr>
        <w:pStyle w:val="6"/>
        <w:keepNext w:val="0"/>
        <w:keepLines w:val="0"/>
        <w:widowControl/>
        <w:suppressLineNumbers w:val="0"/>
        <w:jc w:val="center"/>
      </w:pPr>
      <w:r>
        <w:rPr>
          <w:rStyle w:val="10"/>
          <w:rFonts w:hint="eastAsia" w:ascii="宋体" w:hAnsi="宋体" w:eastAsia="宋体" w:cs="宋体"/>
          <w:sz w:val="31"/>
          <w:szCs w:val="31"/>
          <w:u w:val="single"/>
        </w:rPr>
        <w:t>（由投标人填写）</w:t>
      </w:r>
      <w:r>
        <w:rPr>
          <w:rStyle w:val="10"/>
          <w:rFonts w:hint="eastAsia" w:ascii="宋体" w:hAnsi="宋体" w:eastAsia="宋体" w:cs="宋体"/>
          <w:sz w:val="31"/>
          <w:szCs w:val="31"/>
        </w:rPr>
        <w:t>年</w:t>
      </w:r>
      <w:r>
        <w:rPr>
          <w:rStyle w:val="10"/>
          <w:rFonts w:hint="eastAsia" w:ascii="宋体" w:hAnsi="宋体" w:eastAsia="宋体" w:cs="宋体"/>
          <w:sz w:val="31"/>
          <w:szCs w:val="31"/>
          <w:u w:val="single"/>
        </w:rPr>
        <w:t>（由投标人填写）</w:t>
      </w:r>
      <w:r>
        <w:rPr>
          <w:rStyle w:val="10"/>
          <w:rFonts w:hint="eastAsia" w:ascii="宋体" w:hAnsi="宋体" w:eastAsia="宋体" w:cs="宋体"/>
          <w:sz w:val="31"/>
          <w:szCs w:val="31"/>
        </w:rPr>
        <w:t>月</w:t>
      </w:r>
    </w:p>
    <w:p>
      <w:pPr>
        <w:pStyle w:val="6"/>
        <w:keepNext w:val="0"/>
        <w:keepLines w:val="0"/>
        <w:widowControl/>
        <w:suppressLineNumbers w:val="0"/>
      </w:pPr>
      <w:r>
        <w:rPr>
          <w:rFonts w:hint="eastAsia" w:ascii="宋体" w:hAnsi="宋体" w:eastAsia="宋体" w:cs="宋体"/>
          <w:sz w:val="21"/>
          <w:szCs w:val="21"/>
        </w:rPr>
        <w:t> </w:t>
      </w:r>
    </w:p>
    <w:p>
      <w:pPr>
        <w:pStyle w:val="6"/>
        <w:keepNext w:val="0"/>
        <w:keepLines w:val="0"/>
        <w:widowControl/>
        <w:suppressLineNumbers w:val="0"/>
      </w:pPr>
      <w:r>
        <w:rPr>
          <w:rFonts w:hint="eastAsia" w:ascii="宋体" w:hAnsi="宋体" w:eastAsia="宋体" w:cs="宋体"/>
          <w:sz w:val="21"/>
          <w:szCs w:val="21"/>
        </w:rPr>
        <w:t> </w:t>
      </w:r>
    </w:p>
    <w:p>
      <w:pPr>
        <w:pStyle w:val="6"/>
        <w:keepNext w:val="0"/>
        <w:keepLines w:val="0"/>
        <w:widowControl/>
        <w:suppressLineNumbers w:val="0"/>
        <w:jc w:val="center"/>
      </w:pPr>
      <w:r>
        <w:rPr>
          <w:rFonts w:hint="default" w:ascii="Calibri" w:hAnsi="Calibri" w:cs="Calibri"/>
          <w:sz w:val="21"/>
          <w:szCs w:val="21"/>
        </w:rPr>
        <w:br w:type="textWrapping"/>
      </w:r>
      <w:r>
        <w:rPr>
          <w:rStyle w:val="10"/>
          <w:rFonts w:hint="eastAsia" w:ascii="宋体" w:hAnsi="宋体" w:eastAsia="宋体" w:cs="宋体"/>
          <w:sz w:val="28"/>
          <w:szCs w:val="28"/>
        </w:rPr>
        <w:t>索引</w:t>
      </w:r>
    </w:p>
    <w:p>
      <w:pPr>
        <w:pStyle w:val="6"/>
        <w:keepNext w:val="0"/>
        <w:keepLines w:val="0"/>
        <w:widowControl/>
        <w:suppressLineNumbers w:val="0"/>
      </w:pPr>
      <w:r>
        <w:rPr>
          <w:rFonts w:hint="eastAsia" w:ascii="宋体" w:hAnsi="宋体" w:eastAsia="宋体" w:cs="宋体"/>
          <w:sz w:val="28"/>
          <w:szCs w:val="28"/>
        </w:rPr>
        <w:t>一、标的说明一览表</w:t>
      </w:r>
    </w:p>
    <w:p>
      <w:pPr>
        <w:pStyle w:val="6"/>
        <w:keepNext w:val="0"/>
        <w:keepLines w:val="0"/>
        <w:widowControl/>
        <w:suppressLineNumbers w:val="0"/>
      </w:pPr>
      <w:r>
        <w:rPr>
          <w:rFonts w:hint="eastAsia" w:ascii="宋体" w:hAnsi="宋体" w:eastAsia="宋体" w:cs="宋体"/>
          <w:sz w:val="28"/>
          <w:szCs w:val="28"/>
        </w:rPr>
        <w:t>二、技术和服务要求响应表</w:t>
      </w:r>
    </w:p>
    <w:p>
      <w:pPr>
        <w:pStyle w:val="6"/>
        <w:keepNext w:val="0"/>
        <w:keepLines w:val="0"/>
        <w:widowControl/>
        <w:suppressLineNumbers w:val="0"/>
      </w:pPr>
      <w:r>
        <w:rPr>
          <w:rFonts w:hint="eastAsia" w:ascii="宋体" w:hAnsi="宋体" w:eastAsia="宋体" w:cs="宋体"/>
          <w:sz w:val="28"/>
          <w:szCs w:val="28"/>
        </w:rPr>
        <w:t>三、商务条件响应表</w:t>
      </w:r>
    </w:p>
    <w:p>
      <w:pPr>
        <w:pStyle w:val="6"/>
        <w:keepNext w:val="0"/>
        <w:keepLines w:val="0"/>
        <w:widowControl/>
        <w:suppressLineNumbers w:val="0"/>
      </w:pPr>
      <w:r>
        <w:rPr>
          <w:rFonts w:hint="eastAsia" w:ascii="宋体" w:hAnsi="宋体" w:eastAsia="宋体" w:cs="宋体"/>
          <w:sz w:val="28"/>
          <w:szCs w:val="28"/>
        </w:rPr>
        <w:t>四、投标人提交的其他资料（若有）</w:t>
      </w:r>
    </w:p>
    <w:p>
      <w:pPr>
        <w:pStyle w:val="6"/>
        <w:keepNext w:val="0"/>
        <w:keepLines w:val="0"/>
        <w:widowControl/>
        <w:suppressLineNumbers w:val="0"/>
      </w:pPr>
      <w:r>
        <w:rPr>
          <w:rFonts w:hint="eastAsia" w:ascii="宋体" w:hAnsi="宋体" w:eastAsia="宋体" w:cs="宋体"/>
          <w:sz w:val="21"/>
          <w:szCs w:val="21"/>
        </w:rPr>
        <w:t> </w:t>
      </w:r>
    </w:p>
    <w:p>
      <w:pPr>
        <w:pStyle w:val="6"/>
        <w:keepNext w:val="0"/>
        <w:keepLines w:val="0"/>
        <w:widowControl/>
        <w:suppressLineNumbers w:val="0"/>
      </w:pPr>
      <w:r>
        <w:rPr>
          <w:rFonts w:hint="eastAsia" w:ascii="宋体" w:hAnsi="宋体" w:eastAsia="宋体" w:cs="宋体"/>
          <w:sz w:val="21"/>
          <w:szCs w:val="21"/>
        </w:rPr>
        <w:t> </w:t>
      </w:r>
    </w:p>
    <w:p>
      <w:pPr>
        <w:pStyle w:val="6"/>
        <w:keepNext w:val="0"/>
        <w:keepLines w:val="0"/>
        <w:widowControl/>
        <w:suppressLineNumbers w:val="0"/>
        <w:jc w:val="center"/>
      </w:pPr>
      <w:r>
        <w:rPr>
          <w:rFonts w:hint="eastAsia" w:ascii="宋体" w:hAnsi="宋体" w:eastAsia="宋体" w:cs="宋体"/>
          <w:sz w:val="21"/>
          <w:szCs w:val="21"/>
        </w:rPr>
        <w:t>★注意</w:t>
      </w:r>
    </w:p>
    <w:p>
      <w:pPr>
        <w:pStyle w:val="6"/>
        <w:keepNext w:val="0"/>
        <w:keepLines w:val="0"/>
        <w:widowControl/>
        <w:suppressLineNumbers w:val="0"/>
        <w:ind w:left="0" w:firstLine="420"/>
      </w:pPr>
      <w:r>
        <w:rPr>
          <w:rFonts w:hint="eastAsia" w:ascii="宋体" w:hAnsi="宋体" w:eastAsia="宋体" w:cs="宋体"/>
          <w:sz w:val="21"/>
          <w:szCs w:val="21"/>
        </w:rPr>
        <w:t>技术商务部分中不得出现报价部分的全部或部分的投标报价信息（或组成资料），否则</w:t>
      </w:r>
      <w:r>
        <w:rPr>
          <w:rStyle w:val="10"/>
          <w:rFonts w:hint="eastAsia" w:ascii="宋体" w:hAnsi="宋体" w:eastAsia="宋体" w:cs="宋体"/>
          <w:sz w:val="21"/>
          <w:szCs w:val="21"/>
        </w:rPr>
        <w:t>符合性审查不合格</w:t>
      </w:r>
      <w:r>
        <w:rPr>
          <w:rFonts w:hint="eastAsia" w:ascii="宋体" w:hAnsi="宋体" w:eastAsia="宋体" w:cs="宋体"/>
          <w:sz w:val="21"/>
          <w:szCs w:val="21"/>
        </w:rPr>
        <w:t>。</w:t>
      </w:r>
    </w:p>
    <w:p>
      <w:pPr>
        <w:pStyle w:val="6"/>
        <w:keepNext w:val="0"/>
        <w:keepLines w:val="0"/>
        <w:widowControl/>
        <w:suppressLineNumbers w:val="0"/>
        <w:ind w:left="0" w:firstLine="420"/>
      </w:pPr>
      <w:r>
        <w:rPr>
          <w:rFonts w:hint="eastAsia" w:ascii="宋体" w:hAnsi="宋体" w:eastAsia="宋体" w:cs="宋体"/>
          <w:sz w:val="21"/>
          <w:szCs w:val="21"/>
        </w:rPr>
        <w:t> </w:t>
      </w:r>
    </w:p>
    <w:p>
      <w:pPr>
        <w:pStyle w:val="6"/>
        <w:keepNext w:val="0"/>
        <w:keepLines w:val="0"/>
        <w:widowControl/>
        <w:suppressLineNumbers w:val="0"/>
        <w:ind w:left="0" w:firstLine="420"/>
      </w:pPr>
      <w:r>
        <w:rPr>
          <w:rFonts w:hint="eastAsia" w:ascii="宋体" w:hAnsi="宋体" w:eastAsia="宋体" w:cs="宋体"/>
          <w:sz w:val="21"/>
          <w:szCs w:val="21"/>
        </w:rPr>
        <w:t> </w:t>
      </w:r>
    </w:p>
    <w:p>
      <w:pPr>
        <w:pStyle w:val="6"/>
        <w:keepNext w:val="0"/>
        <w:keepLines w:val="0"/>
        <w:widowControl/>
        <w:suppressLineNumbers w:val="0"/>
        <w:jc w:val="center"/>
      </w:pPr>
      <w:r>
        <w:rPr>
          <w:rFonts w:hint="default" w:ascii="Calibri" w:hAnsi="Calibri" w:cs="Calibri"/>
          <w:sz w:val="21"/>
          <w:szCs w:val="21"/>
        </w:rPr>
        <w:br w:type="textWrapping"/>
      </w:r>
      <w:r>
        <w:rPr>
          <w:rStyle w:val="10"/>
          <w:rFonts w:hint="eastAsia" w:ascii="宋体" w:hAnsi="宋体" w:eastAsia="宋体" w:cs="宋体"/>
          <w:sz w:val="21"/>
          <w:szCs w:val="21"/>
        </w:rPr>
        <w:t>一、标的说明一览表</w:t>
      </w:r>
    </w:p>
    <w:p>
      <w:pPr>
        <w:pStyle w:val="6"/>
        <w:keepNext w:val="0"/>
        <w:keepLines w:val="0"/>
        <w:widowControl/>
        <w:suppressLineNumbers w:val="0"/>
      </w:pPr>
      <w:r>
        <w:rPr>
          <w:rFonts w:hint="eastAsia" w:ascii="宋体" w:hAnsi="宋体" w:eastAsia="宋体" w:cs="宋体"/>
          <w:sz w:val="21"/>
          <w:szCs w:val="21"/>
        </w:rPr>
        <w:t> </w:t>
      </w:r>
    </w:p>
    <w:p>
      <w:pPr>
        <w:pStyle w:val="6"/>
        <w:keepNext w:val="0"/>
        <w:keepLines w:val="0"/>
        <w:widowControl/>
        <w:suppressLineNumbers w:val="0"/>
      </w:pPr>
      <w:r>
        <w:rPr>
          <w:rFonts w:hint="eastAsia" w:ascii="宋体" w:hAnsi="宋体" w:eastAsia="宋体" w:cs="宋体"/>
          <w:sz w:val="21"/>
          <w:szCs w:val="21"/>
        </w:rPr>
        <w:t>招标编号：</w:t>
      </w:r>
      <w:r>
        <w:rPr>
          <w:rFonts w:hint="eastAsia" w:ascii="宋体" w:hAnsi="宋体" w:eastAsia="宋体" w:cs="宋体"/>
          <w:sz w:val="21"/>
          <w:szCs w:val="21"/>
          <w:u w:val="single"/>
        </w:rPr>
        <w:t>                   </w:t>
      </w:r>
    </w:p>
    <w:tbl>
      <w:tblPr>
        <w:tblStyle w:val="7"/>
        <w:tblW w:w="8520"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
      <w:tblGrid>
        <w:gridCol w:w="979"/>
        <w:gridCol w:w="869"/>
        <w:gridCol w:w="1666"/>
        <w:gridCol w:w="865"/>
        <w:gridCol w:w="1137"/>
        <w:gridCol w:w="1137"/>
        <w:gridCol w:w="186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Ex>
        <w:trPr>
          <w:tblCellSpacing w:w="15" w:type="dxa"/>
        </w:trPr>
        <w:tc>
          <w:tcPr>
            <w:tcW w:w="934" w:type="dxa"/>
            <w:tcBorders>
              <w:top w:val="nil"/>
              <w:left w:val="nil"/>
              <w:bottom w:val="nil"/>
              <w:right w:val="nil"/>
            </w:tcBorders>
            <w:shd w:val="clear" w:color="auto" w:fill="auto"/>
            <w:tcMar>
              <w:top w:w="0" w:type="dxa"/>
              <w:left w:w="105" w:type="dxa"/>
              <w:bottom w:w="0" w:type="dxa"/>
              <w:right w:w="105" w:type="dxa"/>
            </w:tcMar>
            <w:vAlign w:val="center"/>
          </w:tcPr>
          <w:p>
            <w:pPr>
              <w:pStyle w:val="6"/>
              <w:keepNext w:val="0"/>
              <w:keepLines w:val="0"/>
              <w:widowControl/>
              <w:suppressLineNumbers w:val="0"/>
              <w:jc w:val="center"/>
            </w:pPr>
            <w:r>
              <w:rPr>
                <w:rFonts w:hint="eastAsia" w:ascii="宋体" w:hAnsi="宋体" w:eastAsia="宋体" w:cs="宋体"/>
                <w:sz w:val="21"/>
                <w:szCs w:val="21"/>
              </w:rPr>
              <w:t>合同包</w:t>
            </w:r>
          </w:p>
        </w:tc>
        <w:tc>
          <w:tcPr>
            <w:tcW w:w="839" w:type="dxa"/>
            <w:tcBorders>
              <w:top w:val="nil"/>
              <w:left w:val="nil"/>
              <w:bottom w:val="nil"/>
              <w:right w:val="nil"/>
            </w:tcBorders>
            <w:shd w:val="clear" w:color="auto" w:fill="auto"/>
            <w:tcMar>
              <w:top w:w="0" w:type="dxa"/>
              <w:left w:w="105" w:type="dxa"/>
              <w:bottom w:w="0" w:type="dxa"/>
              <w:right w:w="105" w:type="dxa"/>
            </w:tcMar>
            <w:vAlign w:val="center"/>
          </w:tcPr>
          <w:p>
            <w:pPr>
              <w:pStyle w:val="6"/>
              <w:keepNext w:val="0"/>
              <w:keepLines w:val="0"/>
              <w:widowControl/>
              <w:suppressLineNumbers w:val="0"/>
              <w:jc w:val="center"/>
            </w:pPr>
            <w:r>
              <w:rPr>
                <w:rFonts w:hint="eastAsia" w:ascii="宋体" w:hAnsi="宋体" w:eastAsia="宋体" w:cs="宋体"/>
                <w:sz w:val="21"/>
                <w:szCs w:val="21"/>
              </w:rPr>
              <w:t>品目号</w:t>
            </w:r>
          </w:p>
        </w:tc>
        <w:tc>
          <w:tcPr>
            <w:tcW w:w="1636" w:type="dxa"/>
            <w:tcBorders>
              <w:top w:val="nil"/>
              <w:left w:val="nil"/>
              <w:bottom w:val="nil"/>
              <w:right w:val="nil"/>
            </w:tcBorders>
            <w:shd w:val="clear" w:color="auto" w:fill="auto"/>
            <w:tcMar>
              <w:top w:w="0" w:type="dxa"/>
              <w:left w:w="105" w:type="dxa"/>
              <w:bottom w:w="0" w:type="dxa"/>
              <w:right w:w="105" w:type="dxa"/>
            </w:tcMar>
            <w:vAlign w:val="center"/>
          </w:tcPr>
          <w:p>
            <w:pPr>
              <w:pStyle w:val="6"/>
              <w:keepNext w:val="0"/>
              <w:keepLines w:val="0"/>
              <w:widowControl/>
              <w:suppressLineNumbers w:val="0"/>
              <w:jc w:val="center"/>
            </w:pPr>
            <w:r>
              <w:rPr>
                <w:rFonts w:hint="eastAsia" w:ascii="宋体" w:hAnsi="宋体" w:eastAsia="宋体" w:cs="宋体"/>
                <w:sz w:val="21"/>
                <w:szCs w:val="21"/>
              </w:rPr>
              <w:t>投标标的</w:t>
            </w:r>
          </w:p>
        </w:tc>
        <w:tc>
          <w:tcPr>
            <w:tcW w:w="835" w:type="dxa"/>
            <w:tcBorders>
              <w:top w:val="nil"/>
              <w:left w:val="nil"/>
              <w:bottom w:val="nil"/>
              <w:right w:val="nil"/>
            </w:tcBorders>
            <w:shd w:val="clear" w:color="auto" w:fill="auto"/>
            <w:tcMar>
              <w:top w:w="0" w:type="dxa"/>
              <w:left w:w="105" w:type="dxa"/>
              <w:bottom w:w="0" w:type="dxa"/>
              <w:right w:w="105" w:type="dxa"/>
            </w:tcMar>
            <w:vAlign w:val="center"/>
          </w:tcPr>
          <w:p>
            <w:pPr>
              <w:pStyle w:val="6"/>
              <w:keepNext w:val="0"/>
              <w:keepLines w:val="0"/>
              <w:widowControl/>
              <w:suppressLineNumbers w:val="0"/>
              <w:jc w:val="center"/>
            </w:pPr>
            <w:r>
              <w:rPr>
                <w:rFonts w:hint="eastAsia" w:ascii="宋体" w:hAnsi="宋体" w:eastAsia="宋体" w:cs="宋体"/>
                <w:sz w:val="21"/>
                <w:szCs w:val="21"/>
              </w:rPr>
              <w:t>数量</w:t>
            </w:r>
          </w:p>
        </w:tc>
        <w:tc>
          <w:tcPr>
            <w:tcW w:w="1107" w:type="dxa"/>
            <w:tcBorders>
              <w:top w:val="nil"/>
              <w:left w:val="nil"/>
              <w:bottom w:val="nil"/>
              <w:right w:val="nil"/>
            </w:tcBorders>
            <w:shd w:val="clear" w:color="auto" w:fill="auto"/>
            <w:tcMar>
              <w:top w:w="0" w:type="dxa"/>
              <w:left w:w="105" w:type="dxa"/>
              <w:bottom w:w="0" w:type="dxa"/>
              <w:right w:w="105" w:type="dxa"/>
            </w:tcMar>
            <w:vAlign w:val="center"/>
          </w:tcPr>
          <w:p>
            <w:pPr>
              <w:pStyle w:val="6"/>
              <w:keepNext w:val="0"/>
              <w:keepLines w:val="0"/>
              <w:widowControl/>
              <w:suppressLineNumbers w:val="0"/>
              <w:jc w:val="center"/>
            </w:pPr>
            <w:r>
              <w:rPr>
                <w:rFonts w:hint="eastAsia" w:ascii="宋体" w:hAnsi="宋体" w:eastAsia="宋体" w:cs="宋体"/>
                <w:sz w:val="21"/>
                <w:szCs w:val="21"/>
              </w:rPr>
              <w:t>规格</w:t>
            </w:r>
          </w:p>
        </w:tc>
        <w:tc>
          <w:tcPr>
            <w:tcW w:w="1107" w:type="dxa"/>
            <w:tcBorders>
              <w:top w:val="nil"/>
              <w:left w:val="nil"/>
              <w:bottom w:val="nil"/>
              <w:right w:val="nil"/>
            </w:tcBorders>
            <w:shd w:val="clear" w:color="auto" w:fill="auto"/>
            <w:tcMar>
              <w:top w:w="0" w:type="dxa"/>
              <w:left w:w="105" w:type="dxa"/>
              <w:bottom w:w="0" w:type="dxa"/>
              <w:right w:w="105" w:type="dxa"/>
            </w:tcMar>
            <w:vAlign w:val="center"/>
          </w:tcPr>
          <w:p>
            <w:pPr>
              <w:pStyle w:val="6"/>
              <w:keepNext w:val="0"/>
              <w:keepLines w:val="0"/>
              <w:widowControl/>
              <w:suppressLineNumbers w:val="0"/>
              <w:jc w:val="center"/>
            </w:pPr>
            <w:r>
              <w:rPr>
                <w:rFonts w:hint="eastAsia" w:ascii="宋体" w:hAnsi="宋体" w:eastAsia="宋体" w:cs="宋体"/>
                <w:sz w:val="21"/>
                <w:szCs w:val="21"/>
              </w:rPr>
              <w:t>来源地</w:t>
            </w:r>
          </w:p>
        </w:tc>
        <w:tc>
          <w:tcPr>
            <w:tcW w:w="1822" w:type="dxa"/>
            <w:tcBorders>
              <w:top w:val="nil"/>
              <w:left w:val="nil"/>
              <w:bottom w:val="nil"/>
              <w:right w:val="nil"/>
            </w:tcBorders>
            <w:shd w:val="clear" w:color="auto" w:fill="auto"/>
            <w:tcMar>
              <w:top w:w="0" w:type="dxa"/>
              <w:left w:w="105" w:type="dxa"/>
              <w:bottom w:w="0" w:type="dxa"/>
              <w:right w:w="105" w:type="dxa"/>
            </w:tcMar>
            <w:vAlign w:val="center"/>
          </w:tcPr>
          <w:p>
            <w:pPr>
              <w:pStyle w:val="6"/>
              <w:keepNext w:val="0"/>
              <w:keepLines w:val="0"/>
              <w:widowControl/>
              <w:suppressLineNumbers w:val="0"/>
              <w:jc w:val="center"/>
            </w:pPr>
            <w:r>
              <w:rPr>
                <w:rFonts w:hint="eastAsia" w:ascii="宋体" w:hAnsi="宋体" w:eastAsia="宋体" w:cs="宋体"/>
                <w:sz w:val="21"/>
                <w:szCs w:val="21"/>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934" w:type="dxa"/>
            <w:vMerge w:val="restart"/>
            <w:tcBorders>
              <w:top w:val="nil"/>
              <w:left w:val="nil"/>
              <w:bottom w:val="nil"/>
              <w:right w:val="nil"/>
            </w:tcBorders>
            <w:shd w:val="clear" w:color="auto" w:fill="auto"/>
            <w:tcMar>
              <w:top w:w="0" w:type="dxa"/>
              <w:left w:w="105" w:type="dxa"/>
              <w:bottom w:w="0" w:type="dxa"/>
              <w:right w:w="105" w:type="dxa"/>
            </w:tcMar>
            <w:vAlign w:val="center"/>
          </w:tcPr>
          <w:p>
            <w:pPr>
              <w:pStyle w:val="6"/>
              <w:keepNext w:val="0"/>
              <w:keepLines w:val="0"/>
              <w:widowControl/>
              <w:suppressLineNumbers w:val="0"/>
              <w:jc w:val="center"/>
            </w:pPr>
            <w:r>
              <w:rPr>
                <w:rFonts w:hint="eastAsia" w:ascii="宋体" w:hAnsi="宋体" w:eastAsia="宋体" w:cs="宋体"/>
                <w:sz w:val="21"/>
                <w:szCs w:val="21"/>
              </w:rPr>
              <w:t>*</w:t>
            </w:r>
          </w:p>
        </w:tc>
        <w:tc>
          <w:tcPr>
            <w:tcW w:w="839" w:type="dxa"/>
            <w:tcBorders>
              <w:top w:val="nil"/>
              <w:left w:val="nil"/>
              <w:bottom w:val="nil"/>
              <w:right w:val="nil"/>
            </w:tcBorders>
            <w:shd w:val="clear" w:color="auto" w:fill="auto"/>
            <w:tcMar>
              <w:top w:w="0" w:type="dxa"/>
              <w:left w:w="105" w:type="dxa"/>
              <w:bottom w:w="0" w:type="dxa"/>
              <w:right w:w="105" w:type="dxa"/>
            </w:tcMar>
            <w:vAlign w:val="center"/>
          </w:tcPr>
          <w:p>
            <w:pPr>
              <w:pStyle w:val="6"/>
              <w:keepNext w:val="0"/>
              <w:keepLines w:val="0"/>
              <w:widowControl/>
              <w:suppressLineNumbers w:val="0"/>
              <w:jc w:val="center"/>
            </w:pPr>
            <w:r>
              <w:rPr>
                <w:rFonts w:hint="eastAsia" w:ascii="宋体" w:hAnsi="宋体" w:eastAsia="宋体" w:cs="宋体"/>
                <w:sz w:val="21"/>
                <w:szCs w:val="21"/>
              </w:rPr>
              <w:t>*-1</w:t>
            </w:r>
          </w:p>
        </w:tc>
        <w:tc>
          <w:tcPr>
            <w:tcW w:w="1636"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jc w:val="left"/>
            </w:pPr>
          </w:p>
        </w:tc>
        <w:tc>
          <w:tcPr>
            <w:tcW w:w="835"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jc w:val="left"/>
            </w:pPr>
          </w:p>
        </w:tc>
        <w:tc>
          <w:tcPr>
            <w:tcW w:w="1107"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jc w:val="left"/>
            </w:pPr>
          </w:p>
        </w:tc>
        <w:tc>
          <w:tcPr>
            <w:tcW w:w="1107"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jc w:val="left"/>
            </w:pPr>
          </w:p>
        </w:tc>
        <w:tc>
          <w:tcPr>
            <w:tcW w:w="1822"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934" w:type="dxa"/>
            <w:vMerge w:val="continue"/>
            <w:tcBorders>
              <w:top w:val="nil"/>
              <w:left w:val="nil"/>
              <w:bottom w:val="nil"/>
              <w:right w:val="nil"/>
            </w:tcBorders>
            <w:shd w:val="clear" w:color="auto" w:fill="auto"/>
            <w:tcMar>
              <w:top w:w="0" w:type="dxa"/>
              <w:left w:w="105" w:type="dxa"/>
              <w:bottom w:w="0" w:type="dxa"/>
              <w:right w:w="105" w:type="dxa"/>
            </w:tcMar>
            <w:vAlign w:val="center"/>
          </w:tcPr>
          <w:p>
            <w:pPr>
              <w:rPr>
                <w:rFonts w:hint="eastAsia" w:ascii="宋体"/>
                <w:sz w:val="24"/>
                <w:szCs w:val="24"/>
              </w:rPr>
            </w:pPr>
          </w:p>
        </w:tc>
        <w:tc>
          <w:tcPr>
            <w:tcW w:w="839" w:type="dxa"/>
            <w:tcBorders>
              <w:top w:val="nil"/>
              <w:left w:val="nil"/>
              <w:bottom w:val="nil"/>
              <w:right w:val="nil"/>
            </w:tcBorders>
            <w:shd w:val="clear" w:color="auto" w:fill="auto"/>
            <w:tcMar>
              <w:top w:w="0" w:type="dxa"/>
              <w:left w:w="105" w:type="dxa"/>
              <w:bottom w:w="0" w:type="dxa"/>
              <w:right w:w="105" w:type="dxa"/>
            </w:tcMar>
            <w:vAlign w:val="center"/>
          </w:tcPr>
          <w:p>
            <w:pPr>
              <w:pStyle w:val="6"/>
              <w:keepNext w:val="0"/>
              <w:keepLines w:val="0"/>
              <w:widowControl/>
              <w:suppressLineNumbers w:val="0"/>
              <w:jc w:val="center"/>
            </w:pPr>
            <w:r>
              <w:rPr>
                <w:rFonts w:hint="default" w:ascii="Calibri" w:hAnsi="Calibri" w:cs="Calibri"/>
                <w:sz w:val="21"/>
                <w:szCs w:val="21"/>
              </w:rPr>
              <w:t>…</w:t>
            </w:r>
          </w:p>
        </w:tc>
        <w:tc>
          <w:tcPr>
            <w:tcW w:w="1636"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jc w:val="left"/>
            </w:pPr>
          </w:p>
        </w:tc>
        <w:tc>
          <w:tcPr>
            <w:tcW w:w="835"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jc w:val="left"/>
            </w:pPr>
          </w:p>
        </w:tc>
        <w:tc>
          <w:tcPr>
            <w:tcW w:w="1107"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jc w:val="left"/>
            </w:pPr>
          </w:p>
        </w:tc>
        <w:tc>
          <w:tcPr>
            <w:tcW w:w="1107"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jc w:val="left"/>
            </w:pPr>
          </w:p>
        </w:tc>
        <w:tc>
          <w:tcPr>
            <w:tcW w:w="1822"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934" w:type="dxa"/>
            <w:tcBorders>
              <w:top w:val="nil"/>
              <w:left w:val="nil"/>
              <w:bottom w:val="nil"/>
              <w:right w:val="nil"/>
            </w:tcBorders>
            <w:shd w:val="clear" w:color="auto" w:fill="auto"/>
            <w:tcMar>
              <w:top w:w="0" w:type="dxa"/>
              <w:left w:w="105" w:type="dxa"/>
              <w:bottom w:w="0" w:type="dxa"/>
              <w:right w:w="105" w:type="dxa"/>
            </w:tcMar>
            <w:vAlign w:val="center"/>
          </w:tcPr>
          <w:p>
            <w:pPr>
              <w:pStyle w:val="6"/>
              <w:keepNext w:val="0"/>
              <w:keepLines w:val="0"/>
              <w:widowControl/>
              <w:suppressLineNumbers w:val="0"/>
              <w:jc w:val="center"/>
            </w:pPr>
            <w:r>
              <w:rPr>
                <w:rFonts w:hint="default" w:ascii="Calibri" w:hAnsi="Calibri" w:cs="Calibri"/>
                <w:sz w:val="21"/>
                <w:szCs w:val="21"/>
              </w:rPr>
              <w:t>…</w:t>
            </w:r>
          </w:p>
        </w:tc>
        <w:tc>
          <w:tcPr>
            <w:tcW w:w="839"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1636"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jc w:val="left"/>
            </w:pPr>
          </w:p>
        </w:tc>
        <w:tc>
          <w:tcPr>
            <w:tcW w:w="835"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jc w:val="left"/>
            </w:pPr>
          </w:p>
        </w:tc>
        <w:tc>
          <w:tcPr>
            <w:tcW w:w="1107"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jc w:val="left"/>
            </w:pPr>
          </w:p>
        </w:tc>
        <w:tc>
          <w:tcPr>
            <w:tcW w:w="1107"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jc w:val="left"/>
            </w:pPr>
          </w:p>
        </w:tc>
        <w:tc>
          <w:tcPr>
            <w:tcW w:w="1822"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jc w:val="left"/>
            </w:pPr>
          </w:p>
        </w:tc>
      </w:tr>
    </w:tbl>
    <w:p>
      <w:pPr>
        <w:pStyle w:val="6"/>
        <w:keepNext w:val="0"/>
        <w:keepLines w:val="0"/>
        <w:widowControl/>
        <w:suppressLineNumbers w:val="0"/>
      </w:pPr>
      <w:r>
        <w:rPr>
          <w:rFonts w:hint="eastAsia" w:ascii="宋体" w:hAnsi="宋体" w:eastAsia="宋体" w:cs="宋体"/>
          <w:sz w:val="21"/>
          <w:szCs w:val="21"/>
        </w:rPr>
        <w:t>★注意：</w:t>
      </w:r>
    </w:p>
    <w:p>
      <w:pPr>
        <w:pStyle w:val="6"/>
        <w:keepNext w:val="0"/>
        <w:keepLines w:val="0"/>
        <w:widowControl/>
        <w:suppressLineNumbers w:val="0"/>
      </w:pPr>
      <w:r>
        <w:rPr>
          <w:rFonts w:hint="eastAsia" w:ascii="宋体" w:hAnsi="宋体" w:eastAsia="宋体" w:cs="宋体"/>
          <w:sz w:val="21"/>
          <w:szCs w:val="21"/>
        </w:rPr>
        <w:t>1、本表应按照下列规定填写：</w:t>
      </w:r>
    </w:p>
    <w:p>
      <w:pPr>
        <w:pStyle w:val="6"/>
        <w:keepNext w:val="0"/>
        <w:keepLines w:val="0"/>
        <w:widowControl/>
        <w:suppressLineNumbers w:val="0"/>
      </w:pPr>
      <w:r>
        <w:rPr>
          <w:rFonts w:hint="eastAsia" w:ascii="宋体" w:hAnsi="宋体" w:eastAsia="宋体" w:cs="宋体"/>
          <w:sz w:val="21"/>
          <w:szCs w:val="21"/>
        </w:rPr>
        <w:t>1.1“合同包”、“品目号”、“投标标的”及“数量”应与招标文件《采购标的一览表》中的有关内容（“合同包”、“品目号”、“采购标的”及“数量”）保持一致。</w:t>
      </w:r>
    </w:p>
    <w:p>
      <w:pPr>
        <w:pStyle w:val="6"/>
        <w:keepNext w:val="0"/>
        <w:keepLines w:val="0"/>
        <w:widowControl/>
        <w:suppressLineNumbers w:val="0"/>
      </w:pPr>
      <w:r>
        <w:rPr>
          <w:rFonts w:hint="eastAsia" w:ascii="宋体" w:hAnsi="宋体" w:eastAsia="宋体" w:cs="宋体"/>
          <w:sz w:val="21"/>
          <w:szCs w:val="21"/>
        </w:rPr>
        <w:t>1.2“投标标的”为货物的：</w:t>
      </w:r>
      <w:r>
        <w:rPr>
          <w:rStyle w:val="10"/>
          <w:rFonts w:hint="eastAsia" w:ascii="宋体" w:hAnsi="宋体" w:eastAsia="宋体" w:cs="宋体"/>
          <w:sz w:val="21"/>
          <w:szCs w:val="21"/>
        </w:rPr>
        <w:t>“规格”</w:t>
      </w:r>
      <w:r>
        <w:rPr>
          <w:rFonts w:hint="eastAsia" w:ascii="宋体" w:hAnsi="宋体" w:eastAsia="宋体" w:cs="宋体"/>
          <w:sz w:val="21"/>
          <w:szCs w:val="21"/>
        </w:rPr>
        <w:t>项下应填写货物制造厂商赋予的品牌（属于节能、环保清单产品的货物，填写的品牌名称应与清单载明的品牌名称保持一致）及具体型号。</w:t>
      </w:r>
      <w:r>
        <w:rPr>
          <w:rStyle w:val="10"/>
          <w:rFonts w:hint="eastAsia" w:ascii="宋体" w:hAnsi="宋体" w:eastAsia="宋体" w:cs="宋体"/>
          <w:sz w:val="21"/>
          <w:szCs w:val="21"/>
        </w:rPr>
        <w:t>“来源地”</w:t>
      </w:r>
      <w:r>
        <w:rPr>
          <w:rFonts w:hint="eastAsia" w:ascii="宋体" w:hAnsi="宋体" w:eastAsia="宋体" w:cs="宋体"/>
          <w:sz w:val="21"/>
          <w:szCs w:val="21"/>
        </w:rPr>
        <w:t>应填写货物的原产地。</w:t>
      </w:r>
      <w:r>
        <w:rPr>
          <w:rStyle w:val="10"/>
          <w:rFonts w:hint="eastAsia" w:ascii="宋体" w:hAnsi="宋体" w:eastAsia="宋体" w:cs="宋体"/>
          <w:sz w:val="21"/>
          <w:szCs w:val="21"/>
        </w:rPr>
        <w:t>“备注”</w:t>
      </w:r>
      <w:r>
        <w:rPr>
          <w:rFonts w:hint="eastAsia" w:ascii="宋体" w:hAnsi="宋体" w:eastAsia="宋体" w:cs="宋体"/>
          <w:sz w:val="21"/>
          <w:szCs w:val="21"/>
        </w:rPr>
        <w:t>项下应填写货物的详细性能说明及供货范围清单（若有），其中供货范围清单包括但不限于：组成货物的主要件和关键件的名称、数量、原产地，专用工具（若有）的名称、数量、原产地，备品备件（若有）的名称、数量、原产地等。</w:t>
      </w:r>
    </w:p>
    <w:p>
      <w:pPr>
        <w:pStyle w:val="6"/>
        <w:keepNext w:val="0"/>
        <w:keepLines w:val="0"/>
        <w:widowControl/>
        <w:suppressLineNumbers w:val="0"/>
      </w:pPr>
      <w:r>
        <w:rPr>
          <w:rFonts w:hint="eastAsia" w:ascii="宋体" w:hAnsi="宋体" w:eastAsia="宋体" w:cs="宋体"/>
          <w:sz w:val="21"/>
          <w:szCs w:val="21"/>
        </w:rPr>
        <w:t>1.3“投标标的”为服务的：</w:t>
      </w:r>
      <w:r>
        <w:rPr>
          <w:rStyle w:val="10"/>
          <w:rFonts w:hint="eastAsia" w:ascii="宋体" w:hAnsi="宋体" w:eastAsia="宋体" w:cs="宋体"/>
          <w:sz w:val="21"/>
          <w:szCs w:val="21"/>
        </w:rPr>
        <w:t>“规格”</w:t>
      </w:r>
      <w:r>
        <w:rPr>
          <w:rFonts w:hint="eastAsia" w:ascii="宋体" w:hAnsi="宋体" w:eastAsia="宋体" w:cs="宋体"/>
          <w:sz w:val="21"/>
          <w:szCs w:val="21"/>
        </w:rPr>
        <w:t>项下应填写服务提供者提供的服务标准及品牌（若有）。</w:t>
      </w:r>
      <w:r>
        <w:rPr>
          <w:rStyle w:val="10"/>
          <w:rFonts w:hint="eastAsia" w:ascii="宋体" w:hAnsi="宋体" w:eastAsia="宋体" w:cs="宋体"/>
          <w:sz w:val="21"/>
          <w:szCs w:val="21"/>
        </w:rPr>
        <w:t>“来源地”</w:t>
      </w:r>
      <w:r>
        <w:rPr>
          <w:rFonts w:hint="eastAsia" w:ascii="宋体" w:hAnsi="宋体" w:eastAsia="宋体" w:cs="宋体"/>
          <w:sz w:val="21"/>
          <w:szCs w:val="21"/>
        </w:rPr>
        <w:t>应填写服务提供者的所在地。</w:t>
      </w:r>
      <w:r>
        <w:rPr>
          <w:rStyle w:val="10"/>
          <w:rFonts w:hint="eastAsia" w:ascii="宋体" w:hAnsi="宋体" w:eastAsia="宋体" w:cs="宋体"/>
          <w:sz w:val="21"/>
          <w:szCs w:val="21"/>
        </w:rPr>
        <w:t>“备注”</w:t>
      </w:r>
      <w:r>
        <w:rPr>
          <w:rFonts w:hint="eastAsia" w:ascii="宋体" w:hAnsi="宋体" w:eastAsia="宋体" w:cs="宋体"/>
          <w:sz w:val="21"/>
          <w:szCs w:val="21"/>
        </w:rPr>
        <w:t>项下应填写关于服务标准所涵盖的具体项目或内容的说明等。</w:t>
      </w:r>
    </w:p>
    <w:p>
      <w:pPr>
        <w:pStyle w:val="6"/>
        <w:keepNext w:val="0"/>
        <w:keepLines w:val="0"/>
        <w:widowControl/>
        <w:suppressLineNumbers w:val="0"/>
      </w:pPr>
      <w:r>
        <w:rPr>
          <w:rFonts w:hint="eastAsia" w:ascii="宋体" w:hAnsi="宋体" w:eastAsia="宋体" w:cs="宋体"/>
          <w:sz w:val="21"/>
          <w:szCs w:val="21"/>
        </w:rPr>
        <w:t>2、投标人需要说明的内容若需特殊表达，应先在本表中进行相应说明，再另页应答，否则</w:t>
      </w:r>
      <w:r>
        <w:rPr>
          <w:rStyle w:val="10"/>
          <w:rFonts w:hint="eastAsia" w:ascii="宋体" w:hAnsi="宋体" w:eastAsia="宋体" w:cs="宋体"/>
          <w:sz w:val="21"/>
          <w:szCs w:val="21"/>
        </w:rPr>
        <w:t>投标无效</w:t>
      </w:r>
      <w:r>
        <w:rPr>
          <w:rFonts w:hint="eastAsia" w:ascii="宋体" w:hAnsi="宋体" w:eastAsia="宋体" w:cs="宋体"/>
          <w:sz w:val="21"/>
          <w:szCs w:val="21"/>
        </w:rPr>
        <w:t>。</w:t>
      </w:r>
    </w:p>
    <w:p>
      <w:pPr>
        <w:pStyle w:val="6"/>
        <w:keepNext w:val="0"/>
        <w:keepLines w:val="0"/>
        <w:widowControl/>
        <w:suppressLineNumbers w:val="0"/>
      </w:pPr>
      <w:r>
        <w:rPr>
          <w:rFonts w:hint="eastAsia" w:ascii="宋体" w:hAnsi="宋体" w:eastAsia="宋体" w:cs="宋体"/>
          <w:sz w:val="21"/>
          <w:szCs w:val="21"/>
        </w:rPr>
        <w:t>3、投标文件中涉及</w:t>
      </w:r>
      <w:r>
        <w:rPr>
          <w:rStyle w:val="10"/>
          <w:rFonts w:hint="eastAsia" w:ascii="宋体" w:hAnsi="宋体" w:eastAsia="宋体" w:cs="宋体"/>
          <w:sz w:val="21"/>
          <w:szCs w:val="21"/>
        </w:rPr>
        <w:t>“投标标的”、“数量”、“规格”、“来源地”</w:t>
      </w:r>
      <w:r>
        <w:rPr>
          <w:rFonts w:hint="eastAsia" w:ascii="宋体" w:hAnsi="宋体" w:eastAsia="宋体" w:cs="宋体"/>
          <w:sz w:val="21"/>
          <w:szCs w:val="21"/>
        </w:rPr>
        <w:t>的内容若不一致，</w:t>
      </w:r>
      <w:r>
        <w:rPr>
          <w:rStyle w:val="10"/>
          <w:rFonts w:hint="eastAsia" w:ascii="宋体" w:hAnsi="宋体" w:eastAsia="宋体" w:cs="宋体"/>
          <w:sz w:val="21"/>
          <w:szCs w:val="21"/>
        </w:rPr>
        <w:t>应以本表为准</w:t>
      </w:r>
      <w:r>
        <w:rPr>
          <w:rFonts w:hint="eastAsia" w:ascii="宋体" w:hAnsi="宋体" w:eastAsia="宋体" w:cs="宋体"/>
          <w:sz w:val="21"/>
          <w:szCs w:val="21"/>
        </w:rPr>
        <w:t>。</w:t>
      </w:r>
    </w:p>
    <w:p>
      <w:pPr>
        <w:pStyle w:val="6"/>
        <w:keepNext w:val="0"/>
        <w:keepLines w:val="0"/>
        <w:widowControl/>
        <w:suppressLineNumbers w:val="0"/>
      </w:pPr>
      <w:r>
        <w:rPr>
          <w:rFonts w:hint="eastAsia" w:ascii="宋体" w:hAnsi="宋体" w:eastAsia="宋体" w:cs="宋体"/>
          <w:sz w:val="21"/>
          <w:szCs w:val="21"/>
        </w:rPr>
        <w:t>4、纸质投标文件正本中的本表应为原件。</w:t>
      </w:r>
    </w:p>
    <w:p>
      <w:pPr>
        <w:pStyle w:val="6"/>
        <w:keepNext w:val="0"/>
        <w:keepLines w:val="0"/>
        <w:widowControl/>
        <w:suppressLineNumbers w:val="0"/>
      </w:pPr>
      <w:r>
        <w:rPr>
          <w:rFonts w:hint="eastAsia" w:ascii="宋体" w:hAnsi="宋体" w:eastAsia="宋体" w:cs="宋体"/>
          <w:sz w:val="21"/>
          <w:szCs w:val="21"/>
        </w:rPr>
        <w:t> </w:t>
      </w:r>
    </w:p>
    <w:p>
      <w:pPr>
        <w:pStyle w:val="6"/>
        <w:keepNext w:val="0"/>
        <w:keepLines w:val="0"/>
        <w:widowControl/>
        <w:suppressLineNumbers w:val="0"/>
      </w:pPr>
      <w:r>
        <w:rPr>
          <w:rFonts w:hint="eastAsia" w:ascii="宋体" w:hAnsi="宋体" w:eastAsia="宋体" w:cs="宋体"/>
          <w:sz w:val="21"/>
          <w:szCs w:val="21"/>
        </w:rPr>
        <w:t> </w:t>
      </w:r>
    </w:p>
    <w:p>
      <w:pPr>
        <w:pStyle w:val="6"/>
        <w:keepNext w:val="0"/>
        <w:keepLines w:val="0"/>
        <w:widowControl/>
        <w:suppressLineNumbers w:val="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6"/>
        <w:keepNext w:val="0"/>
        <w:keepLines w:val="0"/>
        <w:widowControl/>
        <w:suppressLineNumbers w:val="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6"/>
        <w:keepNext w:val="0"/>
        <w:keepLines w:val="0"/>
        <w:widowControl/>
        <w:suppressLineNumbers w:val="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6"/>
        <w:keepNext w:val="0"/>
        <w:keepLines w:val="0"/>
        <w:widowControl/>
        <w:suppressLineNumbers w:val="0"/>
      </w:pPr>
      <w:r>
        <w:rPr>
          <w:rFonts w:hint="eastAsia" w:ascii="宋体" w:hAnsi="宋体" w:eastAsia="宋体" w:cs="宋体"/>
          <w:sz w:val="21"/>
          <w:szCs w:val="21"/>
        </w:rPr>
        <w:t> </w:t>
      </w:r>
    </w:p>
    <w:p>
      <w:pPr>
        <w:pStyle w:val="6"/>
        <w:keepNext w:val="0"/>
        <w:keepLines w:val="0"/>
        <w:widowControl/>
        <w:suppressLineNumbers w:val="0"/>
      </w:pPr>
      <w:r>
        <w:rPr>
          <w:rFonts w:hint="eastAsia" w:ascii="宋体" w:hAnsi="宋体" w:eastAsia="宋体" w:cs="宋体"/>
          <w:sz w:val="21"/>
          <w:szCs w:val="21"/>
        </w:rPr>
        <w:t> </w:t>
      </w:r>
    </w:p>
    <w:p>
      <w:pPr>
        <w:pStyle w:val="6"/>
        <w:keepNext w:val="0"/>
        <w:keepLines w:val="0"/>
        <w:widowControl/>
        <w:suppressLineNumbers w:val="0"/>
        <w:jc w:val="center"/>
      </w:pPr>
      <w:r>
        <w:rPr>
          <w:rStyle w:val="10"/>
          <w:rFonts w:hint="default" w:ascii="Calibri" w:hAnsi="Calibri" w:cs="Calibri"/>
          <w:sz w:val="21"/>
          <w:szCs w:val="21"/>
        </w:rPr>
        <w:br w:type="textWrapping"/>
      </w:r>
      <w:r>
        <w:rPr>
          <w:rStyle w:val="10"/>
          <w:rFonts w:hint="eastAsia" w:ascii="宋体" w:hAnsi="宋体" w:eastAsia="宋体" w:cs="宋体"/>
          <w:sz w:val="21"/>
          <w:szCs w:val="21"/>
        </w:rPr>
        <w:t>二、技术和服务要求响应表</w:t>
      </w:r>
    </w:p>
    <w:p>
      <w:pPr>
        <w:pStyle w:val="6"/>
        <w:keepNext w:val="0"/>
        <w:keepLines w:val="0"/>
        <w:widowControl/>
        <w:suppressLineNumbers w:val="0"/>
      </w:pPr>
      <w:r>
        <w:rPr>
          <w:rFonts w:hint="eastAsia" w:ascii="宋体" w:hAnsi="宋体" w:eastAsia="宋体" w:cs="宋体"/>
          <w:sz w:val="21"/>
          <w:szCs w:val="21"/>
        </w:rPr>
        <w:t> </w:t>
      </w:r>
    </w:p>
    <w:p>
      <w:pPr>
        <w:pStyle w:val="6"/>
        <w:keepNext w:val="0"/>
        <w:keepLines w:val="0"/>
        <w:widowControl/>
        <w:suppressLineNumbers w:val="0"/>
      </w:pPr>
      <w:r>
        <w:rPr>
          <w:rFonts w:hint="eastAsia" w:ascii="宋体" w:hAnsi="宋体" w:eastAsia="宋体" w:cs="宋体"/>
          <w:sz w:val="21"/>
          <w:szCs w:val="21"/>
        </w:rPr>
        <w:t>招标编号：</w:t>
      </w:r>
      <w:r>
        <w:rPr>
          <w:rFonts w:hint="eastAsia" w:ascii="宋体" w:hAnsi="宋体" w:eastAsia="宋体" w:cs="宋体"/>
          <w:sz w:val="21"/>
          <w:szCs w:val="21"/>
          <w:u w:val="single"/>
        </w:rPr>
        <w:t>                   </w:t>
      </w:r>
    </w:p>
    <w:tbl>
      <w:tblPr>
        <w:tblStyle w:val="7"/>
        <w:tblW w:w="8520"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
      <w:tblGrid>
        <w:gridCol w:w="990"/>
        <w:gridCol w:w="876"/>
        <w:gridCol w:w="2927"/>
        <w:gridCol w:w="1834"/>
        <w:gridCol w:w="189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Ex>
        <w:trPr>
          <w:trHeight w:val="255" w:hRule="atLeast"/>
          <w:tblCellSpacing w:w="15" w:type="dxa"/>
        </w:trPr>
        <w:tc>
          <w:tcPr>
            <w:tcW w:w="945" w:type="dxa"/>
            <w:tcBorders>
              <w:top w:val="nil"/>
              <w:left w:val="nil"/>
              <w:bottom w:val="nil"/>
              <w:right w:val="nil"/>
            </w:tcBorders>
            <w:shd w:val="clear" w:color="auto" w:fill="auto"/>
            <w:tcMar>
              <w:top w:w="0" w:type="dxa"/>
              <w:left w:w="105" w:type="dxa"/>
              <w:bottom w:w="0" w:type="dxa"/>
              <w:right w:w="105" w:type="dxa"/>
            </w:tcMar>
            <w:vAlign w:val="center"/>
          </w:tcPr>
          <w:p>
            <w:pPr>
              <w:pStyle w:val="6"/>
              <w:keepNext w:val="0"/>
              <w:keepLines w:val="0"/>
              <w:widowControl/>
              <w:suppressLineNumbers w:val="0"/>
              <w:jc w:val="center"/>
            </w:pPr>
            <w:r>
              <w:rPr>
                <w:rFonts w:hint="eastAsia" w:ascii="宋体" w:hAnsi="宋体" w:eastAsia="宋体" w:cs="宋体"/>
                <w:sz w:val="21"/>
                <w:szCs w:val="21"/>
              </w:rPr>
              <w:t>合同包</w:t>
            </w:r>
          </w:p>
        </w:tc>
        <w:tc>
          <w:tcPr>
            <w:tcW w:w="846" w:type="dxa"/>
            <w:tcBorders>
              <w:top w:val="nil"/>
              <w:left w:val="nil"/>
              <w:bottom w:val="nil"/>
              <w:right w:val="nil"/>
            </w:tcBorders>
            <w:shd w:val="clear" w:color="auto" w:fill="auto"/>
            <w:tcMar>
              <w:top w:w="0" w:type="dxa"/>
              <w:left w:w="105" w:type="dxa"/>
              <w:bottom w:w="0" w:type="dxa"/>
              <w:right w:w="105" w:type="dxa"/>
            </w:tcMar>
            <w:vAlign w:val="center"/>
          </w:tcPr>
          <w:p>
            <w:pPr>
              <w:pStyle w:val="6"/>
              <w:keepNext w:val="0"/>
              <w:keepLines w:val="0"/>
              <w:widowControl/>
              <w:suppressLineNumbers w:val="0"/>
              <w:jc w:val="center"/>
            </w:pPr>
            <w:r>
              <w:rPr>
                <w:rFonts w:hint="eastAsia" w:ascii="宋体" w:hAnsi="宋体" w:eastAsia="宋体" w:cs="宋体"/>
                <w:sz w:val="21"/>
                <w:szCs w:val="21"/>
              </w:rPr>
              <w:t>品目号</w:t>
            </w:r>
          </w:p>
        </w:tc>
        <w:tc>
          <w:tcPr>
            <w:tcW w:w="2897" w:type="dxa"/>
            <w:tcBorders>
              <w:top w:val="nil"/>
              <w:left w:val="nil"/>
              <w:bottom w:val="nil"/>
              <w:right w:val="nil"/>
            </w:tcBorders>
            <w:shd w:val="clear" w:color="auto" w:fill="auto"/>
            <w:tcMar>
              <w:top w:w="0" w:type="dxa"/>
              <w:left w:w="105" w:type="dxa"/>
              <w:bottom w:w="0" w:type="dxa"/>
              <w:right w:w="105" w:type="dxa"/>
            </w:tcMar>
            <w:vAlign w:val="center"/>
          </w:tcPr>
          <w:p>
            <w:pPr>
              <w:pStyle w:val="6"/>
              <w:keepNext w:val="0"/>
              <w:keepLines w:val="0"/>
              <w:widowControl/>
              <w:suppressLineNumbers w:val="0"/>
              <w:jc w:val="center"/>
            </w:pPr>
            <w:r>
              <w:rPr>
                <w:rFonts w:hint="eastAsia" w:ascii="宋体" w:hAnsi="宋体" w:eastAsia="宋体" w:cs="宋体"/>
                <w:sz w:val="21"/>
                <w:szCs w:val="21"/>
              </w:rPr>
              <w:t>技术和服务要求</w:t>
            </w:r>
          </w:p>
        </w:tc>
        <w:tc>
          <w:tcPr>
            <w:tcW w:w="1804" w:type="dxa"/>
            <w:tcBorders>
              <w:top w:val="nil"/>
              <w:left w:val="nil"/>
              <w:bottom w:val="nil"/>
              <w:right w:val="nil"/>
            </w:tcBorders>
            <w:shd w:val="clear" w:color="auto" w:fill="auto"/>
            <w:tcMar>
              <w:top w:w="0" w:type="dxa"/>
              <w:left w:w="105" w:type="dxa"/>
              <w:bottom w:w="0" w:type="dxa"/>
              <w:right w:w="105" w:type="dxa"/>
            </w:tcMar>
            <w:vAlign w:val="center"/>
          </w:tcPr>
          <w:p>
            <w:pPr>
              <w:pStyle w:val="6"/>
              <w:keepNext w:val="0"/>
              <w:keepLines w:val="0"/>
              <w:widowControl/>
              <w:suppressLineNumbers w:val="0"/>
              <w:jc w:val="center"/>
            </w:pPr>
            <w:r>
              <w:rPr>
                <w:rFonts w:hint="eastAsia" w:ascii="宋体" w:hAnsi="宋体" w:eastAsia="宋体" w:cs="宋体"/>
                <w:sz w:val="21"/>
                <w:szCs w:val="21"/>
              </w:rPr>
              <w:t>投标响应</w:t>
            </w:r>
          </w:p>
        </w:tc>
        <w:tc>
          <w:tcPr>
            <w:tcW w:w="1848" w:type="dxa"/>
            <w:tcBorders>
              <w:top w:val="nil"/>
              <w:left w:val="nil"/>
              <w:bottom w:val="nil"/>
              <w:right w:val="nil"/>
            </w:tcBorders>
            <w:shd w:val="clear" w:color="auto" w:fill="auto"/>
            <w:tcMar>
              <w:top w:w="0" w:type="dxa"/>
              <w:left w:w="105" w:type="dxa"/>
              <w:bottom w:w="0" w:type="dxa"/>
              <w:right w:w="105" w:type="dxa"/>
            </w:tcMar>
            <w:vAlign w:val="center"/>
          </w:tcPr>
          <w:p>
            <w:pPr>
              <w:pStyle w:val="6"/>
              <w:keepNext w:val="0"/>
              <w:keepLines w:val="0"/>
              <w:widowControl/>
              <w:suppressLineNumbers w:val="0"/>
              <w:jc w:val="center"/>
            </w:pPr>
            <w:r>
              <w:rPr>
                <w:rFonts w:hint="eastAsia" w:ascii="宋体" w:hAnsi="宋体" w:eastAsia="宋体" w:cs="宋体"/>
                <w:sz w:val="21"/>
                <w:szCs w:val="21"/>
              </w:rPr>
              <w:t>是否偏离及说明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945" w:type="dxa"/>
            <w:vMerge w:val="restart"/>
            <w:tcBorders>
              <w:top w:val="nil"/>
              <w:left w:val="nil"/>
              <w:bottom w:val="nil"/>
              <w:right w:val="nil"/>
            </w:tcBorders>
            <w:shd w:val="clear" w:color="auto" w:fill="auto"/>
            <w:tcMar>
              <w:top w:w="0" w:type="dxa"/>
              <w:left w:w="105" w:type="dxa"/>
              <w:bottom w:w="0" w:type="dxa"/>
              <w:right w:w="105" w:type="dxa"/>
            </w:tcMar>
            <w:vAlign w:val="center"/>
          </w:tcPr>
          <w:p>
            <w:pPr>
              <w:pStyle w:val="6"/>
              <w:keepNext w:val="0"/>
              <w:keepLines w:val="0"/>
              <w:widowControl/>
              <w:suppressLineNumbers w:val="0"/>
              <w:jc w:val="center"/>
            </w:pPr>
            <w:r>
              <w:rPr>
                <w:rFonts w:hint="eastAsia" w:ascii="宋体" w:hAnsi="宋体" w:eastAsia="宋体" w:cs="宋体"/>
                <w:sz w:val="21"/>
                <w:szCs w:val="21"/>
              </w:rPr>
              <w:t>*</w:t>
            </w:r>
          </w:p>
        </w:tc>
        <w:tc>
          <w:tcPr>
            <w:tcW w:w="846" w:type="dxa"/>
            <w:tcBorders>
              <w:top w:val="nil"/>
              <w:left w:val="nil"/>
              <w:bottom w:val="nil"/>
              <w:right w:val="nil"/>
            </w:tcBorders>
            <w:shd w:val="clear" w:color="auto" w:fill="auto"/>
            <w:tcMar>
              <w:top w:w="0" w:type="dxa"/>
              <w:left w:w="105" w:type="dxa"/>
              <w:bottom w:w="0" w:type="dxa"/>
              <w:right w:w="105" w:type="dxa"/>
            </w:tcMar>
            <w:vAlign w:val="center"/>
          </w:tcPr>
          <w:p>
            <w:pPr>
              <w:pStyle w:val="6"/>
              <w:keepNext w:val="0"/>
              <w:keepLines w:val="0"/>
              <w:widowControl/>
              <w:suppressLineNumbers w:val="0"/>
              <w:jc w:val="center"/>
            </w:pPr>
            <w:r>
              <w:rPr>
                <w:rFonts w:hint="eastAsia" w:ascii="宋体" w:hAnsi="宋体" w:eastAsia="宋体" w:cs="宋体"/>
                <w:sz w:val="21"/>
                <w:szCs w:val="21"/>
              </w:rPr>
              <w:t>*-1</w:t>
            </w:r>
          </w:p>
        </w:tc>
        <w:tc>
          <w:tcPr>
            <w:tcW w:w="2897"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jc w:val="left"/>
            </w:pPr>
          </w:p>
        </w:tc>
        <w:tc>
          <w:tcPr>
            <w:tcW w:w="1804"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jc w:val="left"/>
            </w:pPr>
          </w:p>
        </w:tc>
        <w:tc>
          <w:tcPr>
            <w:tcW w:w="1848"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945" w:type="dxa"/>
            <w:vMerge w:val="continue"/>
            <w:tcBorders>
              <w:top w:val="nil"/>
              <w:left w:val="nil"/>
              <w:bottom w:val="nil"/>
              <w:right w:val="nil"/>
            </w:tcBorders>
            <w:shd w:val="clear" w:color="auto" w:fill="auto"/>
            <w:tcMar>
              <w:top w:w="0" w:type="dxa"/>
              <w:left w:w="105" w:type="dxa"/>
              <w:bottom w:w="0" w:type="dxa"/>
              <w:right w:w="105" w:type="dxa"/>
            </w:tcMar>
            <w:vAlign w:val="center"/>
          </w:tcPr>
          <w:p>
            <w:pPr>
              <w:rPr>
                <w:rFonts w:hint="eastAsia" w:ascii="宋体"/>
                <w:sz w:val="24"/>
                <w:szCs w:val="24"/>
              </w:rPr>
            </w:pPr>
          </w:p>
        </w:tc>
        <w:tc>
          <w:tcPr>
            <w:tcW w:w="846" w:type="dxa"/>
            <w:tcBorders>
              <w:top w:val="nil"/>
              <w:left w:val="nil"/>
              <w:bottom w:val="nil"/>
              <w:right w:val="nil"/>
            </w:tcBorders>
            <w:shd w:val="clear" w:color="auto" w:fill="auto"/>
            <w:tcMar>
              <w:top w:w="0" w:type="dxa"/>
              <w:left w:w="105" w:type="dxa"/>
              <w:bottom w:w="0" w:type="dxa"/>
              <w:right w:w="105" w:type="dxa"/>
            </w:tcMar>
            <w:vAlign w:val="center"/>
          </w:tcPr>
          <w:p>
            <w:pPr>
              <w:pStyle w:val="6"/>
              <w:keepNext w:val="0"/>
              <w:keepLines w:val="0"/>
              <w:widowControl/>
              <w:suppressLineNumbers w:val="0"/>
              <w:jc w:val="center"/>
            </w:pPr>
            <w:r>
              <w:rPr>
                <w:rFonts w:hint="default" w:ascii="Calibri" w:hAnsi="Calibri" w:cs="Calibri"/>
                <w:sz w:val="21"/>
                <w:szCs w:val="21"/>
              </w:rPr>
              <w:t>…</w:t>
            </w:r>
          </w:p>
        </w:tc>
        <w:tc>
          <w:tcPr>
            <w:tcW w:w="2897"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jc w:val="left"/>
            </w:pPr>
          </w:p>
        </w:tc>
        <w:tc>
          <w:tcPr>
            <w:tcW w:w="1804"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jc w:val="left"/>
            </w:pPr>
          </w:p>
        </w:tc>
        <w:tc>
          <w:tcPr>
            <w:tcW w:w="1848"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945" w:type="dxa"/>
            <w:tcBorders>
              <w:top w:val="nil"/>
              <w:left w:val="nil"/>
              <w:bottom w:val="nil"/>
              <w:right w:val="nil"/>
            </w:tcBorders>
            <w:shd w:val="clear" w:color="auto" w:fill="auto"/>
            <w:tcMar>
              <w:top w:w="0" w:type="dxa"/>
              <w:left w:w="105" w:type="dxa"/>
              <w:bottom w:w="0" w:type="dxa"/>
              <w:right w:w="105" w:type="dxa"/>
            </w:tcMar>
            <w:vAlign w:val="center"/>
          </w:tcPr>
          <w:p>
            <w:pPr>
              <w:pStyle w:val="6"/>
              <w:keepNext w:val="0"/>
              <w:keepLines w:val="0"/>
              <w:widowControl/>
              <w:suppressLineNumbers w:val="0"/>
              <w:jc w:val="center"/>
            </w:pPr>
            <w:r>
              <w:rPr>
                <w:rFonts w:hint="default" w:ascii="Calibri" w:hAnsi="Calibri" w:cs="Calibri"/>
                <w:sz w:val="21"/>
                <w:szCs w:val="21"/>
              </w:rPr>
              <w:t>…</w:t>
            </w:r>
          </w:p>
        </w:tc>
        <w:tc>
          <w:tcPr>
            <w:tcW w:w="846"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2897"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1804"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1848"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r>
    </w:tbl>
    <w:p>
      <w:pPr>
        <w:pStyle w:val="6"/>
        <w:keepNext w:val="0"/>
        <w:keepLines w:val="0"/>
        <w:widowControl/>
        <w:suppressLineNumbers w:val="0"/>
      </w:pPr>
      <w:r>
        <w:rPr>
          <w:rFonts w:hint="eastAsia" w:ascii="宋体" w:hAnsi="宋体" w:eastAsia="宋体" w:cs="宋体"/>
          <w:sz w:val="21"/>
          <w:szCs w:val="21"/>
        </w:rPr>
        <w:t>★注意：</w:t>
      </w:r>
    </w:p>
    <w:p>
      <w:pPr>
        <w:pStyle w:val="6"/>
        <w:keepNext w:val="0"/>
        <w:keepLines w:val="0"/>
        <w:widowControl/>
        <w:suppressLineNumbers w:val="0"/>
      </w:pPr>
      <w:r>
        <w:rPr>
          <w:rFonts w:hint="eastAsia" w:ascii="宋体" w:hAnsi="宋体" w:eastAsia="宋体" w:cs="宋体"/>
          <w:sz w:val="21"/>
          <w:szCs w:val="21"/>
        </w:rPr>
        <w:t>1、本表应按照下列规定填写：</w:t>
      </w:r>
    </w:p>
    <w:p>
      <w:pPr>
        <w:pStyle w:val="6"/>
        <w:keepNext w:val="0"/>
        <w:keepLines w:val="0"/>
        <w:widowControl/>
        <w:suppressLineNumbers w:val="0"/>
      </w:pPr>
      <w:r>
        <w:rPr>
          <w:rFonts w:hint="eastAsia" w:ascii="宋体" w:hAnsi="宋体" w:eastAsia="宋体" w:cs="宋体"/>
          <w:sz w:val="21"/>
          <w:szCs w:val="21"/>
        </w:rPr>
        <w:t>1.1“技术和服务要求”项下填写的内容应与招标文件第五章“技术和服务要求”的内容保持一致。</w:t>
      </w:r>
    </w:p>
    <w:p>
      <w:pPr>
        <w:pStyle w:val="6"/>
        <w:keepNext w:val="0"/>
        <w:keepLines w:val="0"/>
        <w:widowControl/>
        <w:suppressLineNumbers w:val="0"/>
      </w:pPr>
      <w:r>
        <w:rPr>
          <w:rFonts w:hint="eastAsia" w:ascii="宋体" w:hAnsi="宋体" w:eastAsia="宋体" w:cs="宋体"/>
          <w:sz w:val="21"/>
          <w:szCs w:val="21"/>
        </w:rPr>
        <w:t>1.2“投标响应”项下应填写具体的响应内容并与“技术和服务要求”项下填写的内容逐项对应；对“技术和服务要求”项下涉及“≥或＞”、“≤或＜”及某个区间值范围内的内容，应填写具体的数值。</w:t>
      </w:r>
    </w:p>
    <w:p>
      <w:pPr>
        <w:pStyle w:val="6"/>
        <w:keepNext w:val="0"/>
        <w:keepLines w:val="0"/>
        <w:widowControl/>
        <w:suppressLineNumbers w:val="0"/>
      </w:pPr>
      <w:r>
        <w:rPr>
          <w:rFonts w:hint="eastAsia" w:ascii="宋体" w:hAnsi="宋体" w:eastAsia="宋体" w:cs="宋体"/>
          <w:sz w:val="21"/>
          <w:szCs w:val="21"/>
        </w:rPr>
        <w:t>1.3“是否偏离及说明”项下应按下列规定填写：优于的，填写“正偏离”；符合的，填写“无偏离”；低于的，填写“负偏离”。</w:t>
      </w:r>
    </w:p>
    <w:p>
      <w:pPr>
        <w:pStyle w:val="6"/>
        <w:keepNext w:val="0"/>
        <w:keepLines w:val="0"/>
        <w:widowControl/>
        <w:suppressLineNumbers w:val="0"/>
      </w:pPr>
      <w:r>
        <w:rPr>
          <w:rFonts w:hint="eastAsia" w:ascii="宋体" w:hAnsi="宋体" w:eastAsia="宋体" w:cs="宋体"/>
          <w:sz w:val="21"/>
          <w:szCs w:val="21"/>
        </w:rPr>
        <w:t>2、投标人需要说明的内容若需特殊表达，应先在本表中进行相应说明，再    另页应答，否则</w:t>
      </w:r>
      <w:r>
        <w:rPr>
          <w:rStyle w:val="10"/>
          <w:rFonts w:hint="eastAsia" w:ascii="宋体" w:hAnsi="宋体" w:eastAsia="宋体" w:cs="宋体"/>
          <w:sz w:val="21"/>
          <w:szCs w:val="21"/>
        </w:rPr>
        <w:t>投标无效</w:t>
      </w:r>
      <w:r>
        <w:rPr>
          <w:rFonts w:hint="eastAsia" w:ascii="宋体" w:hAnsi="宋体" w:eastAsia="宋体" w:cs="宋体"/>
          <w:sz w:val="21"/>
          <w:szCs w:val="21"/>
        </w:rPr>
        <w:t>。</w:t>
      </w:r>
    </w:p>
    <w:p>
      <w:pPr>
        <w:pStyle w:val="6"/>
        <w:keepNext w:val="0"/>
        <w:keepLines w:val="0"/>
        <w:widowControl/>
        <w:suppressLineNumbers w:val="0"/>
      </w:pPr>
      <w:r>
        <w:rPr>
          <w:rFonts w:hint="eastAsia" w:ascii="宋体" w:hAnsi="宋体" w:eastAsia="宋体" w:cs="宋体"/>
          <w:sz w:val="21"/>
          <w:szCs w:val="21"/>
        </w:rPr>
        <w:t>3、纸质投标文件正本中的本表应为原件。</w:t>
      </w:r>
    </w:p>
    <w:p>
      <w:pPr>
        <w:pStyle w:val="6"/>
        <w:keepNext w:val="0"/>
        <w:keepLines w:val="0"/>
        <w:widowControl/>
        <w:suppressLineNumbers w:val="0"/>
      </w:pPr>
      <w:r>
        <w:rPr>
          <w:rFonts w:hint="eastAsia" w:ascii="宋体" w:hAnsi="宋体" w:eastAsia="宋体" w:cs="宋体"/>
          <w:sz w:val="21"/>
          <w:szCs w:val="21"/>
        </w:rPr>
        <w:t> </w:t>
      </w:r>
    </w:p>
    <w:p>
      <w:pPr>
        <w:pStyle w:val="6"/>
        <w:keepNext w:val="0"/>
        <w:keepLines w:val="0"/>
        <w:widowControl/>
        <w:suppressLineNumbers w:val="0"/>
      </w:pPr>
      <w:r>
        <w:rPr>
          <w:rFonts w:hint="eastAsia" w:ascii="宋体" w:hAnsi="宋体" w:eastAsia="宋体" w:cs="宋体"/>
          <w:sz w:val="21"/>
          <w:szCs w:val="21"/>
        </w:rPr>
        <w:t> </w:t>
      </w:r>
    </w:p>
    <w:p>
      <w:pPr>
        <w:pStyle w:val="6"/>
        <w:keepNext w:val="0"/>
        <w:keepLines w:val="0"/>
        <w:widowControl/>
        <w:suppressLineNumbers w:val="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6"/>
        <w:keepNext w:val="0"/>
        <w:keepLines w:val="0"/>
        <w:widowControl/>
        <w:suppressLineNumbers w:val="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6"/>
        <w:keepNext w:val="0"/>
        <w:keepLines w:val="0"/>
        <w:widowControl/>
        <w:suppressLineNumbers w:val="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6"/>
        <w:keepNext w:val="0"/>
        <w:keepLines w:val="0"/>
        <w:widowControl/>
        <w:suppressLineNumbers w:val="0"/>
      </w:pPr>
      <w:r>
        <w:rPr>
          <w:rFonts w:hint="eastAsia" w:ascii="宋体" w:hAnsi="宋体" w:eastAsia="宋体" w:cs="宋体"/>
          <w:sz w:val="21"/>
          <w:szCs w:val="21"/>
        </w:rPr>
        <w:t> </w:t>
      </w:r>
    </w:p>
    <w:p>
      <w:pPr>
        <w:pStyle w:val="6"/>
        <w:keepNext w:val="0"/>
        <w:keepLines w:val="0"/>
        <w:widowControl/>
        <w:suppressLineNumbers w:val="0"/>
      </w:pPr>
      <w:r>
        <w:rPr>
          <w:rFonts w:hint="eastAsia" w:ascii="宋体" w:hAnsi="宋体" w:eastAsia="宋体" w:cs="宋体"/>
          <w:sz w:val="21"/>
          <w:szCs w:val="21"/>
        </w:rPr>
        <w:t> </w:t>
      </w:r>
    </w:p>
    <w:p>
      <w:pPr>
        <w:pStyle w:val="6"/>
        <w:keepNext w:val="0"/>
        <w:keepLines w:val="0"/>
        <w:widowControl/>
        <w:suppressLineNumbers w:val="0"/>
        <w:jc w:val="center"/>
      </w:pPr>
      <w:r>
        <w:rPr>
          <w:rFonts w:hint="default" w:ascii="Calibri" w:hAnsi="Calibri" w:cs="Calibri"/>
          <w:sz w:val="21"/>
          <w:szCs w:val="21"/>
        </w:rPr>
        <w:br w:type="textWrapping"/>
      </w:r>
      <w:r>
        <w:rPr>
          <w:rStyle w:val="10"/>
          <w:rFonts w:hint="eastAsia" w:ascii="宋体" w:hAnsi="宋体" w:eastAsia="宋体" w:cs="宋体"/>
          <w:sz w:val="21"/>
          <w:szCs w:val="21"/>
        </w:rPr>
        <w:t>三、商务条件响应表</w:t>
      </w:r>
    </w:p>
    <w:p>
      <w:pPr>
        <w:pStyle w:val="6"/>
        <w:keepNext w:val="0"/>
        <w:keepLines w:val="0"/>
        <w:widowControl/>
        <w:suppressLineNumbers w:val="0"/>
      </w:pPr>
      <w:r>
        <w:rPr>
          <w:rFonts w:hint="eastAsia" w:ascii="宋体" w:hAnsi="宋体" w:eastAsia="宋体" w:cs="宋体"/>
          <w:sz w:val="21"/>
          <w:szCs w:val="21"/>
        </w:rPr>
        <w:t> </w:t>
      </w:r>
    </w:p>
    <w:p>
      <w:pPr>
        <w:pStyle w:val="6"/>
        <w:keepNext w:val="0"/>
        <w:keepLines w:val="0"/>
        <w:widowControl/>
        <w:suppressLineNumbers w:val="0"/>
      </w:pPr>
      <w:r>
        <w:rPr>
          <w:rFonts w:hint="eastAsia" w:ascii="宋体" w:hAnsi="宋体" w:eastAsia="宋体" w:cs="宋体"/>
          <w:sz w:val="21"/>
          <w:szCs w:val="21"/>
        </w:rPr>
        <w:t>招标编号：</w:t>
      </w:r>
      <w:r>
        <w:rPr>
          <w:rFonts w:hint="eastAsia" w:ascii="宋体" w:hAnsi="宋体" w:eastAsia="宋体" w:cs="宋体"/>
          <w:sz w:val="21"/>
          <w:szCs w:val="21"/>
          <w:u w:val="single"/>
        </w:rPr>
        <w:t>                   </w:t>
      </w:r>
    </w:p>
    <w:tbl>
      <w:tblPr>
        <w:tblStyle w:val="7"/>
        <w:tblW w:w="8520"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
      <w:tblGrid>
        <w:gridCol w:w="990"/>
        <w:gridCol w:w="876"/>
        <w:gridCol w:w="2927"/>
        <w:gridCol w:w="1834"/>
        <w:gridCol w:w="189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Ex>
        <w:trPr>
          <w:tblCellSpacing w:w="15" w:type="dxa"/>
        </w:trPr>
        <w:tc>
          <w:tcPr>
            <w:tcW w:w="945" w:type="dxa"/>
            <w:tcBorders>
              <w:top w:val="nil"/>
              <w:left w:val="nil"/>
              <w:bottom w:val="nil"/>
              <w:right w:val="nil"/>
            </w:tcBorders>
            <w:shd w:val="clear" w:color="auto" w:fill="auto"/>
            <w:tcMar>
              <w:top w:w="0" w:type="dxa"/>
              <w:left w:w="105" w:type="dxa"/>
              <w:bottom w:w="0" w:type="dxa"/>
              <w:right w:w="105" w:type="dxa"/>
            </w:tcMar>
            <w:vAlign w:val="center"/>
          </w:tcPr>
          <w:p>
            <w:pPr>
              <w:pStyle w:val="6"/>
              <w:keepNext w:val="0"/>
              <w:keepLines w:val="0"/>
              <w:widowControl/>
              <w:suppressLineNumbers w:val="0"/>
              <w:jc w:val="center"/>
            </w:pPr>
            <w:r>
              <w:rPr>
                <w:rFonts w:hint="eastAsia" w:ascii="宋体" w:hAnsi="宋体" w:eastAsia="宋体" w:cs="宋体"/>
                <w:sz w:val="21"/>
                <w:szCs w:val="21"/>
              </w:rPr>
              <w:t>合同包</w:t>
            </w:r>
          </w:p>
        </w:tc>
        <w:tc>
          <w:tcPr>
            <w:tcW w:w="846" w:type="dxa"/>
            <w:tcBorders>
              <w:top w:val="nil"/>
              <w:left w:val="nil"/>
              <w:bottom w:val="nil"/>
              <w:right w:val="nil"/>
            </w:tcBorders>
            <w:shd w:val="clear" w:color="auto" w:fill="auto"/>
            <w:tcMar>
              <w:top w:w="0" w:type="dxa"/>
              <w:left w:w="105" w:type="dxa"/>
              <w:bottom w:w="0" w:type="dxa"/>
              <w:right w:w="105" w:type="dxa"/>
            </w:tcMar>
            <w:vAlign w:val="center"/>
          </w:tcPr>
          <w:p>
            <w:pPr>
              <w:pStyle w:val="6"/>
              <w:keepNext w:val="0"/>
              <w:keepLines w:val="0"/>
              <w:widowControl/>
              <w:suppressLineNumbers w:val="0"/>
              <w:jc w:val="center"/>
            </w:pPr>
            <w:r>
              <w:rPr>
                <w:rFonts w:hint="eastAsia" w:ascii="宋体" w:hAnsi="宋体" w:eastAsia="宋体" w:cs="宋体"/>
                <w:sz w:val="21"/>
                <w:szCs w:val="21"/>
              </w:rPr>
              <w:t>品目号</w:t>
            </w:r>
          </w:p>
        </w:tc>
        <w:tc>
          <w:tcPr>
            <w:tcW w:w="2897" w:type="dxa"/>
            <w:tcBorders>
              <w:top w:val="nil"/>
              <w:left w:val="nil"/>
              <w:bottom w:val="nil"/>
              <w:right w:val="nil"/>
            </w:tcBorders>
            <w:shd w:val="clear" w:color="auto" w:fill="auto"/>
            <w:tcMar>
              <w:top w:w="0" w:type="dxa"/>
              <w:left w:w="105" w:type="dxa"/>
              <w:bottom w:w="0" w:type="dxa"/>
              <w:right w:w="105" w:type="dxa"/>
            </w:tcMar>
            <w:vAlign w:val="center"/>
          </w:tcPr>
          <w:p>
            <w:pPr>
              <w:pStyle w:val="6"/>
              <w:keepNext w:val="0"/>
              <w:keepLines w:val="0"/>
              <w:widowControl/>
              <w:suppressLineNumbers w:val="0"/>
              <w:jc w:val="center"/>
            </w:pPr>
            <w:r>
              <w:rPr>
                <w:rFonts w:hint="eastAsia" w:ascii="宋体" w:hAnsi="宋体" w:eastAsia="宋体" w:cs="宋体"/>
                <w:sz w:val="21"/>
                <w:szCs w:val="21"/>
              </w:rPr>
              <w:t>商务条件</w:t>
            </w:r>
          </w:p>
        </w:tc>
        <w:tc>
          <w:tcPr>
            <w:tcW w:w="1804" w:type="dxa"/>
            <w:tcBorders>
              <w:top w:val="nil"/>
              <w:left w:val="nil"/>
              <w:bottom w:val="nil"/>
              <w:right w:val="nil"/>
            </w:tcBorders>
            <w:shd w:val="clear" w:color="auto" w:fill="auto"/>
            <w:tcMar>
              <w:top w:w="0" w:type="dxa"/>
              <w:left w:w="105" w:type="dxa"/>
              <w:bottom w:w="0" w:type="dxa"/>
              <w:right w:w="105" w:type="dxa"/>
            </w:tcMar>
            <w:vAlign w:val="center"/>
          </w:tcPr>
          <w:p>
            <w:pPr>
              <w:pStyle w:val="6"/>
              <w:keepNext w:val="0"/>
              <w:keepLines w:val="0"/>
              <w:widowControl/>
              <w:suppressLineNumbers w:val="0"/>
              <w:jc w:val="center"/>
            </w:pPr>
            <w:r>
              <w:rPr>
                <w:rFonts w:hint="eastAsia" w:ascii="宋体" w:hAnsi="宋体" w:eastAsia="宋体" w:cs="宋体"/>
                <w:sz w:val="21"/>
                <w:szCs w:val="21"/>
              </w:rPr>
              <w:t>投标响应</w:t>
            </w:r>
          </w:p>
        </w:tc>
        <w:tc>
          <w:tcPr>
            <w:tcW w:w="1848" w:type="dxa"/>
            <w:tcBorders>
              <w:top w:val="nil"/>
              <w:left w:val="nil"/>
              <w:bottom w:val="nil"/>
              <w:right w:val="nil"/>
            </w:tcBorders>
            <w:shd w:val="clear" w:color="auto" w:fill="auto"/>
            <w:tcMar>
              <w:top w:w="0" w:type="dxa"/>
              <w:left w:w="105" w:type="dxa"/>
              <w:bottom w:w="0" w:type="dxa"/>
              <w:right w:w="105" w:type="dxa"/>
            </w:tcMar>
            <w:vAlign w:val="center"/>
          </w:tcPr>
          <w:p>
            <w:pPr>
              <w:pStyle w:val="6"/>
              <w:keepNext w:val="0"/>
              <w:keepLines w:val="0"/>
              <w:widowControl/>
              <w:suppressLineNumbers w:val="0"/>
              <w:jc w:val="center"/>
            </w:pPr>
            <w:r>
              <w:rPr>
                <w:rFonts w:hint="eastAsia" w:ascii="宋体" w:hAnsi="宋体" w:eastAsia="宋体" w:cs="宋体"/>
                <w:sz w:val="21"/>
                <w:szCs w:val="21"/>
              </w:rPr>
              <w:t>是否偏离及说明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945" w:type="dxa"/>
            <w:vMerge w:val="restart"/>
            <w:tcBorders>
              <w:top w:val="nil"/>
              <w:left w:val="nil"/>
              <w:bottom w:val="nil"/>
              <w:right w:val="nil"/>
            </w:tcBorders>
            <w:shd w:val="clear" w:color="auto" w:fill="auto"/>
            <w:tcMar>
              <w:top w:w="0" w:type="dxa"/>
              <w:left w:w="105" w:type="dxa"/>
              <w:bottom w:w="0" w:type="dxa"/>
              <w:right w:w="105" w:type="dxa"/>
            </w:tcMar>
            <w:vAlign w:val="center"/>
          </w:tcPr>
          <w:p>
            <w:pPr>
              <w:pStyle w:val="6"/>
              <w:keepNext w:val="0"/>
              <w:keepLines w:val="0"/>
              <w:widowControl/>
              <w:suppressLineNumbers w:val="0"/>
              <w:jc w:val="center"/>
            </w:pPr>
            <w:r>
              <w:rPr>
                <w:rFonts w:hint="eastAsia" w:ascii="宋体" w:hAnsi="宋体" w:eastAsia="宋体" w:cs="宋体"/>
                <w:sz w:val="21"/>
                <w:szCs w:val="21"/>
              </w:rPr>
              <w:t>*</w:t>
            </w:r>
          </w:p>
        </w:tc>
        <w:tc>
          <w:tcPr>
            <w:tcW w:w="846" w:type="dxa"/>
            <w:tcBorders>
              <w:top w:val="nil"/>
              <w:left w:val="nil"/>
              <w:bottom w:val="nil"/>
              <w:right w:val="nil"/>
            </w:tcBorders>
            <w:shd w:val="clear" w:color="auto" w:fill="auto"/>
            <w:tcMar>
              <w:top w:w="0" w:type="dxa"/>
              <w:left w:w="105" w:type="dxa"/>
              <w:bottom w:w="0" w:type="dxa"/>
              <w:right w:w="105" w:type="dxa"/>
            </w:tcMar>
            <w:vAlign w:val="center"/>
          </w:tcPr>
          <w:p>
            <w:pPr>
              <w:pStyle w:val="6"/>
              <w:keepNext w:val="0"/>
              <w:keepLines w:val="0"/>
              <w:widowControl/>
              <w:suppressLineNumbers w:val="0"/>
              <w:jc w:val="center"/>
            </w:pPr>
            <w:r>
              <w:rPr>
                <w:rFonts w:hint="eastAsia" w:ascii="宋体" w:hAnsi="宋体" w:eastAsia="宋体" w:cs="宋体"/>
                <w:sz w:val="21"/>
                <w:szCs w:val="21"/>
              </w:rPr>
              <w:t>*-1</w:t>
            </w:r>
          </w:p>
        </w:tc>
        <w:tc>
          <w:tcPr>
            <w:tcW w:w="2897"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jc w:val="left"/>
            </w:pPr>
          </w:p>
        </w:tc>
        <w:tc>
          <w:tcPr>
            <w:tcW w:w="1804"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jc w:val="left"/>
            </w:pPr>
          </w:p>
        </w:tc>
        <w:tc>
          <w:tcPr>
            <w:tcW w:w="1848"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945" w:type="dxa"/>
            <w:vMerge w:val="continue"/>
            <w:tcBorders>
              <w:top w:val="nil"/>
              <w:left w:val="nil"/>
              <w:bottom w:val="nil"/>
              <w:right w:val="nil"/>
            </w:tcBorders>
            <w:shd w:val="clear" w:color="auto" w:fill="auto"/>
            <w:tcMar>
              <w:top w:w="0" w:type="dxa"/>
              <w:left w:w="105" w:type="dxa"/>
              <w:bottom w:w="0" w:type="dxa"/>
              <w:right w:w="105" w:type="dxa"/>
            </w:tcMar>
            <w:vAlign w:val="center"/>
          </w:tcPr>
          <w:p>
            <w:pPr>
              <w:rPr>
                <w:rFonts w:hint="eastAsia" w:ascii="宋体"/>
                <w:sz w:val="24"/>
                <w:szCs w:val="24"/>
              </w:rPr>
            </w:pPr>
          </w:p>
        </w:tc>
        <w:tc>
          <w:tcPr>
            <w:tcW w:w="846" w:type="dxa"/>
            <w:tcBorders>
              <w:top w:val="nil"/>
              <w:left w:val="nil"/>
              <w:bottom w:val="nil"/>
              <w:right w:val="nil"/>
            </w:tcBorders>
            <w:shd w:val="clear" w:color="auto" w:fill="auto"/>
            <w:tcMar>
              <w:top w:w="0" w:type="dxa"/>
              <w:left w:w="105" w:type="dxa"/>
              <w:bottom w:w="0" w:type="dxa"/>
              <w:right w:w="105" w:type="dxa"/>
            </w:tcMar>
            <w:vAlign w:val="center"/>
          </w:tcPr>
          <w:p>
            <w:pPr>
              <w:pStyle w:val="6"/>
              <w:keepNext w:val="0"/>
              <w:keepLines w:val="0"/>
              <w:widowControl/>
              <w:suppressLineNumbers w:val="0"/>
              <w:jc w:val="center"/>
            </w:pPr>
            <w:r>
              <w:rPr>
                <w:rFonts w:hint="default" w:ascii="Calibri" w:hAnsi="Calibri" w:cs="Calibri"/>
                <w:sz w:val="21"/>
                <w:szCs w:val="21"/>
              </w:rPr>
              <w:t>…</w:t>
            </w:r>
          </w:p>
        </w:tc>
        <w:tc>
          <w:tcPr>
            <w:tcW w:w="2897"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jc w:val="left"/>
            </w:pPr>
          </w:p>
        </w:tc>
        <w:tc>
          <w:tcPr>
            <w:tcW w:w="1804"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jc w:val="left"/>
            </w:pPr>
          </w:p>
        </w:tc>
        <w:tc>
          <w:tcPr>
            <w:tcW w:w="1848"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945" w:type="dxa"/>
            <w:tcBorders>
              <w:top w:val="nil"/>
              <w:left w:val="nil"/>
              <w:bottom w:val="nil"/>
              <w:right w:val="nil"/>
            </w:tcBorders>
            <w:shd w:val="clear" w:color="auto" w:fill="auto"/>
            <w:tcMar>
              <w:top w:w="0" w:type="dxa"/>
              <w:left w:w="105" w:type="dxa"/>
              <w:bottom w:w="0" w:type="dxa"/>
              <w:right w:w="105" w:type="dxa"/>
            </w:tcMar>
            <w:vAlign w:val="center"/>
          </w:tcPr>
          <w:p>
            <w:pPr>
              <w:pStyle w:val="6"/>
              <w:keepNext w:val="0"/>
              <w:keepLines w:val="0"/>
              <w:widowControl/>
              <w:suppressLineNumbers w:val="0"/>
              <w:jc w:val="center"/>
            </w:pPr>
            <w:r>
              <w:rPr>
                <w:rFonts w:hint="default" w:ascii="Calibri" w:hAnsi="Calibri" w:cs="Calibri"/>
                <w:sz w:val="21"/>
                <w:szCs w:val="21"/>
              </w:rPr>
              <w:t>…</w:t>
            </w:r>
          </w:p>
        </w:tc>
        <w:tc>
          <w:tcPr>
            <w:tcW w:w="846"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2897"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1804"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1848"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r>
    </w:tbl>
    <w:p>
      <w:pPr>
        <w:pStyle w:val="6"/>
        <w:keepNext w:val="0"/>
        <w:keepLines w:val="0"/>
        <w:widowControl/>
        <w:suppressLineNumbers w:val="0"/>
      </w:pPr>
      <w:r>
        <w:rPr>
          <w:rFonts w:hint="eastAsia" w:ascii="宋体" w:hAnsi="宋体" w:eastAsia="宋体" w:cs="宋体"/>
          <w:sz w:val="21"/>
          <w:szCs w:val="21"/>
        </w:rPr>
        <w:t>★注意：</w:t>
      </w:r>
    </w:p>
    <w:p>
      <w:pPr>
        <w:pStyle w:val="6"/>
        <w:keepNext w:val="0"/>
        <w:keepLines w:val="0"/>
        <w:widowControl/>
        <w:suppressLineNumbers w:val="0"/>
      </w:pPr>
      <w:r>
        <w:rPr>
          <w:rFonts w:hint="eastAsia" w:ascii="宋体" w:hAnsi="宋体" w:eastAsia="宋体" w:cs="宋体"/>
          <w:sz w:val="21"/>
          <w:szCs w:val="21"/>
        </w:rPr>
        <w:t>1、本表应按照下列规定填写：</w:t>
      </w:r>
    </w:p>
    <w:p>
      <w:pPr>
        <w:pStyle w:val="6"/>
        <w:keepNext w:val="0"/>
        <w:keepLines w:val="0"/>
        <w:widowControl/>
        <w:suppressLineNumbers w:val="0"/>
      </w:pPr>
      <w:r>
        <w:rPr>
          <w:rFonts w:hint="eastAsia" w:ascii="宋体" w:hAnsi="宋体" w:eastAsia="宋体" w:cs="宋体"/>
          <w:sz w:val="21"/>
          <w:szCs w:val="21"/>
        </w:rPr>
        <w:t>1.1“商务条件”项下填写的内容应与招标文件第五章“商务条件”的内容保持一致。</w:t>
      </w:r>
    </w:p>
    <w:p>
      <w:pPr>
        <w:pStyle w:val="6"/>
        <w:keepNext w:val="0"/>
        <w:keepLines w:val="0"/>
        <w:widowControl/>
        <w:suppressLineNumbers w:val="0"/>
      </w:pPr>
      <w:r>
        <w:rPr>
          <w:rFonts w:hint="eastAsia" w:ascii="宋体" w:hAnsi="宋体" w:eastAsia="宋体" w:cs="宋体"/>
          <w:sz w:val="21"/>
          <w:szCs w:val="21"/>
        </w:rPr>
        <w:t>1.2“投标响应”项下应填写具体的响应内容并与“商务条件”项下填写的内容逐项对应；对“商务条件”项下涉及“≥或＞”、“≤或＜”及某个区间值范围内的内容，应填写具体的数值。</w:t>
      </w:r>
    </w:p>
    <w:p>
      <w:pPr>
        <w:pStyle w:val="6"/>
        <w:keepNext w:val="0"/>
        <w:keepLines w:val="0"/>
        <w:widowControl/>
        <w:suppressLineNumbers w:val="0"/>
      </w:pPr>
      <w:r>
        <w:rPr>
          <w:rFonts w:hint="eastAsia" w:ascii="宋体" w:hAnsi="宋体" w:eastAsia="宋体" w:cs="宋体"/>
          <w:sz w:val="21"/>
          <w:szCs w:val="21"/>
        </w:rPr>
        <w:t>1.3“是否偏离及说明”项下应按下列规定填写：优于的，填写“正偏离”；符合的，填写“无偏离”；低于的，填写“负偏离”。</w:t>
      </w:r>
    </w:p>
    <w:p>
      <w:pPr>
        <w:pStyle w:val="6"/>
        <w:keepNext w:val="0"/>
        <w:keepLines w:val="0"/>
        <w:widowControl/>
        <w:suppressLineNumbers w:val="0"/>
      </w:pPr>
      <w:r>
        <w:rPr>
          <w:rFonts w:hint="eastAsia" w:ascii="宋体" w:hAnsi="宋体" w:eastAsia="宋体" w:cs="宋体"/>
          <w:sz w:val="21"/>
          <w:szCs w:val="21"/>
        </w:rPr>
        <w:t>2、投标人需要说明的内容若需特殊表达，应先在本表中进行相应说明，再另页应答，否则</w:t>
      </w:r>
      <w:r>
        <w:rPr>
          <w:rStyle w:val="10"/>
          <w:rFonts w:hint="eastAsia" w:ascii="宋体" w:hAnsi="宋体" w:eastAsia="宋体" w:cs="宋体"/>
          <w:sz w:val="21"/>
          <w:szCs w:val="21"/>
        </w:rPr>
        <w:t>投标无效</w:t>
      </w:r>
      <w:r>
        <w:rPr>
          <w:rFonts w:hint="eastAsia" w:ascii="宋体" w:hAnsi="宋体" w:eastAsia="宋体" w:cs="宋体"/>
          <w:sz w:val="21"/>
          <w:szCs w:val="21"/>
        </w:rPr>
        <w:t>。</w:t>
      </w:r>
    </w:p>
    <w:p>
      <w:pPr>
        <w:pStyle w:val="6"/>
        <w:keepNext w:val="0"/>
        <w:keepLines w:val="0"/>
        <w:widowControl/>
        <w:suppressLineNumbers w:val="0"/>
      </w:pPr>
      <w:r>
        <w:rPr>
          <w:rFonts w:hint="eastAsia" w:ascii="宋体" w:hAnsi="宋体" w:eastAsia="宋体" w:cs="宋体"/>
          <w:sz w:val="21"/>
          <w:szCs w:val="21"/>
        </w:rPr>
        <w:t>3、纸质投标文件正本中的本表应为原件。</w:t>
      </w:r>
    </w:p>
    <w:p>
      <w:pPr>
        <w:pStyle w:val="6"/>
        <w:keepNext w:val="0"/>
        <w:keepLines w:val="0"/>
        <w:widowControl/>
        <w:suppressLineNumbers w:val="0"/>
      </w:pPr>
      <w:r>
        <w:rPr>
          <w:rFonts w:hint="eastAsia" w:ascii="宋体" w:hAnsi="宋体" w:eastAsia="宋体" w:cs="宋体"/>
          <w:sz w:val="21"/>
          <w:szCs w:val="21"/>
        </w:rPr>
        <w:t> </w:t>
      </w:r>
    </w:p>
    <w:p>
      <w:pPr>
        <w:pStyle w:val="6"/>
        <w:keepNext w:val="0"/>
        <w:keepLines w:val="0"/>
        <w:widowControl/>
        <w:suppressLineNumbers w:val="0"/>
      </w:pPr>
      <w:r>
        <w:rPr>
          <w:rFonts w:hint="eastAsia" w:ascii="宋体" w:hAnsi="宋体" w:eastAsia="宋体" w:cs="宋体"/>
          <w:sz w:val="21"/>
          <w:szCs w:val="21"/>
        </w:rPr>
        <w:t> </w:t>
      </w:r>
    </w:p>
    <w:p>
      <w:pPr>
        <w:pStyle w:val="6"/>
        <w:keepNext w:val="0"/>
        <w:keepLines w:val="0"/>
        <w:widowControl/>
        <w:suppressLineNumbers w:val="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6"/>
        <w:keepNext w:val="0"/>
        <w:keepLines w:val="0"/>
        <w:widowControl/>
        <w:suppressLineNumbers w:val="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6"/>
        <w:keepNext w:val="0"/>
        <w:keepLines w:val="0"/>
        <w:widowControl/>
        <w:suppressLineNumbers w:val="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6"/>
        <w:keepNext w:val="0"/>
        <w:keepLines w:val="0"/>
        <w:widowControl/>
        <w:suppressLineNumbers w:val="0"/>
      </w:pPr>
      <w:r>
        <w:rPr>
          <w:rFonts w:hint="eastAsia" w:ascii="宋体" w:hAnsi="宋体" w:eastAsia="宋体" w:cs="宋体"/>
          <w:sz w:val="21"/>
          <w:szCs w:val="21"/>
        </w:rPr>
        <w:t> </w:t>
      </w:r>
    </w:p>
    <w:p>
      <w:pPr>
        <w:pStyle w:val="6"/>
        <w:keepNext w:val="0"/>
        <w:keepLines w:val="0"/>
        <w:widowControl/>
        <w:suppressLineNumbers w:val="0"/>
      </w:pPr>
      <w:r>
        <w:rPr>
          <w:rFonts w:hint="eastAsia" w:ascii="宋体" w:hAnsi="宋体" w:eastAsia="宋体" w:cs="宋体"/>
          <w:sz w:val="21"/>
          <w:szCs w:val="21"/>
        </w:rPr>
        <w:t> </w:t>
      </w:r>
    </w:p>
    <w:p>
      <w:pPr>
        <w:pStyle w:val="6"/>
        <w:keepNext w:val="0"/>
        <w:keepLines w:val="0"/>
        <w:widowControl/>
        <w:suppressLineNumbers w:val="0"/>
        <w:jc w:val="center"/>
      </w:pPr>
      <w:r>
        <w:rPr>
          <w:rFonts w:hint="eastAsia" w:ascii="宋体" w:hAnsi="宋体" w:eastAsia="宋体" w:cs="宋体"/>
          <w:sz w:val="21"/>
          <w:szCs w:val="21"/>
        </w:rPr>
        <w:br w:type="textWrapping"/>
      </w:r>
      <w:r>
        <w:rPr>
          <w:rStyle w:val="10"/>
          <w:rFonts w:hint="eastAsia" w:ascii="宋体" w:hAnsi="宋体" w:eastAsia="宋体" w:cs="宋体"/>
          <w:sz w:val="21"/>
          <w:szCs w:val="21"/>
        </w:rPr>
        <w:t>四、投标人提交的其他资料（若有）</w:t>
      </w:r>
    </w:p>
    <w:p>
      <w:pPr>
        <w:pStyle w:val="6"/>
        <w:keepNext w:val="0"/>
        <w:keepLines w:val="0"/>
        <w:widowControl/>
        <w:suppressLineNumbers w:val="0"/>
      </w:pPr>
      <w:r>
        <w:rPr>
          <w:rFonts w:hint="eastAsia" w:ascii="宋体" w:hAnsi="宋体" w:eastAsia="宋体" w:cs="宋体"/>
          <w:sz w:val="21"/>
          <w:szCs w:val="21"/>
        </w:rPr>
        <w:t> </w:t>
      </w:r>
    </w:p>
    <w:p>
      <w:pPr>
        <w:pStyle w:val="6"/>
        <w:keepNext w:val="0"/>
        <w:keepLines w:val="0"/>
        <w:widowControl/>
        <w:suppressLineNumbers w:val="0"/>
      </w:pPr>
      <w:r>
        <w:rPr>
          <w:rFonts w:hint="eastAsia" w:ascii="宋体" w:hAnsi="宋体" w:eastAsia="宋体" w:cs="宋体"/>
          <w:sz w:val="21"/>
          <w:szCs w:val="21"/>
        </w:rPr>
        <w:t> </w:t>
      </w:r>
    </w:p>
    <w:p>
      <w:pPr>
        <w:pStyle w:val="6"/>
        <w:keepNext w:val="0"/>
        <w:keepLines w:val="0"/>
        <w:widowControl/>
        <w:suppressLineNumbers w:val="0"/>
        <w:jc w:val="center"/>
      </w:pPr>
      <w:r>
        <w:rPr>
          <w:rFonts w:hint="eastAsia" w:ascii="宋体" w:hAnsi="宋体" w:eastAsia="宋体" w:cs="宋体"/>
          <w:sz w:val="21"/>
          <w:szCs w:val="21"/>
        </w:rPr>
        <w:t>编制说明</w:t>
      </w:r>
    </w:p>
    <w:p>
      <w:pPr>
        <w:pStyle w:val="6"/>
        <w:keepNext w:val="0"/>
        <w:keepLines w:val="0"/>
        <w:widowControl/>
        <w:suppressLineNumbers w:val="0"/>
      </w:pPr>
      <w:r>
        <w:rPr>
          <w:rFonts w:hint="eastAsia" w:ascii="宋体" w:hAnsi="宋体" w:eastAsia="宋体" w:cs="宋体"/>
          <w:sz w:val="21"/>
          <w:szCs w:val="21"/>
        </w:rPr>
        <w:t> </w:t>
      </w:r>
    </w:p>
    <w:p>
      <w:pPr>
        <w:pStyle w:val="6"/>
        <w:keepNext w:val="0"/>
        <w:keepLines w:val="0"/>
        <w:widowControl/>
        <w:suppressLineNumbers w:val="0"/>
      </w:pPr>
      <w:r>
        <w:rPr>
          <w:rFonts w:hint="eastAsia" w:ascii="宋体" w:hAnsi="宋体" w:eastAsia="宋体" w:cs="宋体"/>
          <w:sz w:val="21"/>
          <w:szCs w:val="21"/>
        </w:rPr>
        <w:t>1、招标文件要求提交的除</w:t>
      </w:r>
      <w:r>
        <w:rPr>
          <w:rStyle w:val="10"/>
          <w:rFonts w:hint="eastAsia" w:ascii="宋体" w:hAnsi="宋体" w:eastAsia="宋体" w:cs="宋体"/>
          <w:sz w:val="21"/>
          <w:szCs w:val="21"/>
        </w:rPr>
        <w:t>“资格及资信证明部分”、“报价部分”</w:t>
      </w:r>
      <w:r>
        <w:rPr>
          <w:rFonts w:hint="eastAsia" w:ascii="宋体" w:hAnsi="宋体" w:eastAsia="宋体" w:cs="宋体"/>
          <w:sz w:val="21"/>
          <w:szCs w:val="21"/>
        </w:rPr>
        <w:t>外的其他证明材料或资料加盖投标人的单位公章后应在此项下提交。</w:t>
      </w:r>
    </w:p>
    <w:p>
      <w:pPr>
        <w:pStyle w:val="6"/>
        <w:keepNext w:val="0"/>
        <w:keepLines w:val="0"/>
        <w:widowControl/>
        <w:suppressLineNumbers w:val="0"/>
      </w:pPr>
      <w:r>
        <w:rPr>
          <w:rFonts w:hint="eastAsia" w:ascii="宋体" w:hAnsi="宋体" w:eastAsia="宋体" w:cs="宋体"/>
          <w:sz w:val="21"/>
          <w:szCs w:val="21"/>
        </w:rPr>
        <w:t>2、招标文件要求投标人提供方案（包括但不限于：组织、实施、技术、服务方案等）的，投标人应在此项下提交。</w:t>
      </w:r>
    </w:p>
    <w:p>
      <w:pPr>
        <w:pStyle w:val="6"/>
        <w:keepNext w:val="0"/>
        <w:keepLines w:val="0"/>
        <w:widowControl/>
        <w:suppressLineNumbers w:val="0"/>
      </w:pPr>
      <w:r>
        <w:rPr>
          <w:rFonts w:hint="eastAsia" w:ascii="宋体" w:hAnsi="宋体" w:eastAsia="宋体" w:cs="宋体"/>
          <w:sz w:val="21"/>
          <w:szCs w:val="21"/>
        </w:rPr>
        <w:t>3、除招标文件另有规定外，投标人认为需要提交的其他证明材料或资料加盖投标人的单位公章后应在此项下提交。</w:t>
      </w:r>
    </w:p>
    <w:p>
      <w:pPr>
        <w:pStyle w:val="6"/>
        <w:keepNext w:val="0"/>
        <w:keepLines w:val="0"/>
        <w:widowControl/>
        <w:suppressLineNumbers w:val="0"/>
      </w:pPr>
      <w:r>
        <w:rPr>
          <w:rFonts w:hint="eastAsia" w:ascii="宋体" w:hAnsi="宋体" w:eastAsia="宋体" w:cs="宋体"/>
          <w:sz w:val="21"/>
          <w:szCs w:val="21"/>
        </w:rPr>
        <w:t> </w:t>
      </w:r>
    </w:p>
    <w:p>
      <w:pPr>
        <w:pStyle w:val="6"/>
        <w:keepNext w:val="0"/>
        <w:keepLines w:val="0"/>
        <w:widowControl/>
        <w:suppressLineNumbers w:val="0"/>
        <w:rPr>
          <w:b/>
          <w:bCs/>
        </w:rPr>
      </w:pPr>
      <w:r>
        <w:rPr>
          <w:b/>
          <w:bCs/>
        </w:rPr>
        <w:t>采购文件相关附件</w:t>
      </w:r>
    </w:p>
    <w:p>
      <w:pPr>
        <w:keepNext w:val="0"/>
        <w:keepLines w:val="0"/>
        <w:widowControl/>
        <w:suppressLineNumbers w:val="0"/>
        <w:jc w:val="left"/>
      </w:pPr>
      <w:r>
        <w:rPr>
          <w:rFonts w:hint="default" w:ascii="Calibri" w:hAnsi="Calibri" w:eastAsia="宋体" w:cs="Calibri"/>
          <w:spacing w:val="0"/>
          <w:kern w:val="0"/>
          <w:sz w:val="21"/>
          <w:szCs w:val="21"/>
          <w:lang w:val="en-US" w:eastAsia="zh-CN" w:bidi="ar"/>
        </w:rPr>
        <w:t> </w:t>
      </w:r>
    </w:p>
    <w:p>
      <w:pPr>
        <w:pStyle w:val="6"/>
        <w:keepNext w:val="0"/>
        <w:keepLines w:val="0"/>
        <w:widowControl/>
        <w:suppressLineNumbers w:val="0"/>
        <w:spacing w:before="75" w:beforeAutospacing="0" w:after="75" w:afterAutospacing="0"/>
        <w:ind w:left="0" w:right="0" w:firstLine="0"/>
      </w:pPr>
      <w:r>
        <w:rPr>
          <w:rFonts w:hint="default" w:ascii="Calibri" w:hAnsi="Calibri" w:cs="Calibri"/>
          <w:spacing w:val="0"/>
          <w:sz w:val="21"/>
          <w:szCs w:val="21"/>
        </w:rPr>
        <w:t> </w:t>
      </w:r>
    </w:p>
    <w:sectPr>
      <w:pgSz w:w="11906" w:h="16838"/>
      <w:pgMar w:top="1440" w:right="1803" w:bottom="1440" w:left="1803" w:header="851" w:footer="992" w:gutter="0"/>
      <w:pgBorders w:offsetFrom="page">
        <w:top w:val="none" w:sz="0" w:space="0"/>
        <w:left w:val="none" w:sz="0" w:space="0"/>
        <w:bottom w:val="none" w:sz="0" w:space="0"/>
        <w:right w:val="none" w:sz="0" w:space="0"/>
      </w:pgBorders>
      <w:cols w:space="72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v:fill on="f" focussize="0,0"/>
              <v:stroke on="f"/>
              <v:imagedata o:title=""/>
              <o:lock v:ext="edit" aspectratio="f"/>
              <v:textbox inset="0mm,0mm,0mm,0mm" style="mso-fit-shape-to-text:t;">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6FD7862"/>
    <w:multiLevelType w:val="singleLevel"/>
    <w:tmpl w:val="A6FD7862"/>
    <w:lvl w:ilvl="0" w:tentative="0">
      <w:start w:val="6"/>
      <w:numFmt w:val="decimal"/>
      <w:suff w:val="nothing"/>
      <w:lvlText w:val="%1、"/>
      <w:lvlJc w:val="left"/>
    </w:lvl>
  </w:abstractNum>
  <w:abstractNum w:abstractNumId="1">
    <w:nsid w:val="AF34E803"/>
    <w:multiLevelType w:val="singleLevel"/>
    <w:tmpl w:val="AF34E803"/>
    <w:lvl w:ilvl="0" w:tentative="0">
      <w:start w:val="1"/>
      <w:numFmt w:val="decimal"/>
      <w:suff w:val="nothing"/>
      <w:lvlText w:val="（%1）"/>
      <w:lvlJc w:val="left"/>
    </w:lvl>
  </w:abstractNum>
  <w:abstractNum w:abstractNumId="2">
    <w:nsid w:val="B74F26EC"/>
    <w:multiLevelType w:val="singleLevel"/>
    <w:tmpl w:val="B74F26EC"/>
    <w:lvl w:ilvl="0" w:tentative="0">
      <w:start w:val="1"/>
      <w:numFmt w:val="decimal"/>
      <w:suff w:val="nothing"/>
      <w:lvlText w:val="%1、"/>
      <w:lvlJc w:val="left"/>
    </w:lvl>
  </w:abstractNum>
  <w:abstractNum w:abstractNumId="3">
    <w:nsid w:val="D8BA8D3A"/>
    <w:multiLevelType w:val="singleLevel"/>
    <w:tmpl w:val="D8BA8D3A"/>
    <w:lvl w:ilvl="0" w:tentative="0">
      <w:start w:val="1"/>
      <w:numFmt w:val="decimal"/>
      <w:suff w:val="nothing"/>
      <w:lvlText w:val="（%1）"/>
      <w:lvlJc w:val="left"/>
    </w:lvl>
  </w:abstractNum>
  <w:abstractNum w:abstractNumId="4">
    <w:nsid w:val="E77DBAE0"/>
    <w:multiLevelType w:val="singleLevel"/>
    <w:tmpl w:val="E77DBAE0"/>
    <w:lvl w:ilvl="0" w:tentative="0">
      <w:start w:val="2"/>
      <w:numFmt w:val="decimal"/>
      <w:suff w:val="nothing"/>
      <w:lvlText w:val="%1、"/>
      <w:lvlJc w:val="left"/>
    </w:lvl>
  </w:abstractNum>
  <w:abstractNum w:abstractNumId="5">
    <w:nsid w:val="0A5BDC3B"/>
    <w:multiLevelType w:val="singleLevel"/>
    <w:tmpl w:val="0A5BDC3B"/>
    <w:lvl w:ilvl="0" w:tentative="0">
      <w:start w:val="1"/>
      <w:numFmt w:val="decimal"/>
      <w:suff w:val="nothing"/>
      <w:lvlText w:val="（%1）"/>
      <w:lvlJc w:val="left"/>
    </w:lvl>
  </w:abstractNum>
  <w:abstractNum w:abstractNumId="6">
    <w:nsid w:val="2232FE14"/>
    <w:multiLevelType w:val="singleLevel"/>
    <w:tmpl w:val="2232FE14"/>
    <w:lvl w:ilvl="0" w:tentative="0">
      <w:start w:val="12"/>
      <w:numFmt w:val="decimal"/>
      <w:suff w:val="nothing"/>
      <w:lvlText w:val="%1、"/>
      <w:lvlJc w:val="left"/>
    </w:lvl>
  </w:abstractNum>
  <w:abstractNum w:abstractNumId="7">
    <w:nsid w:val="3973597E"/>
    <w:multiLevelType w:val="singleLevel"/>
    <w:tmpl w:val="3973597E"/>
    <w:lvl w:ilvl="0" w:tentative="0">
      <w:start w:val="1"/>
      <w:numFmt w:val="decimal"/>
      <w:suff w:val="nothing"/>
      <w:lvlText w:val="%1、"/>
      <w:lvlJc w:val="left"/>
    </w:lvl>
  </w:abstractNum>
  <w:abstractNum w:abstractNumId="8">
    <w:nsid w:val="39C4B52C"/>
    <w:multiLevelType w:val="singleLevel"/>
    <w:tmpl w:val="39C4B52C"/>
    <w:lvl w:ilvl="0" w:tentative="0">
      <w:start w:val="1"/>
      <w:numFmt w:val="decimal"/>
      <w:suff w:val="nothing"/>
      <w:lvlText w:val="（%1）"/>
      <w:lvlJc w:val="left"/>
    </w:lvl>
  </w:abstractNum>
  <w:abstractNum w:abstractNumId="9">
    <w:nsid w:val="470DD048"/>
    <w:multiLevelType w:val="singleLevel"/>
    <w:tmpl w:val="470DD048"/>
    <w:lvl w:ilvl="0" w:tentative="0">
      <w:start w:val="1"/>
      <w:numFmt w:val="decimal"/>
      <w:suff w:val="nothing"/>
      <w:lvlText w:val="（%1）"/>
      <w:lvlJc w:val="left"/>
    </w:lvl>
  </w:abstractNum>
  <w:abstractNum w:abstractNumId="10">
    <w:nsid w:val="51F420FC"/>
    <w:multiLevelType w:val="singleLevel"/>
    <w:tmpl w:val="51F420FC"/>
    <w:lvl w:ilvl="0" w:tentative="0">
      <w:start w:val="1"/>
      <w:numFmt w:val="upperLetter"/>
      <w:suff w:val="nothing"/>
      <w:lvlText w:val="%1、"/>
      <w:lvlJc w:val="left"/>
    </w:lvl>
  </w:abstractNum>
  <w:abstractNum w:abstractNumId="11">
    <w:nsid w:val="5AE6AD85"/>
    <w:multiLevelType w:val="singleLevel"/>
    <w:tmpl w:val="5AE6AD85"/>
    <w:lvl w:ilvl="0" w:tentative="0">
      <w:start w:val="1"/>
      <w:numFmt w:val="decimal"/>
      <w:suff w:val="nothing"/>
      <w:lvlText w:val="（%1）"/>
      <w:lvlJc w:val="left"/>
    </w:lvl>
  </w:abstractNum>
  <w:abstractNum w:abstractNumId="12">
    <w:nsid w:val="7466119F"/>
    <w:multiLevelType w:val="singleLevel"/>
    <w:tmpl w:val="7466119F"/>
    <w:lvl w:ilvl="0" w:tentative="0">
      <w:start w:val="2"/>
      <w:numFmt w:val="chineseCounting"/>
      <w:suff w:val="nothing"/>
      <w:lvlText w:val="%1、"/>
      <w:lvlJc w:val="left"/>
      <w:rPr>
        <w:rFonts w:hint="eastAsia"/>
      </w:rPr>
    </w:lvl>
  </w:abstractNum>
  <w:num w:numId="1">
    <w:abstractNumId w:val="6"/>
  </w:num>
  <w:num w:numId="2">
    <w:abstractNumId w:val="12"/>
  </w:num>
  <w:num w:numId="3">
    <w:abstractNumId w:val="10"/>
  </w:num>
  <w:num w:numId="4">
    <w:abstractNumId w:val="3"/>
  </w:num>
  <w:num w:numId="5">
    <w:abstractNumId w:val="0"/>
  </w:num>
  <w:num w:numId="6">
    <w:abstractNumId w:val="4"/>
  </w:num>
  <w:num w:numId="7">
    <w:abstractNumId w:val="11"/>
  </w:num>
  <w:num w:numId="8">
    <w:abstractNumId w:val="1"/>
  </w:num>
  <w:num w:numId="9">
    <w:abstractNumId w:val="2"/>
  </w:num>
  <w:num w:numId="10">
    <w:abstractNumId w:val="5"/>
  </w:num>
  <w:num w:numId="11">
    <w:abstractNumId w:val="7"/>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DB2964"/>
    <w:rsid w:val="3BF52276"/>
    <w:rsid w:val="42DB2964"/>
    <w:rsid w:val="45CC2929"/>
    <w:rsid w:val="5266281E"/>
    <w:rsid w:val="52902E78"/>
    <w:rsid w:val="5856709C"/>
    <w:rsid w:val="5F1C332A"/>
    <w:rsid w:val="6B7D074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9">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customStyle="1" w:styleId="2">
    <w:name w:val="正文格式"/>
    <w:basedOn w:val="1"/>
    <w:qFormat/>
    <w:uiPriority w:val="0"/>
    <w:pPr>
      <w:widowControl/>
      <w:adjustRightInd w:val="0"/>
      <w:snapToGrid w:val="0"/>
      <w:spacing w:line="400" w:lineRule="atLeast"/>
      <w:ind w:firstLine="482"/>
      <w:textAlignment w:val="baseline"/>
    </w:pPr>
    <w:rPr>
      <w:kern w:val="0"/>
      <w:sz w:val="24"/>
    </w:rPr>
  </w:style>
  <w:style w:type="paragraph" w:styleId="4">
    <w:name w:val="annotation text"/>
    <w:basedOn w:val="1"/>
    <w:qFormat/>
    <w:uiPriority w:val="0"/>
    <w:pPr>
      <w:jc w:val="left"/>
    </w:pPr>
  </w:style>
  <w:style w:type="paragraph" w:styleId="5">
    <w:name w:val="footer"/>
    <w:basedOn w:val="1"/>
    <w:qFormat/>
    <w:uiPriority w:val="0"/>
    <w:pPr>
      <w:tabs>
        <w:tab w:val="center" w:pos="4153"/>
        <w:tab w:val="right" w:pos="8306"/>
      </w:tabs>
      <w:snapToGrid w:val="0"/>
      <w:jc w:val="left"/>
    </w:pPr>
    <w:rPr>
      <w:sz w:val="18"/>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0">
    <w:name w:val="Strong"/>
    <w:basedOn w:val="9"/>
    <w:qFormat/>
    <w:uiPriority w:val="0"/>
    <w:rPr>
      <w:b/>
    </w:rPr>
  </w:style>
  <w:style w:type="character" w:styleId="11">
    <w:name w:val="Hyperlink"/>
    <w:basedOn w:val="9"/>
    <w:qFormat/>
    <w:uiPriority w:val="0"/>
    <w:rPr>
      <w:color w:val="0000FF"/>
      <w:u w:val="single"/>
    </w:rPr>
  </w:style>
  <w:style w:type="character" w:customStyle="1" w:styleId="12">
    <w:name w:val="font01"/>
    <w:basedOn w:val="9"/>
    <w:qFormat/>
    <w:uiPriority w:val="0"/>
    <w:rPr>
      <w:rFonts w:hint="eastAsia" w:ascii="宋体" w:hAnsi="宋体" w:eastAsia="宋体" w:cs="宋体"/>
      <w:color w:val="000000"/>
      <w:sz w:val="24"/>
      <w:szCs w:val="24"/>
      <w:u w:val="none"/>
    </w:rPr>
  </w:style>
  <w:style w:type="character" w:customStyle="1" w:styleId="13">
    <w:name w:val="NormalCharacter"/>
    <w:semiHidden/>
    <w:qFormat/>
    <w:uiPriority w:val="0"/>
    <w:rPr>
      <w:rFonts w:ascii="Calibri" w:hAnsi="Calibri" w:eastAsia="宋体" w:cs="Times New Roman"/>
      <w:kern w:val="2"/>
      <w:sz w:val="21"/>
      <w:szCs w:val="24"/>
      <w:lang w:val="en-US" w:eastAsia="zh-CN" w:bidi="ar-SA"/>
    </w:rPr>
  </w:style>
  <w:style w:type="character" w:customStyle="1" w:styleId="14">
    <w:name w:val="font51"/>
    <w:basedOn w:val="9"/>
    <w:qFormat/>
    <w:uiPriority w:val="0"/>
    <w:rPr>
      <w:rFonts w:ascii="Arial" w:hAnsi="Arial" w:cs="Arial"/>
      <w:b/>
      <w:color w:val="000000"/>
      <w:sz w:val="24"/>
      <w:szCs w:val="24"/>
      <w:u w:val="none"/>
    </w:rPr>
  </w:style>
  <w:style w:type="paragraph" w:customStyle="1" w:styleId="15">
    <w:name w:val="列出段落1"/>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2019-09-06T05:44:00Z</dcterms:created>
  <dc:creator>Administrator</dc:creator>
  <cp:lastModifiedBy>Administrator</cp:lastModifiedBy>
  <dcterms:modified xsi:type="dcterms:W3CDTF">2019-09-06T08:35:12Z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