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黑体" w:hAnsi="黑体" w:eastAsia="黑体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方正黑体_GBK"/>
          <w:kern w:val="2"/>
          <w:sz w:val="32"/>
          <w:szCs w:val="32"/>
          <w:lang w:val="en-US" w:eastAsia="zh-CN" w:bidi="ar-SA"/>
        </w:rPr>
        <w:t>附件6-2</w:t>
      </w:r>
    </w:p>
    <w:p>
      <w:pPr>
        <w:spacing w:line="700" w:lineRule="exact"/>
        <w:rPr>
          <w:rFonts w:hint="default" w:ascii="黑体" w:hAnsi="黑体" w:eastAsia="黑体" w:cs="方正黑体_GBK"/>
          <w:kern w:val="2"/>
          <w:sz w:val="32"/>
          <w:szCs w:val="32"/>
          <w:lang w:val="en-US" w:eastAsia="zh-CN" w:bidi="ar-SA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4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林业生态补偿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专项资金绩效自评表报告</w:t>
      </w: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一、基本情况</w:t>
      </w:r>
    </w:p>
    <w:p>
      <w:pPr>
        <w:ind w:left="0" w:leftChars="0" w:firstLine="640" w:firstLineChars="200"/>
        <w:jc w:val="left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(一)项目概况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了评价2024年度省级林业专项资金使用情况，提高资金使用绩效，成立了项目绩效自评小组。通过获取被评价项目的有关基本情况资料，经现场核查，采集和核实绩效评价所需要的基础数据资料，并在对相关资料进行汇总复核、分类整理和综合分析的基础上，形成自评报告。</w:t>
      </w:r>
    </w:p>
    <w:p>
      <w:pPr>
        <w:spacing w:line="520" w:lineRule="exact"/>
        <w:ind w:firstLine="600"/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  <w:t>(二)项目绩效目标。</w:t>
      </w:r>
    </w:p>
    <w:p>
      <w:pPr>
        <w:spacing w:line="520" w:lineRule="exact"/>
        <w:ind w:firstLine="6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省级以上公益林（经济林和竹林）补助≤22元/亩；省级以上公益林（乔木林和其他林）补助≤23元/亩；省级以上自然保护地林权所有者补偿标准≤3元/亩；实施省级以上公益林补助面积（不含武夷山国家公园、厦门市）80.03万亩；省级以上自然保护地林权所有者补助面积12.97万亩；全省生态公益林保有量80.03万亩；自然保护区林权所有者补偿资金补助面积变化100%；项目任务完成率≥90%；公益林平均亩蓄积量变化100%；公益林林权所有者满意度≥90%；省级以上自然保护地林权所有者满意度≥90%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二、绩效评价工作开展情况</w:t>
      </w:r>
    </w:p>
    <w:p>
      <w:pPr>
        <w:spacing w:line="520" w:lineRule="exact"/>
        <w:ind w:firstLine="600"/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  <w:t>(一)绩效评价目的、对象和范围。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对项目支出的经济性、效率性、效益性和公平性等开展自评工作。</w:t>
      </w:r>
    </w:p>
    <w:p>
      <w:pPr>
        <w:spacing w:line="520" w:lineRule="exact"/>
        <w:ind w:firstLine="600"/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  <w:t>(二)绩效评价原则、评价指标体系、评价方法、评价标准等。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围绕关键指标、核心要素，开展现场勘验核实，收集和分析绩效情况，评价项目进度、执行效果、项目完成可能性等。</w:t>
      </w:r>
    </w:p>
    <w:p>
      <w:pPr>
        <w:spacing w:line="520" w:lineRule="exact"/>
        <w:ind w:firstLine="600"/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  <w:t>(三)绩效评价工作过程。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自主开展常态化监控工作，对绩效目标实现程度和预算执行进度实施“双监控”，针对绩效目标完成情况、预算执行情况、项目管理实施情况等内容进行跟踪管理。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三、绩效评价指标分析</w:t>
      </w:r>
    </w:p>
    <w:p>
      <w:pPr>
        <w:spacing w:line="520" w:lineRule="exact"/>
        <w:ind w:firstLine="600"/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  <w:t>(一)项目决策情况。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我局2024年度林业生态补偿专项预算资金628.3万元，主要用于森林生态效益补偿、省级以上自然保护区林权所有者补偿。</w:t>
      </w:r>
    </w:p>
    <w:p>
      <w:pPr>
        <w:spacing w:line="520" w:lineRule="exact"/>
        <w:ind w:firstLine="600"/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  <w:t>(二)项目过程情况。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2024年林业生态补偿专项资金到位628.3万元，实际支出601.28万元，其中森林生态效益补偿579.59万元、省级以上自然保护区林权所有者补偿21.69万元。</w:t>
      </w:r>
    </w:p>
    <w:p>
      <w:pPr>
        <w:spacing w:line="520" w:lineRule="exact"/>
        <w:ind w:firstLine="600"/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  <w:t>(三)项目产出情况。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成省级以上公益林（经济林和竹林）补助22元/亩；以上公益林（乔木林和其他林）补助面积23元/亩；省级以上林业自然保护区林权所有者补助完成值3元/亩；省级实施省级以上公益林补助面积（不含武夷山国家公园、厦门市）80.03万亩；省级以上自然保护区林权所有者补助面积完成0万亩；全省生态公益林保有量80.03万亩；自然保护区林权所有者补偿资金补助面积变化100%；项目任务完成率86.05%。</w:t>
      </w:r>
    </w:p>
    <w:p>
      <w:pPr>
        <w:spacing w:line="520" w:lineRule="exact"/>
        <w:ind w:firstLine="600"/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  <w:t>(四)项目效</w:t>
      </w:r>
      <w:bookmarkStart w:id="0" w:name="_GoBack"/>
      <w:bookmarkEnd w:id="0"/>
      <w:r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  <w:t>益情况。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完成公益林平均亩蓄积量变化100%；公益林林权所有者满意度达90%；省级以上林业自然保护区林权所有者满意度90%。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四、综合评价情况及评价结论(附相关评分表)</w:t>
      </w:r>
    </w:p>
    <w:p>
      <w:pPr>
        <w:spacing w:line="520" w:lineRule="exact"/>
        <w:ind w:firstLine="6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经评价核验，我局2023年度林业生态补偿专项资金的年度绩效目标已基本完成，自评等级为‘优’。共涉及绩效指标11个数，已完成9个绩效指标。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五、主要经验及做法、存在的问题及原因分析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县总体目标完成率较高，但在工作细节上有所欠缺，对项目绩效目标设立、并细化和量化为绩效指标等方面还存在不足。下一步改善措施：科学设定目标，基于充分调研和可行性分析，设定切实可行的项目目标；规范资金管理，确保资金及时拨付，提高使用效率，加强监管；健全监督机制，建立有效的监督机制，对项目进度、质量、资金使用等进行全程监管，及时发现问题并整改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六、其他需要说明的问题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附件：专项资金绩效自评表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DejaVu Sans Mono">
    <w:panose1 w:val="020B0609030804020204"/>
    <w:charset w:val="00"/>
    <w:family w:val="auto"/>
    <w:pitch w:val="default"/>
    <w:sig w:usb0="E70026FF" w:usb1="D200F9FB" w:usb2="02000028" w:usb3="00000000" w:csb0="600001DF" w:csb1="FFD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54B91"/>
    <w:rsid w:val="0D687620"/>
    <w:rsid w:val="106B45D8"/>
    <w:rsid w:val="1352573F"/>
    <w:rsid w:val="17EFBBD1"/>
    <w:rsid w:val="1B74EC7A"/>
    <w:rsid w:val="1D842C96"/>
    <w:rsid w:val="1E7C04CA"/>
    <w:rsid w:val="1FBE99DD"/>
    <w:rsid w:val="23A73351"/>
    <w:rsid w:val="27D11497"/>
    <w:rsid w:val="30EC5EE8"/>
    <w:rsid w:val="3DDE5D09"/>
    <w:rsid w:val="3EF80539"/>
    <w:rsid w:val="4A765644"/>
    <w:rsid w:val="4ABC3110"/>
    <w:rsid w:val="4C794B15"/>
    <w:rsid w:val="52BA2D4E"/>
    <w:rsid w:val="53BD416B"/>
    <w:rsid w:val="5DDD4D56"/>
    <w:rsid w:val="68393307"/>
    <w:rsid w:val="69E83787"/>
    <w:rsid w:val="773FED27"/>
    <w:rsid w:val="7E971D12"/>
    <w:rsid w:val="7F7C241B"/>
    <w:rsid w:val="7FE597FD"/>
    <w:rsid w:val="7FF59DCA"/>
    <w:rsid w:val="7FFF715A"/>
    <w:rsid w:val="9AE9C19C"/>
    <w:rsid w:val="B4CF488F"/>
    <w:rsid w:val="BBEF2502"/>
    <w:rsid w:val="BFFF5ACB"/>
    <w:rsid w:val="D17F58B9"/>
    <w:rsid w:val="E7DDBE4E"/>
    <w:rsid w:val="F6DDB70B"/>
    <w:rsid w:val="FBC8B380"/>
    <w:rsid w:val="FFFD1BAA"/>
    <w:rsid w:val="FFFF5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2021-04-21T16:15:00Z</dcterms:created>
  <dc:creator>Apache POI</dc:creator>
  <cp:lastModifiedBy>lyjlkf</cp:lastModifiedBy>
  <dcterms:modified xsi:type="dcterms:W3CDTF">2025-05-29T15:41:08Z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