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jc w:val="center"/>
        <w:rPr>
          <w:rFonts w:ascii="Times New Roman" w:hAnsi="Times New Roman" w:eastAsia="黑体" w:cs="Times New Roman"/>
          <w:bCs/>
          <w:sz w:val="44"/>
          <w:szCs w:val="44"/>
        </w:rPr>
      </w:pPr>
      <w:bookmarkStart w:id="0" w:name="_GoBack"/>
      <w:r>
        <w:rPr>
          <w:rFonts w:hint="default" w:ascii="Times New Roman" w:hAnsi="Times New Roman" w:eastAsia="黑体" w:cs="Times New Roman"/>
          <w:bCs/>
          <w:sz w:val="44"/>
          <w:szCs w:val="44"/>
        </w:rPr>
        <w:t>享受</w:t>
      </w:r>
      <w:r>
        <w:rPr>
          <w:rFonts w:ascii="Times New Roman" w:hAnsi="Times New Roman" w:eastAsia="黑体" w:cs="Times New Roman"/>
          <w:bCs/>
          <w:sz w:val="44"/>
          <w:szCs w:val="44"/>
        </w:rPr>
        <w:t>重大技术装备进口税收政策</w:t>
      </w:r>
      <w:r>
        <w:rPr>
          <w:rFonts w:hint="default" w:ascii="Times New Roman" w:hAnsi="Times New Roman" w:eastAsia="黑体" w:cs="Times New Roman"/>
          <w:bCs/>
          <w:sz w:val="44"/>
          <w:szCs w:val="44"/>
        </w:rPr>
        <w:t>复核</w:t>
      </w:r>
      <w:r>
        <w:rPr>
          <w:rFonts w:ascii="Times New Roman" w:hAnsi="Times New Roman" w:eastAsia="黑体" w:cs="Times New Roman"/>
          <w:bCs/>
          <w:sz w:val="44"/>
          <w:szCs w:val="44"/>
        </w:rPr>
        <w:t>报告</w:t>
      </w:r>
      <w:bookmarkEnd w:id="0"/>
    </w:p>
    <w:p>
      <w:pPr>
        <w:pStyle w:val="2"/>
        <w:jc w:val="center"/>
        <w:rPr>
          <w:rFonts w:ascii="Times New Roman" w:hAnsi="Times New Roman" w:cs="Times New Roman"/>
          <w:sz w:val="32"/>
          <w:szCs w:val="32"/>
        </w:rPr>
      </w:pPr>
      <w:r>
        <w:rPr>
          <w:rFonts w:hint="default" w:ascii="Times New Roman" w:hAnsi="Times New Roman" w:cs="Times New Roman"/>
          <w:sz w:val="32"/>
          <w:szCs w:val="32"/>
        </w:rPr>
        <w:t>（20</w:t>
      </w:r>
      <w:r>
        <w:rPr>
          <w:rFonts w:ascii="Times New Roman" w:hAnsi="Times New Roman" w:cs="Times New Roman"/>
          <w:sz w:val="32"/>
          <w:szCs w:val="32"/>
        </w:rPr>
        <w:t>××</w:t>
      </w:r>
      <w:r>
        <w:rPr>
          <w:rFonts w:hint="default" w:ascii="Times New Roman" w:hAnsi="Times New Roman" w:cs="Times New Roman"/>
          <w:sz w:val="32"/>
          <w:szCs w:val="32"/>
        </w:rPr>
        <w:t>-20</w:t>
      </w:r>
      <w:r>
        <w:rPr>
          <w:rFonts w:ascii="Times New Roman" w:hAnsi="Times New Roman" w:cs="Times New Roman"/>
          <w:sz w:val="32"/>
          <w:szCs w:val="32"/>
        </w:rPr>
        <w:t>××</w:t>
      </w:r>
      <w:r>
        <w:rPr>
          <w:rFonts w:hint="default" w:ascii="Times New Roman" w:hAnsi="Times New Roman" w:cs="Times New Roman"/>
          <w:sz w:val="32"/>
          <w:szCs w:val="32"/>
        </w:rPr>
        <w:t>年）</w:t>
      </w:r>
    </w:p>
    <w:p>
      <w:pPr>
        <w:pStyle w:val="2"/>
        <w:rPr>
          <w:rFonts w:ascii="Times New Roman" w:hAnsi="Times New Roman" w:cs="Times New Roman"/>
          <w:sz w:val="32"/>
          <w:szCs w:val="32"/>
        </w:rPr>
      </w:pPr>
    </w:p>
    <w:p>
      <w:pPr>
        <w:pStyle w:val="2"/>
        <w:rPr>
          <w:rFonts w:ascii="Times New Roman" w:hAnsi="Times New Roman" w:cs="Times New Roman"/>
          <w:sz w:val="32"/>
          <w:szCs w:val="32"/>
        </w:rPr>
      </w:pPr>
    </w:p>
    <w:p>
      <w:pPr>
        <w:adjustRightInd w:val="0"/>
        <w:snapToGrid w:val="0"/>
        <w:spacing w:line="48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企业名称：</w:t>
      </w:r>
      <w:r>
        <w:rPr>
          <w:rFonts w:ascii="Times New Roman" w:hAnsi="Times New Roman" w:eastAsia="黑体" w:cs="Times New Roman"/>
          <w:sz w:val="32"/>
          <w:szCs w:val="32"/>
          <w:u w:val="single"/>
        </w:rPr>
        <w:t xml:space="preserve">    </w:t>
      </w:r>
      <w:r>
        <w:rPr>
          <w:rFonts w:ascii="Times New Roman" w:hAnsi="Times New Roman" w:eastAsia="黑体" w:cs="Times New Roman"/>
          <w:sz w:val="28"/>
          <w:szCs w:val="28"/>
          <w:u w:val="single"/>
        </w:rPr>
        <w:t>（填写企业名称全称，</w:t>
      </w:r>
      <w:r>
        <w:rPr>
          <w:rFonts w:hint="default" w:ascii="Times New Roman" w:hAnsi="Times New Roman" w:eastAsia="黑体" w:cs="Times New Roman"/>
          <w:sz w:val="28"/>
          <w:szCs w:val="28"/>
          <w:u w:val="single"/>
        </w:rPr>
        <w:t>加</w:t>
      </w:r>
      <w:r>
        <w:rPr>
          <w:rFonts w:ascii="Times New Roman" w:hAnsi="Times New Roman" w:eastAsia="黑体" w:cs="Times New Roman"/>
          <w:sz w:val="28"/>
          <w:szCs w:val="28"/>
          <w:u w:val="single"/>
        </w:rPr>
        <w:t>盖</w:t>
      </w:r>
      <w:r>
        <w:rPr>
          <w:rFonts w:hint="default" w:ascii="Times New Roman" w:hAnsi="Times New Roman" w:eastAsia="黑体" w:cs="Times New Roman"/>
          <w:sz w:val="28"/>
          <w:szCs w:val="28"/>
          <w:u w:val="single"/>
        </w:rPr>
        <w:t>公</w:t>
      </w:r>
      <w:r>
        <w:rPr>
          <w:rFonts w:ascii="Times New Roman" w:hAnsi="Times New Roman" w:eastAsia="黑体" w:cs="Times New Roman"/>
          <w:sz w:val="28"/>
          <w:szCs w:val="28"/>
          <w:u w:val="single"/>
        </w:rPr>
        <w:t xml:space="preserve">章 </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 xml:space="preserve">      </w:t>
      </w:r>
    </w:p>
    <w:p>
      <w:pPr>
        <w:adjustRightInd w:val="0"/>
        <w:snapToGrid w:val="0"/>
        <w:spacing w:line="480" w:lineRule="auto"/>
        <w:ind w:firstLine="614" w:firstLineChars="192"/>
        <w:rPr>
          <w:rFonts w:ascii="Times New Roman" w:hAnsi="Times New Roman" w:eastAsia="黑体" w:cs="Times New Roman"/>
          <w:sz w:val="32"/>
          <w:szCs w:val="32"/>
        </w:rPr>
      </w:pPr>
      <w:r>
        <w:rPr>
          <w:rFonts w:hint="default" w:ascii="Times New Roman" w:hAnsi="Times New Roman" w:eastAsia="黑体" w:cs="Times New Roman"/>
          <w:sz w:val="32"/>
          <w:szCs w:val="32"/>
        </w:rPr>
        <w:t>享受政策的</w:t>
      </w:r>
      <w:r>
        <w:rPr>
          <w:rFonts w:ascii="Times New Roman" w:hAnsi="Times New Roman" w:eastAsia="黑体" w:cs="Times New Roman"/>
          <w:sz w:val="32"/>
          <w:szCs w:val="32"/>
        </w:rPr>
        <w:t>重大技术装备</w:t>
      </w:r>
      <w:r>
        <w:rPr>
          <w:rFonts w:hint="default" w:ascii="Times New Roman" w:hAnsi="Times New Roman" w:eastAsia="黑体" w:cs="Times New Roman"/>
          <w:sz w:val="32"/>
          <w:szCs w:val="32"/>
        </w:rPr>
        <w:t>和产品领域</w:t>
      </w:r>
      <w:r>
        <w:rPr>
          <w:rFonts w:ascii="Times New Roman" w:hAnsi="Times New Roman" w:eastAsia="黑体" w:cs="Times New Roman"/>
          <w:sz w:val="32"/>
          <w:szCs w:val="32"/>
        </w:rPr>
        <w:t>：</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 xml:space="preserve">   </w:t>
      </w:r>
    </w:p>
    <w:p>
      <w:pPr>
        <w:adjustRightInd w:val="0"/>
        <w:snapToGrid w:val="0"/>
        <w:spacing w:line="480" w:lineRule="auto"/>
        <w:ind w:firstLine="460" w:firstLineChars="192"/>
        <w:rPr>
          <w:rFonts w:ascii="Times New Roman" w:hAnsi="Times New Roman" w:eastAsia="黑体" w:cs="Times New Roman"/>
          <w:sz w:val="24"/>
          <w:szCs w:val="24"/>
        </w:rPr>
      </w:pPr>
      <w:r>
        <w:rPr>
          <w:rFonts w:ascii="Times New Roman" w:hAnsi="Times New Roman" w:eastAsia="黑体" w:cs="Times New Roman"/>
          <w:sz w:val="24"/>
          <w:szCs w:val="24"/>
        </w:rPr>
        <w:t>（按照《国家支持发展的重大技术装备和产品目录》中有关条目填写）</w:t>
      </w:r>
    </w:p>
    <w:p>
      <w:pPr>
        <w:adjustRightInd w:val="0"/>
        <w:snapToGrid w:val="0"/>
        <w:spacing w:line="480" w:lineRule="auto"/>
        <w:ind w:firstLine="614" w:firstLineChars="192"/>
        <w:rPr>
          <w:rFonts w:ascii="Times New Roman" w:hAnsi="Times New Roman" w:eastAsia="黑体" w:cs="Times New Roman"/>
          <w:sz w:val="32"/>
          <w:szCs w:val="32"/>
        </w:rPr>
      </w:pPr>
      <w:r>
        <w:rPr>
          <w:rFonts w:ascii="Times New Roman" w:hAnsi="Times New Roman" w:eastAsia="黑体" w:cs="Times New Roman"/>
          <w:sz w:val="32"/>
          <w:szCs w:val="32"/>
        </w:rPr>
        <w:t>企业所在地：</w:t>
      </w:r>
      <w:r>
        <w:rPr>
          <w:rFonts w:ascii="Times New Roman" w:hAnsi="Times New Roman" w:eastAsia="黑体" w:cs="Times New Roman"/>
          <w:sz w:val="32"/>
          <w:szCs w:val="32"/>
          <w:u w:val="single"/>
        </w:rPr>
        <w:t xml:space="preserve">    </w:t>
      </w:r>
      <w:r>
        <w:rPr>
          <w:rFonts w:ascii="Times New Roman" w:hAnsi="Times New Roman" w:eastAsia="黑体" w:cs="Times New Roman"/>
          <w:sz w:val="28"/>
          <w:szCs w:val="28"/>
          <w:u w:val="single"/>
        </w:rPr>
        <w:t>省（市、区） 、县（区）</w:t>
      </w:r>
      <w:r>
        <w:rPr>
          <w:rFonts w:ascii="Times New Roman" w:hAnsi="Times New Roman" w:eastAsia="黑体" w:cs="Times New Roman"/>
          <w:sz w:val="32"/>
          <w:szCs w:val="32"/>
          <w:u w:val="single"/>
        </w:rPr>
        <w:t xml:space="preserve">             </w:t>
      </w:r>
    </w:p>
    <w:p>
      <w:pPr>
        <w:adjustRightInd w:val="0"/>
        <w:snapToGrid w:val="0"/>
        <w:spacing w:line="480" w:lineRule="auto"/>
        <w:ind w:firstLine="614" w:firstLineChars="192"/>
        <w:rPr>
          <w:rFonts w:ascii="Times New Roman" w:hAnsi="Times New Roman" w:eastAsia="黑体" w:cs="Times New Roman"/>
          <w:sz w:val="28"/>
          <w:szCs w:val="28"/>
          <w:u w:val="single"/>
        </w:rPr>
      </w:pPr>
      <w:r>
        <w:rPr>
          <w:rFonts w:ascii="Times New Roman" w:hAnsi="Times New Roman" w:eastAsia="黑体" w:cs="Times New Roman"/>
          <w:sz w:val="32"/>
          <w:szCs w:val="32"/>
        </w:rPr>
        <w:t>企业联系人</w:t>
      </w:r>
      <w:r>
        <w:rPr>
          <w:rFonts w:ascii="Times New Roman" w:hAnsi="Times New Roman" w:eastAsia="黑体" w:cs="Times New Roman"/>
          <w:sz w:val="32"/>
          <w:szCs w:val="32"/>
          <w:u w:val="single"/>
        </w:rPr>
        <w:t>： （</w:t>
      </w:r>
      <w:r>
        <w:rPr>
          <w:rFonts w:ascii="Times New Roman" w:hAnsi="Times New Roman" w:eastAsia="黑体" w:cs="Times New Roman"/>
          <w:sz w:val="28"/>
          <w:szCs w:val="28"/>
          <w:u w:val="single"/>
        </w:rPr>
        <w:t>包括两名联系人姓名、所在部门及职务、办公电话、手机、传真）</w:t>
      </w:r>
    </w:p>
    <w:p>
      <w:pPr>
        <w:pStyle w:val="2"/>
        <w:adjustRightInd w:val="0"/>
        <w:snapToGrid w:val="0"/>
        <w:spacing w:line="480" w:lineRule="auto"/>
        <w:rPr>
          <w:rFonts w:ascii="Times New Roman" w:hAnsi="Times New Roman" w:eastAsia="黑体" w:cs="Times New Roman"/>
          <w:sz w:val="28"/>
          <w:szCs w:val="28"/>
          <w:u w:val="single"/>
        </w:rPr>
      </w:pPr>
    </w:p>
    <w:p>
      <w:pPr>
        <w:pStyle w:val="2"/>
        <w:rPr>
          <w:rFonts w:ascii="Times New Roman" w:hAnsi="Times New Roman" w:eastAsia="黑体" w:cs="Times New Roman"/>
          <w:szCs w:val="30"/>
          <w:u w:val="single"/>
        </w:rPr>
      </w:pPr>
    </w:p>
    <w:p>
      <w:pPr>
        <w:spacing w:line="360" w:lineRule="auto"/>
        <w:ind w:firstLine="600"/>
        <w:jc w:val="center"/>
        <w:rPr>
          <w:rFonts w:ascii="Times New Roman" w:hAnsi="Times New Roman" w:eastAsia="黑体" w:cs="Times New Roman"/>
          <w:sz w:val="30"/>
          <w:szCs w:val="30"/>
        </w:rPr>
        <w:sectPr>
          <w:pgSz w:w="11850" w:h="16783"/>
          <w:pgMar w:top="1440" w:right="1800" w:bottom="1440" w:left="1800" w:header="851" w:footer="992" w:gutter="0"/>
          <w:pgNumType w:fmt="numberInDash" w:start="1" w:chapStyle="1"/>
          <w:cols w:space="720" w:num="1"/>
          <w:docGrid w:type="lines" w:linePitch="312" w:charSpace="0"/>
        </w:sectPr>
      </w:pPr>
      <w:r>
        <w:rPr>
          <w:rFonts w:ascii="Times New Roman" w:hAnsi="Times New Roman" w:eastAsia="黑体" w:cs="Times New Roman"/>
          <w:sz w:val="30"/>
          <w:szCs w:val="30"/>
        </w:rPr>
        <w:t xml:space="preserve">     年    月</w:t>
      </w:r>
    </w:p>
    <w:p>
      <w:pPr>
        <w:ind w:firstLine="720"/>
        <w:jc w:val="center"/>
        <w:outlineLvl w:val="0"/>
        <w:rPr>
          <w:rFonts w:ascii="Times New Roman" w:hAnsi="Times New Roman" w:eastAsia="黑体" w:cs="Times New Roman"/>
          <w:sz w:val="36"/>
        </w:rPr>
      </w:pPr>
    </w:p>
    <w:p>
      <w:pPr>
        <w:ind w:firstLine="720"/>
        <w:jc w:val="center"/>
        <w:outlineLvl w:val="0"/>
        <w:rPr>
          <w:rFonts w:ascii="Times New Roman" w:hAnsi="Times New Roman" w:eastAsia="黑体" w:cs="Times New Roman"/>
          <w:sz w:val="36"/>
        </w:rPr>
      </w:pPr>
      <w:r>
        <w:rPr>
          <w:rFonts w:ascii="Times New Roman" w:hAnsi="Times New Roman" w:eastAsia="黑体" w:cs="Times New Roman"/>
          <w:sz w:val="36"/>
        </w:rPr>
        <w:t>填 写 说 明</w:t>
      </w:r>
    </w:p>
    <w:p>
      <w:pPr>
        <w:pStyle w:val="2"/>
        <w:rPr>
          <w:rFonts w:ascii="Times New Roman" w:hAnsi="Times New Roman" w:cs="Times New Roman"/>
        </w:rPr>
      </w:pPr>
    </w:p>
    <w:p>
      <w:pPr>
        <w:spacing w:line="540" w:lineRule="exact"/>
        <w:ind w:firstLine="560" w:firstLineChars="200"/>
        <w:rPr>
          <w:rFonts w:hint="default" w:ascii="Times New Roman" w:hAnsi="Times New Roman" w:eastAsia="仿宋_GB2312" w:cs="Times New Roman"/>
          <w:sz w:val="28"/>
          <w:szCs w:val="22"/>
        </w:rPr>
      </w:pPr>
      <w:r>
        <w:rPr>
          <w:rFonts w:ascii="Times New Roman" w:hAnsi="Times New Roman" w:eastAsia="仿宋_GB2312" w:cs="Times New Roman"/>
          <w:sz w:val="28"/>
        </w:rPr>
        <w:t>一、</w:t>
      </w:r>
      <w:r>
        <w:rPr>
          <w:rFonts w:hint="default" w:ascii="Times New Roman" w:hAnsi="Times New Roman" w:eastAsia="仿宋_GB2312" w:cs="Times New Roman"/>
          <w:sz w:val="28"/>
          <w:szCs w:val="22"/>
        </w:rPr>
        <w:t>已享受政策企业和核电项目业主在免税资格复核时填写该报告。第一次复核的企业和核电项目业主，填写首次获得免税资格年度</w:t>
      </w:r>
      <w:r>
        <w:rPr>
          <w:rFonts w:hint="eastAsia" w:ascii="Times New Roman" w:hAnsi="Times New Roman" w:eastAsia="仿宋_GB2312" w:cs="Times New Roman"/>
          <w:sz w:val="28"/>
          <w:szCs w:val="22"/>
          <w:lang w:eastAsia="zh-CN"/>
        </w:rPr>
        <w:t>至</w:t>
      </w:r>
      <w:r>
        <w:rPr>
          <w:rFonts w:hint="default" w:ascii="Times New Roman" w:hAnsi="Times New Roman" w:eastAsia="仿宋_GB2312" w:cs="Times New Roman"/>
          <w:sz w:val="28"/>
          <w:szCs w:val="22"/>
        </w:rPr>
        <w:t>本次复核年度的相关数据；不是第一次复核的企业和核电项目业主，填写过去三年（含本年）的相关数据。</w:t>
      </w:r>
    </w:p>
    <w:p>
      <w:pPr>
        <w:spacing w:line="540" w:lineRule="exact"/>
        <w:ind w:firstLine="537" w:firstLineChars="192"/>
        <w:rPr>
          <w:rFonts w:ascii="Times New Roman" w:hAnsi="Times New Roman" w:eastAsia="仿宋_GB2312" w:cs="Times New Roman"/>
          <w:sz w:val="28"/>
        </w:rPr>
      </w:pPr>
      <w:r>
        <w:rPr>
          <w:rFonts w:hint="default" w:ascii="Times New Roman" w:hAnsi="Times New Roman" w:eastAsia="仿宋_GB2312" w:cs="Times New Roman"/>
          <w:sz w:val="28"/>
        </w:rPr>
        <w:t>二、</w:t>
      </w:r>
      <w:r>
        <w:rPr>
          <w:rFonts w:ascii="Times New Roman" w:hAnsi="Times New Roman" w:eastAsia="仿宋_GB2312" w:cs="Times New Roman"/>
          <w:sz w:val="28"/>
        </w:rPr>
        <w:t>请严格按照要求填写各项内容，提</w:t>
      </w:r>
      <w:r>
        <w:rPr>
          <w:rFonts w:ascii="Times New Roman" w:hAnsi="Times New Roman" w:cs="Times New Roman"/>
          <w:sz w:val="28"/>
          <w:szCs w:val="28"/>
        </w:rPr>
        <w:t>供相关材料</w:t>
      </w:r>
      <w:r>
        <w:rPr>
          <w:rFonts w:ascii="Times New Roman" w:hAnsi="Times New Roman" w:eastAsia="仿宋_GB2312" w:cs="Times New Roman"/>
          <w:sz w:val="28"/>
        </w:rPr>
        <w:t>。</w:t>
      </w:r>
    </w:p>
    <w:p>
      <w:pPr>
        <w:spacing w:line="540" w:lineRule="exact"/>
        <w:ind w:firstLine="537" w:firstLineChars="192"/>
        <w:rPr>
          <w:rFonts w:ascii="Times New Roman" w:hAnsi="Times New Roman" w:eastAsia="仿宋_GB2312" w:cs="Times New Roman"/>
          <w:sz w:val="28"/>
          <w:szCs w:val="28"/>
        </w:rPr>
      </w:pPr>
      <w:r>
        <w:rPr>
          <w:rFonts w:hint="default" w:ascii="Times New Roman" w:hAnsi="Times New Roman" w:eastAsia="仿宋_GB2312" w:cs="Times New Roman"/>
          <w:sz w:val="28"/>
        </w:rPr>
        <w:t>三</w:t>
      </w:r>
      <w:r>
        <w:rPr>
          <w:rFonts w:ascii="Times New Roman" w:hAnsi="Times New Roman" w:eastAsia="仿宋_GB2312" w:cs="Times New Roman"/>
          <w:sz w:val="28"/>
        </w:rPr>
        <w:t>、</w:t>
      </w:r>
      <w:r>
        <w:rPr>
          <w:rFonts w:hint="default" w:ascii="Times New Roman" w:hAnsi="Times New Roman" w:eastAsia="仿宋_GB2312" w:cs="Times New Roman"/>
          <w:sz w:val="28"/>
        </w:rPr>
        <w:t>报告</w:t>
      </w:r>
      <w:r>
        <w:rPr>
          <w:rFonts w:ascii="Times New Roman" w:hAnsi="Times New Roman" w:eastAsia="仿宋_GB2312" w:cs="Times New Roman"/>
          <w:sz w:val="28"/>
          <w:szCs w:val="28"/>
        </w:rPr>
        <w:t>由申请享受政策单位编写</w:t>
      </w:r>
      <w:r>
        <w:rPr>
          <w:rFonts w:hint="default" w:ascii="Times New Roman" w:hAnsi="Times New Roman" w:eastAsia="仿宋_GB2312" w:cs="Times New Roman"/>
          <w:sz w:val="28"/>
          <w:szCs w:val="28"/>
        </w:rPr>
        <w:t>，地方企业</w:t>
      </w:r>
      <w:r>
        <w:rPr>
          <w:rFonts w:ascii="Times New Roman" w:hAnsi="Times New Roman" w:eastAsia="仿宋_GB2312" w:cs="Times New Roman"/>
          <w:sz w:val="28"/>
          <w:szCs w:val="28"/>
        </w:rPr>
        <w:t>报送所属省、自治区</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直辖市、</w:t>
      </w:r>
      <w:r>
        <w:rPr>
          <w:rFonts w:hint="default" w:ascii="Times New Roman" w:hAnsi="Times New Roman" w:eastAsia="仿宋_GB2312" w:cs="Times New Roman"/>
          <w:sz w:val="28"/>
          <w:szCs w:val="28"/>
        </w:rPr>
        <w:t>计划单列市</w:t>
      </w:r>
      <w:r>
        <w:rPr>
          <w:rFonts w:ascii="Times New Roman" w:hAnsi="Times New Roman" w:eastAsia="仿宋_GB2312" w:cs="Times New Roman"/>
          <w:sz w:val="28"/>
          <w:szCs w:val="28"/>
        </w:rPr>
        <w:t>工业和信息化</w:t>
      </w:r>
      <w:r>
        <w:rPr>
          <w:rFonts w:hint="default" w:ascii="Times New Roman" w:hAnsi="Times New Roman" w:eastAsia="仿宋_GB2312" w:cs="Times New Roman"/>
          <w:sz w:val="28"/>
          <w:szCs w:val="28"/>
        </w:rPr>
        <w:t>主管</w:t>
      </w:r>
      <w:r>
        <w:rPr>
          <w:rFonts w:ascii="Times New Roman" w:hAnsi="Times New Roman" w:eastAsia="仿宋_GB2312" w:cs="Times New Roman"/>
          <w:sz w:val="28"/>
          <w:szCs w:val="28"/>
        </w:rPr>
        <w:t>部门</w:t>
      </w:r>
      <w:r>
        <w:rPr>
          <w:rFonts w:hint="default" w:ascii="Times New Roman" w:hAnsi="Times New Roman" w:eastAsia="仿宋_GB2312" w:cs="Times New Roman"/>
          <w:sz w:val="28"/>
          <w:szCs w:val="28"/>
        </w:rPr>
        <w:t>，中央企业报送中央企业集团</w:t>
      </w:r>
      <w:r>
        <w:rPr>
          <w:rFonts w:ascii="Times New Roman" w:hAnsi="Times New Roman" w:eastAsia="仿宋_GB2312" w:cs="Times New Roman"/>
          <w:sz w:val="28"/>
          <w:szCs w:val="28"/>
        </w:rPr>
        <w:t>。</w:t>
      </w:r>
    </w:p>
    <w:p>
      <w:pPr>
        <w:spacing w:line="540" w:lineRule="exact"/>
        <w:ind w:firstLine="537" w:firstLineChars="192"/>
        <w:rPr>
          <w:rFonts w:ascii="Times New Roman" w:hAnsi="Times New Roman" w:eastAsia="仿宋_GB2312" w:cs="Times New Roman"/>
          <w:sz w:val="28"/>
        </w:rPr>
      </w:pPr>
      <w:r>
        <w:rPr>
          <w:rFonts w:hint="default" w:ascii="Times New Roman" w:hAnsi="Times New Roman" w:eastAsia="仿宋_GB2312" w:cs="Times New Roman"/>
          <w:sz w:val="28"/>
          <w:szCs w:val="28"/>
        </w:rPr>
        <w:t>四</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rPr>
        <w:t>报告</w:t>
      </w:r>
      <w:r>
        <w:rPr>
          <w:rFonts w:ascii="Times New Roman" w:hAnsi="Times New Roman" w:eastAsia="仿宋_GB2312" w:cs="Times New Roman"/>
          <w:sz w:val="28"/>
        </w:rPr>
        <w:t>中第一次出现特定用语、专业术语或外文名词时，要写清全称和缩写，再出现同一词时可以使用缩写。</w:t>
      </w:r>
    </w:p>
    <w:p>
      <w:pPr>
        <w:spacing w:line="540" w:lineRule="exact"/>
        <w:ind w:firstLine="560"/>
        <w:rPr>
          <w:rFonts w:hint="eastAsia" w:ascii="Times New Roman" w:hAnsi="Times New Roman" w:eastAsia="仿宋_GB2312" w:cs="Times New Roman"/>
          <w:sz w:val="28"/>
          <w:lang w:eastAsia="zh-CN"/>
        </w:rPr>
      </w:pPr>
      <w:r>
        <w:rPr>
          <w:rFonts w:hint="default" w:ascii="Times New Roman" w:hAnsi="Times New Roman" w:eastAsia="仿宋_GB2312" w:cs="Times New Roman"/>
          <w:sz w:val="28"/>
          <w:szCs w:val="28"/>
        </w:rPr>
        <w:t>五</w:t>
      </w:r>
      <w:r>
        <w:rPr>
          <w:rFonts w:ascii="Times New Roman" w:hAnsi="Times New Roman" w:eastAsia="仿宋_GB2312" w:cs="Times New Roman"/>
          <w:sz w:val="28"/>
          <w:szCs w:val="28"/>
        </w:rPr>
        <w:t>、</w:t>
      </w:r>
      <w:r>
        <w:rPr>
          <w:rFonts w:ascii="Times New Roman" w:hAnsi="Times New Roman" w:eastAsia="仿宋_GB2312" w:cs="Times New Roman"/>
          <w:sz w:val="28"/>
        </w:rPr>
        <w:t>填报格式说明：请用A4幅面编辑，正文字体为4号仿宋体，单倍行距。一级标题3号黑体，二级标题3号楷体</w:t>
      </w:r>
      <w:r>
        <w:rPr>
          <w:rFonts w:hint="eastAsia" w:ascii="Times New Roman" w:hAnsi="Times New Roman" w:eastAsia="仿宋_GB2312" w:cs="Times New Roman"/>
          <w:sz w:val="28"/>
          <w:lang w:eastAsia="zh-CN"/>
        </w:rPr>
        <w:t>。</w:t>
      </w:r>
    </w:p>
    <w:p>
      <w:pPr>
        <w:spacing w:line="540" w:lineRule="exact"/>
        <w:ind w:firstLine="560"/>
        <w:rPr>
          <w:rFonts w:ascii="Times New Roman" w:hAnsi="Times New Roman" w:cs="Times New Roman"/>
        </w:rPr>
      </w:pPr>
      <w:r>
        <w:rPr>
          <w:rFonts w:hint="default" w:ascii="Times New Roman" w:hAnsi="Times New Roman" w:eastAsia="仿宋_GB2312" w:cs="Times New Roman"/>
          <w:sz w:val="28"/>
          <w:szCs w:val="22"/>
        </w:rPr>
        <w:t>六</w:t>
      </w:r>
      <w:r>
        <w:rPr>
          <w:rFonts w:ascii="Times New Roman" w:hAnsi="Times New Roman" w:eastAsia="仿宋_GB2312" w:cs="Times New Roman"/>
          <w:sz w:val="28"/>
          <w:szCs w:val="22"/>
        </w:rPr>
        <w:t>、</w:t>
      </w:r>
      <w:r>
        <w:rPr>
          <w:rFonts w:hint="default" w:ascii="Times New Roman" w:hAnsi="Times New Roman" w:eastAsia="仿宋_GB2312" w:cs="Times New Roman"/>
          <w:sz w:val="28"/>
          <w:szCs w:val="22"/>
        </w:rPr>
        <w:t>报告</w:t>
      </w:r>
      <w:r>
        <w:rPr>
          <w:rFonts w:ascii="Times New Roman" w:hAnsi="Times New Roman" w:eastAsia="仿宋_GB2312" w:cs="Times New Roman"/>
          <w:sz w:val="28"/>
          <w:szCs w:val="22"/>
        </w:rPr>
        <w:t>纸质版一式三份，电子件（光盘）两份。</w:t>
      </w:r>
      <w:r>
        <w:rPr>
          <w:rFonts w:hint="default" w:ascii="Times New Roman" w:hAnsi="Times New Roman" w:eastAsia="仿宋_GB2312" w:cs="Times New Roman"/>
          <w:sz w:val="28"/>
          <w:szCs w:val="22"/>
        </w:rPr>
        <w:t>报告原则上不超过150页。</w:t>
      </w:r>
    </w:p>
    <w:p>
      <w:pPr>
        <w:spacing w:line="540" w:lineRule="exact"/>
        <w:ind w:firstLine="560"/>
        <w:rPr>
          <w:rFonts w:ascii="Times New Roman" w:hAnsi="Times New Roman" w:eastAsia="仿宋_GB2312" w:cs="Times New Roman"/>
          <w:sz w:val="28"/>
          <w:szCs w:val="22"/>
        </w:rPr>
      </w:pPr>
    </w:p>
    <w:p>
      <w:pPr>
        <w:pStyle w:val="2"/>
        <w:rPr>
          <w:rFonts w:ascii="Times New Roman" w:hAnsi="Times New Roman" w:cs="Times New Roman"/>
        </w:rPr>
      </w:pPr>
    </w:p>
    <w:p>
      <w:pPr>
        <w:spacing w:line="540" w:lineRule="exact"/>
        <w:ind w:firstLine="560"/>
        <w:rPr>
          <w:rFonts w:ascii="Times New Roman" w:hAnsi="Times New Roman" w:eastAsia="仿宋_GB2312" w:cs="Times New Roman"/>
          <w:sz w:val="28"/>
        </w:rPr>
      </w:pPr>
    </w:p>
    <w:p>
      <w:pPr>
        <w:pStyle w:val="2"/>
        <w:rPr>
          <w:rFonts w:ascii="Times New Roman" w:hAnsi="Times New Roman" w:cs="Times New Roman"/>
        </w:rPr>
      </w:pPr>
    </w:p>
    <w:p>
      <w:pPr>
        <w:spacing w:line="360" w:lineRule="auto"/>
        <w:ind w:firstLine="640" w:firstLineChars="200"/>
        <w:rPr>
          <w:rFonts w:ascii="Times New Roman" w:hAnsi="Times New Roman" w:eastAsia="黑体" w:cs="Times New Roman"/>
          <w:sz w:val="32"/>
          <w:szCs w:val="32"/>
        </w:rPr>
      </w:pPr>
      <w:r>
        <w:rPr>
          <w:rFonts w:ascii="Times New Roman" w:hAnsi="Times New Roman" w:cs="Times New Roman"/>
          <w:sz w:val="32"/>
          <w:szCs w:val="32"/>
        </w:rPr>
        <w:br w:type="page"/>
      </w:r>
      <w:r>
        <w:rPr>
          <w:rFonts w:ascii="Times New Roman" w:hAnsi="Times New Roman" w:eastAsia="黑体" w:cs="Times New Roman"/>
          <w:sz w:val="32"/>
          <w:szCs w:val="32"/>
        </w:rPr>
        <w:t>一、基本信息</w:t>
      </w:r>
    </w:p>
    <w:p>
      <w:pPr>
        <w:ind w:firstLine="562" w:firstLineChars="200"/>
        <w:rPr>
          <w:rFonts w:ascii="Times New Roman" w:hAnsi="Times New Roman" w:eastAsia="楷体_GB2312" w:cs="Times New Roman"/>
          <w:b/>
          <w:bCs/>
          <w:sz w:val="28"/>
          <w:szCs w:val="28"/>
        </w:rPr>
      </w:pPr>
      <w:r>
        <w:rPr>
          <w:rFonts w:ascii="Times New Roman" w:hAnsi="Times New Roman" w:eastAsia="楷体_GB2312" w:cs="Times New Roman"/>
          <w:b/>
          <w:bCs/>
          <w:sz w:val="28"/>
          <w:szCs w:val="28"/>
        </w:rPr>
        <w:t>（一）过去三年（</w:t>
      </w:r>
      <w:r>
        <w:rPr>
          <w:rFonts w:hint="default" w:ascii="Times New Roman" w:hAnsi="Times New Roman" w:eastAsia="楷体_GB2312" w:cs="Times New Roman"/>
          <w:b/>
          <w:bCs/>
          <w:sz w:val="28"/>
          <w:szCs w:val="28"/>
        </w:rPr>
        <w:t>含</w:t>
      </w:r>
      <w:r>
        <w:rPr>
          <w:rFonts w:ascii="Times New Roman" w:hAnsi="Times New Roman" w:eastAsia="楷体_GB2312" w:cs="Times New Roman"/>
          <w:b/>
          <w:bCs/>
          <w:sz w:val="28"/>
          <w:szCs w:val="28"/>
        </w:rPr>
        <w:t>本年）企业享受政策基本情况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3511"/>
        <w:gridCol w:w="2765"/>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8" w:type="dxa"/>
            <w:noWrap w:val="0"/>
            <w:vAlign w:val="center"/>
          </w:tcPr>
          <w:p>
            <w:pPr>
              <w:jc w:val="center"/>
              <w:rPr>
                <w:rFonts w:hint="default" w:ascii="Times New Roman" w:hAnsi="Times New Roman" w:cs="Times New Roman"/>
                <w:spacing w:val="20"/>
                <w:szCs w:val="21"/>
              </w:rPr>
            </w:pPr>
            <w:r>
              <w:rPr>
                <w:rFonts w:hint="default" w:ascii="Times New Roman" w:hAnsi="Times New Roman" w:cs="Times New Roman"/>
                <w:spacing w:val="20"/>
                <w:szCs w:val="21"/>
              </w:rPr>
              <w:t>类别</w:t>
            </w:r>
          </w:p>
        </w:tc>
        <w:tc>
          <w:tcPr>
            <w:tcW w:w="3511" w:type="dxa"/>
            <w:noWrap w:val="0"/>
            <w:vAlign w:val="center"/>
          </w:tcPr>
          <w:p>
            <w:pPr>
              <w:jc w:val="center"/>
              <w:rPr>
                <w:rFonts w:hint="default" w:ascii="Times New Roman" w:hAnsi="Times New Roman" w:cs="Times New Roman"/>
                <w:spacing w:val="20"/>
                <w:szCs w:val="21"/>
              </w:rPr>
            </w:pPr>
            <w:r>
              <w:rPr>
                <w:rFonts w:hint="default" w:ascii="Times New Roman" w:hAnsi="Times New Roman" w:cs="Times New Roman"/>
                <w:spacing w:val="20"/>
                <w:szCs w:val="21"/>
              </w:rPr>
              <w:t>基本信息</w:t>
            </w:r>
          </w:p>
        </w:tc>
        <w:tc>
          <w:tcPr>
            <w:tcW w:w="2765" w:type="dxa"/>
            <w:noWrap w:val="0"/>
            <w:vAlign w:val="center"/>
          </w:tcPr>
          <w:p>
            <w:pPr>
              <w:jc w:val="center"/>
              <w:rPr>
                <w:rFonts w:hint="default" w:ascii="Times New Roman" w:hAnsi="Times New Roman" w:cs="Times New Roman"/>
                <w:spacing w:val="20"/>
                <w:szCs w:val="21"/>
              </w:rPr>
            </w:pPr>
            <w:r>
              <w:rPr>
                <w:rFonts w:hint="default" w:ascii="Times New Roman" w:hAnsi="Times New Roman" w:cs="Times New Roman"/>
                <w:spacing w:val="20"/>
                <w:szCs w:val="21"/>
              </w:rPr>
              <w:t>简要说明</w:t>
            </w:r>
          </w:p>
        </w:tc>
        <w:tc>
          <w:tcPr>
            <w:tcW w:w="1112" w:type="dxa"/>
            <w:noWrap w:val="0"/>
            <w:vAlign w:val="center"/>
          </w:tcPr>
          <w:p>
            <w:pPr>
              <w:jc w:val="center"/>
              <w:rPr>
                <w:rFonts w:hint="default" w:ascii="Times New Roman" w:hAnsi="Times New Roman" w:cs="Times New Roman"/>
                <w:spacing w:val="20"/>
                <w:szCs w:val="21"/>
              </w:rPr>
            </w:pPr>
            <w:r>
              <w:rPr>
                <w:rFonts w:hint="default" w:ascii="Times New Roman" w:hAnsi="Times New Roman" w:cs="Times New Roman"/>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78" w:type="dxa"/>
            <w:vMerge w:val="restart"/>
            <w:noWrap w:val="0"/>
            <w:vAlign w:val="center"/>
          </w:tcPr>
          <w:p>
            <w:pPr>
              <w:jc w:val="center"/>
              <w:rPr>
                <w:rFonts w:hint="default" w:ascii="Times New Roman" w:hAnsi="Times New Roman" w:cs="Times New Roman"/>
                <w:spacing w:val="20"/>
                <w:szCs w:val="21"/>
              </w:rPr>
            </w:pPr>
            <w:r>
              <w:rPr>
                <w:rFonts w:hint="default" w:ascii="Times New Roman" w:hAnsi="Times New Roman" w:cs="Times New Roman"/>
                <w:spacing w:val="20"/>
                <w:szCs w:val="21"/>
              </w:rPr>
              <w:t>企业基本情况</w:t>
            </w:r>
          </w:p>
        </w:tc>
        <w:tc>
          <w:tcPr>
            <w:tcW w:w="3511" w:type="dxa"/>
            <w:noWrap w:val="0"/>
            <w:vAlign w:val="center"/>
          </w:tcPr>
          <w:p>
            <w:pPr>
              <w:rPr>
                <w:rFonts w:hint="default" w:ascii="Times New Roman" w:hAnsi="Times New Roman" w:cs="Times New Roman"/>
                <w:spacing w:val="20"/>
                <w:szCs w:val="21"/>
              </w:rPr>
            </w:pPr>
            <w:r>
              <w:rPr>
                <w:rFonts w:hint="default" w:ascii="Times New Roman" w:hAnsi="Times New Roman" w:cs="Times New Roman"/>
                <w:spacing w:val="20"/>
                <w:szCs w:val="21"/>
              </w:rPr>
              <w:t>统一社会信用代码</w:t>
            </w:r>
          </w:p>
        </w:tc>
        <w:tc>
          <w:tcPr>
            <w:tcW w:w="2765" w:type="dxa"/>
            <w:noWrap w:val="0"/>
            <w:vAlign w:val="center"/>
          </w:tcPr>
          <w:p>
            <w:pPr>
              <w:rPr>
                <w:rFonts w:hint="default" w:ascii="Times New Roman" w:hAnsi="Times New Roman" w:cs="Times New Roman"/>
                <w:spacing w:val="20"/>
                <w:szCs w:val="21"/>
              </w:rPr>
            </w:pPr>
          </w:p>
        </w:tc>
        <w:tc>
          <w:tcPr>
            <w:tcW w:w="1112" w:type="dxa"/>
            <w:noWrap w:val="0"/>
            <w:vAlign w:val="center"/>
          </w:tcPr>
          <w:p>
            <w:pP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78" w:type="dxa"/>
            <w:vMerge w:val="continue"/>
            <w:noWrap w:val="0"/>
            <w:vAlign w:val="center"/>
          </w:tcPr>
          <w:p>
            <w:pPr>
              <w:jc w:val="center"/>
              <w:rPr>
                <w:rFonts w:hint="default" w:ascii="Times New Roman" w:hAnsi="Times New Roman" w:cs="Times New Roman"/>
                <w:spacing w:val="20"/>
                <w:szCs w:val="21"/>
              </w:rPr>
            </w:pPr>
          </w:p>
        </w:tc>
        <w:tc>
          <w:tcPr>
            <w:tcW w:w="3511" w:type="dxa"/>
            <w:noWrap w:val="0"/>
            <w:vAlign w:val="center"/>
          </w:tcPr>
          <w:p>
            <w:pPr>
              <w:rPr>
                <w:rFonts w:hint="default" w:ascii="Times New Roman" w:hAnsi="Times New Roman" w:cs="Times New Roman"/>
                <w:spacing w:val="20"/>
                <w:szCs w:val="21"/>
              </w:rPr>
            </w:pPr>
            <w:r>
              <w:rPr>
                <w:rFonts w:hint="default" w:ascii="Times New Roman" w:hAnsi="Times New Roman" w:cs="Times New Roman"/>
                <w:spacing w:val="20"/>
                <w:szCs w:val="21"/>
              </w:rPr>
              <w:t>是否存在违法或严重失信行为</w:t>
            </w:r>
          </w:p>
        </w:tc>
        <w:tc>
          <w:tcPr>
            <w:tcW w:w="2765" w:type="dxa"/>
            <w:noWrap w:val="0"/>
            <w:vAlign w:val="center"/>
          </w:tcPr>
          <w:p>
            <w:pPr>
              <w:rPr>
                <w:rFonts w:hint="default" w:ascii="Times New Roman" w:hAnsi="Times New Roman" w:cs="Times New Roman"/>
                <w:spacing w:val="20"/>
                <w:szCs w:val="21"/>
              </w:rPr>
            </w:pPr>
          </w:p>
        </w:tc>
        <w:tc>
          <w:tcPr>
            <w:tcW w:w="1112" w:type="dxa"/>
            <w:noWrap w:val="0"/>
            <w:vAlign w:val="center"/>
          </w:tcPr>
          <w:p>
            <w:pP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78" w:type="dxa"/>
            <w:vMerge w:val="continue"/>
            <w:noWrap w:val="0"/>
            <w:vAlign w:val="center"/>
          </w:tcPr>
          <w:p>
            <w:pPr>
              <w:jc w:val="center"/>
              <w:rPr>
                <w:rFonts w:hint="default" w:ascii="Times New Roman" w:hAnsi="Times New Roman" w:cs="Times New Roman"/>
                <w:spacing w:val="20"/>
                <w:szCs w:val="21"/>
              </w:rPr>
            </w:pPr>
          </w:p>
        </w:tc>
        <w:tc>
          <w:tcPr>
            <w:tcW w:w="3511" w:type="dxa"/>
            <w:noWrap w:val="0"/>
            <w:vAlign w:val="center"/>
          </w:tcPr>
          <w:p>
            <w:pPr>
              <w:rPr>
                <w:rFonts w:hint="default" w:ascii="Times New Roman" w:hAnsi="Times New Roman" w:cs="Times New Roman"/>
                <w:spacing w:val="20"/>
                <w:szCs w:val="21"/>
              </w:rPr>
            </w:pPr>
            <w:r>
              <w:rPr>
                <w:rFonts w:hint="default" w:ascii="Times New Roman" w:hAnsi="Times New Roman" w:cs="Times New Roman"/>
                <w:spacing w:val="20"/>
                <w:szCs w:val="21"/>
              </w:rPr>
              <w:t>企业名称</w:t>
            </w:r>
          </w:p>
        </w:tc>
        <w:tc>
          <w:tcPr>
            <w:tcW w:w="2765" w:type="dxa"/>
            <w:noWrap w:val="0"/>
            <w:vAlign w:val="center"/>
          </w:tcPr>
          <w:p>
            <w:pPr>
              <w:rPr>
                <w:rFonts w:hint="default" w:ascii="Times New Roman" w:hAnsi="Times New Roman" w:cs="Times New Roman"/>
                <w:spacing w:val="20"/>
                <w:szCs w:val="21"/>
              </w:rPr>
            </w:pPr>
          </w:p>
        </w:tc>
        <w:tc>
          <w:tcPr>
            <w:tcW w:w="1112" w:type="dxa"/>
            <w:noWrap w:val="0"/>
            <w:vAlign w:val="center"/>
          </w:tcPr>
          <w:p>
            <w:pP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78" w:type="dxa"/>
            <w:vMerge w:val="continue"/>
            <w:noWrap w:val="0"/>
            <w:vAlign w:val="center"/>
          </w:tcPr>
          <w:p>
            <w:pPr>
              <w:jc w:val="center"/>
              <w:rPr>
                <w:rFonts w:hint="default" w:ascii="Times New Roman" w:hAnsi="Times New Roman" w:cs="Times New Roman"/>
                <w:spacing w:val="20"/>
                <w:szCs w:val="21"/>
              </w:rPr>
            </w:pPr>
          </w:p>
        </w:tc>
        <w:tc>
          <w:tcPr>
            <w:tcW w:w="3511" w:type="dxa"/>
            <w:noWrap w:val="0"/>
            <w:vAlign w:val="center"/>
          </w:tcPr>
          <w:p>
            <w:pPr>
              <w:rPr>
                <w:rFonts w:hint="default" w:ascii="Times New Roman" w:hAnsi="Times New Roman" w:cs="Times New Roman"/>
                <w:spacing w:val="20"/>
                <w:szCs w:val="21"/>
              </w:rPr>
            </w:pPr>
            <w:r>
              <w:rPr>
                <w:rFonts w:hint="default" w:ascii="Times New Roman" w:hAnsi="Times New Roman" w:cs="Times New Roman"/>
                <w:spacing w:val="20"/>
                <w:szCs w:val="21"/>
              </w:rPr>
              <w:t>企业类别</w:t>
            </w:r>
          </w:p>
        </w:tc>
        <w:tc>
          <w:tcPr>
            <w:tcW w:w="2765" w:type="dxa"/>
            <w:noWrap w:val="0"/>
            <w:vAlign w:val="center"/>
          </w:tcPr>
          <w:p>
            <w:pPr>
              <w:rPr>
                <w:rFonts w:hint="default" w:ascii="Times New Roman" w:hAnsi="Times New Roman" w:cs="Times New Roman"/>
                <w:spacing w:val="20"/>
                <w:szCs w:val="21"/>
              </w:rPr>
            </w:pPr>
            <w:r>
              <w:rPr>
                <w:rFonts w:hint="default" w:ascii="Times New Roman" w:hAnsi="Times New Roman" w:cs="Times New Roman"/>
                <w:spacing w:val="20"/>
                <w:szCs w:val="21"/>
              </w:rPr>
              <w:t>（中央企业/地方企业）</w:t>
            </w:r>
          </w:p>
        </w:tc>
        <w:tc>
          <w:tcPr>
            <w:tcW w:w="1112" w:type="dxa"/>
            <w:noWrap w:val="0"/>
            <w:vAlign w:val="center"/>
          </w:tcPr>
          <w:p>
            <w:pP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8" w:type="dxa"/>
            <w:vMerge w:val="continue"/>
            <w:noWrap w:val="0"/>
            <w:vAlign w:val="center"/>
          </w:tcPr>
          <w:p>
            <w:pPr>
              <w:jc w:val="center"/>
              <w:rPr>
                <w:rFonts w:hint="default" w:ascii="Times New Roman" w:hAnsi="Times New Roman" w:cs="Times New Roman"/>
                <w:spacing w:val="20"/>
                <w:szCs w:val="21"/>
              </w:rPr>
            </w:pPr>
          </w:p>
        </w:tc>
        <w:tc>
          <w:tcPr>
            <w:tcW w:w="3511" w:type="dxa"/>
            <w:noWrap w:val="0"/>
            <w:vAlign w:val="center"/>
          </w:tcPr>
          <w:p>
            <w:pPr>
              <w:rPr>
                <w:rFonts w:hint="default" w:ascii="Times New Roman" w:hAnsi="Times New Roman" w:cs="Times New Roman"/>
                <w:spacing w:val="20"/>
                <w:szCs w:val="21"/>
              </w:rPr>
            </w:pPr>
            <w:r>
              <w:rPr>
                <w:rFonts w:hint="default" w:ascii="Times New Roman" w:hAnsi="Times New Roman" w:cs="Times New Roman"/>
                <w:spacing w:val="20"/>
                <w:szCs w:val="21"/>
              </w:rPr>
              <w:t>企业性质</w:t>
            </w:r>
          </w:p>
        </w:tc>
        <w:tc>
          <w:tcPr>
            <w:tcW w:w="2765" w:type="dxa"/>
            <w:noWrap w:val="0"/>
            <w:vAlign w:val="center"/>
          </w:tcPr>
          <w:p>
            <w:pPr>
              <w:rPr>
                <w:rFonts w:hint="default" w:ascii="Times New Roman" w:hAnsi="Times New Roman" w:cs="Times New Roman"/>
                <w:spacing w:val="20"/>
                <w:szCs w:val="21"/>
              </w:rPr>
            </w:pPr>
          </w:p>
        </w:tc>
        <w:tc>
          <w:tcPr>
            <w:tcW w:w="1112" w:type="dxa"/>
            <w:noWrap w:val="0"/>
            <w:vAlign w:val="center"/>
          </w:tcPr>
          <w:p>
            <w:pP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78" w:type="dxa"/>
            <w:vMerge w:val="continue"/>
            <w:noWrap w:val="0"/>
            <w:vAlign w:val="center"/>
          </w:tcPr>
          <w:p>
            <w:pPr>
              <w:jc w:val="center"/>
              <w:rPr>
                <w:rFonts w:hint="default" w:ascii="Times New Roman" w:hAnsi="Times New Roman" w:cs="Times New Roman"/>
                <w:spacing w:val="20"/>
                <w:szCs w:val="21"/>
              </w:rPr>
            </w:pPr>
          </w:p>
        </w:tc>
        <w:tc>
          <w:tcPr>
            <w:tcW w:w="3511" w:type="dxa"/>
            <w:noWrap w:val="0"/>
            <w:vAlign w:val="center"/>
          </w:tcPr>
          <w:p>
            <w:pPr>
              <w:rPr>
                <w:rFonts w:hint="default" w:ascii="Times New Roman" w:hAnsi="Times New Roman" w:cs="Times New Roman"/>
                <w:spacing w:val="20"/>
                <w:szCs w:val="21"/>
              </w:rPr>
            </w:pPr>
            <w:r>
              <w:rPr>
                <w:rFonts w:hint="default" w:ascii="Times New Roman" w:hAnsi="Times New Roman" w:cs="Times New Roman"/>
                <w:spacing w:val="20"/>
                <w:szCs w:val="21"/>
              </w:rPr>
              <w:t>主管海关</w:t>
            </w:r>
          </w:p>
        </w:tc>
        <w:tc>
          <w:tcPr>
            <w:tcW w:w="2765" w:type="dxa"/>
            <w:noWrap w:val="0"/>
            <w:vAlign w:val="center"/>
          </w:tcPr>
          <w:p>
            <w:pPr>
              <w:rPr>
                <w:rFonts w:hint="default" w:ascii="Times New Roman" w:hAnsi="Times New Roman" w:cs="Times New Roman"/>
                <w:spacing w:val="20"/>
                <w:szCs w:val="21"/>
              </w:rPr>
            </w:pPr>
          </w:p>
        </w:tc>
        <w:tc>
          <w:tcPr>
            <w:tcW w:w="1112" w:type="dxa"/>
            <w:noWrap w:val="0"/>
            <w:vAlign w:val="center"/>
          </w:tcPr>
          <w:p>
            <w:pP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78" w:type="dxa"/>
            <w:vMerge w:val="restart"/>
            <w:noWrap w:val="0"/>
            <w:vAlign w:val="center"/>
          </w:tcPr>
          <w:p>
            <w:pPr>
              <w:jc w:val="center"/>
              <w:rPr>
                <w:rFonts w:hint="default" w:ascii="Times New Roman" w:hAnsi="Times New Roman" w:cs="Times New Roman"/>
                <w:spacing w:val="20"/>
                <w:szCs w:val="21"/>
              </w:rPr>
            </w:pPr>
            <w:r>
              <w:rPr>
                <w:rFonts w:hint="default" w:ascii="Times New Roman" w:hAnsi="Times New Roman" w:cs="Times New Roman"/>
                <w:spacing w:val="20"/>
                <w:szCs w:val="21"/>
              </w:rPr>
              <w:t>相关装备或产品销售情况</w:t>
            </w:r>
          </w:p>
        </w:tc>
        <w:tc>
          <w:tcPr>
            <w:tcW w:w="3511" w:type="dxa"/>
            <w:noWrap w:val="0"/>
            <w:vAlign w:val="center"/>
          </w:tcPr>
          <w:p>
            <w:pPr>
              <w:rPr>
                <w:rFonts w:hint="default" w:ascii="Times New Roman" w:hAnsi="Times New Roman" w:cs="Times New Roman"/>
                <w:spacing w:val="20"/>
                <w:szCs w:val="21"/>
              </w:rPr>
            </w:pPr>
            <w:r>
              <w:rPr>
                <w:rFonts w:hint="default" w:ascii="Times New Roman" w:hAnsi="Times New Roman" w:cs="Times New Roman"/>
                <w:spacing w:val="20"/>
                <w:szCs w:val="21"/>
              </w:rPr>
              <w:t>装备或产品所对应目录条目</w:t>
            </w:r>
          </w:p>
        </w:tc>
        <w:tc>
          <w:tcPr>
            <w:tcW w:w="2765" w:type="dxa"/>
            <w:noWrap w:val="0"/>
            <w:vAlign w:val="center"/>
          </w:tcPr>
          <w:p>
            <w:pPr>
              <w:rPr>
                <w:rFonts w:hint="default" w:ascii="Times New Roman" w:hAnsi="Times New Roman" w:cs="Times New Roman"/>
                <w:spacing w:val="20"/>
                <w:szCs w:val="21"/>
              </w:rPr>
            </w:pPr>
          </w:p>
        </w:tc>
        <w:tc>
          <w:tcPr>
            <w:tcW w:w="1112" w:type="dxa"/>
            <w:noWrap w:val="0"/>
            <w:vAlign w:val="center"/>
          </w:tcPr>
          <w:p>
            <w:pP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078" w:type="dxa"/>
            <w:vMerge w:val="continue"/>
            <w:noWrap w:val="0"/>
            <w:vAlign w:val="center"/>
          </w:tcPr>
          <w:p>
            <w:pPr>
              <w:rPr>
                <w:rFonts w:hint="default" w:ascii="Times New Roman" w:hAnsi="Times New Roman" w:cs="Times New Roman"/>
                <w:spacing w:val="20"/>
                <w:szCs w:val="21"/>
              </w:rPr>
            </w:pPr>
          </w:p>
        </w:tc>
        <w:tc>
          <w:tcPr>
            <w:tcW w:w="3511" w:type="dxa"/>
            <w:noWrap w:val="0"/>
            <w:vAlign w:val="center"/>
          </w:tcPr>
          <w:p>
            <w:pPr>
              <w:rPr>
                <w:rFonts w:hint="default" w:ascii="Times New Roman" w:hAnsi="Times New Roman" w:cs="Times New Roman"/>
                <w:spacing w:val="20"/>
                <w:szCs w:val="21"/>
              </w:rPr>
            </w:pPr>
            <w:r>
              <w:rPr>
                <w:rFonts w:hint="default" w:ascii="Times New Roman" w:hAnsi="Times New Roman" w:cs="Times New Roman"/>
                <w:spacing w:val="20"/>
                <w:szCs w:val="21"/>
              </w:rPr>
              <w:t>过去三年相关装备或产品销售数量及金额合计（万元）</w:t>
            </w:r>
          </w:p>
        </w:tc>
        <w:tc>
          <w:tcPr>
            <w:tcW w:w="2765" w:type="dxa"/>
            <w:noWrap w:val="0"/>
            <w:vAlign w:val="center"/>
          </w:tcPr>
          <w:p>
            <w:pPr>
              <w:rPr>
                <w:rFonts w:hint="default" w:ascii="Times New Roman" w:hAnsi="Times New Roman" w:cs="Times New Roman"/>
                <w:spacing w:val="20"/>
                <w:szCs w:val="21"/>
              </w:rPr>
            </w:pPr>
          </w:p>
        </w:tc>
        <w:tc>
          <w:tcPr>
            <w:tcW w:w="1112" w:type="dxa"/>
            <w:noWrap w:val="0"/>
            <w:vAlign w:val="center"/>
          </w:tcPr>
          <w:p>
            <w:pPr>
              <w:jc w:val="center"/>
              <w:rPr>
                <w:rFonts w:hint="default" w:ascii="Times New Roman" w:hAnsi="Times New Roman" w:cs="Times New Roman"/>
                <w:spacing w:val="20"/>
                <w:szCs w:val="21"/>
              </w:rPr>
            </w:pPr>
            <w:r>
              <w:rPr>
                <w:rFonts w:hint="default" w:ascii="Times New Roman" w:hAnsi="Times New Roman" w:cs="Times New Roman"/>
                <w:spacing w:val="20"/>
                <w:szCs w:val="21"/>
              </w:rPr>
              <w:t>核电项目业主填写采购装备或产品</w:t>
            </w:r>
          </w:p>
          <w:p>
            <w:pPr>
              <w:jc w:val="center"/>
              <w:rPr>
                <w:rFonts w:hint="default" w:ascii="Times New Roman" w:hAnsi="Times New Roman" w:cs="Times New Roman"/>
                <w:spacing w:val="20"/>
                <w:szCs w:val="21"/>
              </w:rPr>
            </w:pPr>
            <w:r>
              <w:rPr>
                <w:rFonts w:hint="default" w:ascii="Times New Roman" w:hAnsi="Times New Roman" w:cs="Times New Roman"/>
                <w:spacing w:val="20"/>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78" w:type="dxa"/>
            <w:vMerge w:val="restart"/>
            <w:noWrap w:val="0"/>
            <w:vAlign w:val="center"/>
          </w:tcPr>
          <w:p>
            <w:pPr>
              <w:jc w:val="center"/>
              <w:rPr>
                <w:rFonts w:hint="default" w:ascii="Times New Roman" w:hAnsi="Times New Roman" w:cs="Times New Roman"/>
                <w:spacing w:val="20"/>
                <w:szCs w:val="21"/>
              </w:rPr>
            </w:pPr>
            <w:r>
              <w:rPr>
                <w:rFonts w:hint="default" w:ascii="Times New Roman" w:hAnsi="Times New Roman" w:cs="Times New Roman"/>
                <w:spacing w:val="20"/>
                <w:szCs w:val="21"/>
              </w:rPr>
              <w:t>享受政策情况</w:t>
            </w:r>
          </w:p>
        </w:tc>
        <w:tc>
          <w:tcPr>
            <w:tcW w:w="3511" w:type="dxa"/>
            <w:noWrap w:val="0"/>
            <w:vAlign w:val="center"/>
          </w:tcPr>
          <w:p>
            <w:pPr>
              <w:rPr>
                <w:rFonts w:hint="default" w:ascii="Times New Roman" w:hAnsi="Times New Roman" w:cs="Times New Roman"/>
                <w:spacing w:val="20"/>
                <w:szCs w:val="21"/>
              </w:rPr>
            </w:pPr>
            <w:r>
              <w:rPr>
                <w:rFonts w:hint="default" w:ascii="Times New Roman" w:hAnsi="Times New Roman" w:cs="Times New Roman"/>
                <w:spacing w:val="20"/>
                <w:szCs w:val="21"/>
              </w:rPr>
              <w:t>首次享受政策时间</w:t>
            </w:r>
          </w:p>
        </w:tc>
        <w:tc>
          <w:tcPr>
            <w:tcW w:w="2765" w:type="dxa"/>
            <w:noWrap w:val="0"/>
            <w:vAlign w:val="center"/>
          </w:tcPr>
          <w:p>
            <w:pPr>
              <w:rPr>
                <w:rFonts w:hint="default" w:ascii="Times New Roman" w:hAnsi="Times New Roman" w:cs="Times New Roman"/>
                <w:spacing w:val="20"/>
                <w:szCs w:val="21"/>
              </w:rPr>
            </w:pPr>
          </w:p>
        </w:tc>
        <w:tc>
          <w:tcPr>
            <w:tcW w:w="1112" w:type="dxa"/>
            <w:noWrap w:val="0"/>
            <w:vAlign w:val="center"/>
          </w:tcPr>
          <w:p>
            <w:pP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78" w:type="dxa"/>
            <w:vMerge w:val="continue"/>
            <w:noWrap w:val="0"/>
            <w:vAlign w:val="center"/>
          </w:tcPr>
          <w:p>
            <w:pPr>
              <w:rPr>
                <w:rFonts w:hint="default" w:ascii="Times New Roman" w:hAnsi="Times New Roman" w:cs="Times New Roman"/>
                <w:spacing w:val="20"/>
                <w:szCs w:val="21"/>
              </w:rPr>
            </w:pPr>
          </w:p>
        </w:tc>
        <w:tc>
          <w:tcPr>
            <w:tcW w:w="3511" w:type="dxa"/>
            <w:noWrap w:val="0"/>
            <w:vAlign w:val="center"/>
          </w:tcPr>
          <w:p>
            <w:pPr>
              <w:rPr>
                <w:rFonts w:hint="default" w:ascii="Times New Roman" w:hAnsi="Times New Roman" w:cs="Times New Roman"/>
                <w:spacing w:val="20"/>
                <w:szCs w:val="21"/>
              </w:rPr>
            </w:pPr>
            <w:r>
              <w:rPr>
                <w:rFonts w:hint="default" w:ascii="Times New Roman" w:hAnsi="Times New Roman" w:cs="Times New Roman"/>
                <w:spacing w:val="20"/>
                <w:szCs w:val="21"/>
              </w:rPr>
              <w:t xml:space="preserve">上次免税资格复核时间 </w:t>
            </w:r>
          </w:p>
        </w:tc>
        <w:tc>
          <w:tcPr>
            <w:tcW w:w="2765" w:type="dxa"/>
            <w:noWrap w:val="0"/>
            <w:vAlign w:val="center"/>
          </w:tcPr>
          <w:p>
            <w:pPr>
              <w:rPr>
                <w:rFonts w:hint="default" w:ascii="Times New Roman" w:hAnsi="Times New Roman" w:cs="Times New Roman"/>
                <w:spacing w:val="20"/>
                <w:szCs w:val="21"/>
              </w:rPr>
            </w:pPr>
          </w:p>
        </w:tc>
        <w:tc>
          <w:tcPr>
            <w:tcW w:w="1112" w:type="dxa"/>
            <w:noWrap w:val="0"/>
            <w:vAlign w:val="center"/>
          </w:tcPr>
          <w:p>
            <w:pP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78" w:type="dxa"/>
            <w:vMerge w:val="continue"/>
            <w:noWrap w:val="0"/>
            <w:vAlign w:val="center"/>
          </w:tcPr>
          <w:p>
            <w:pPr>
              <w:rPr>
                <w:rFonts w:hint="default" w:ascii="Times New Roman" w:hAnsi="Times New Roman" w:cs="Times New Roman"/>
                <w:spacing w:val="20"/>
                <w:szCs w:val="21"/>
              </w:rPr>
            </w:pPr>
          </w:p>
        </w:tc>
        <w:tc>
          <w:tcPr>
            <w:tcW w:w="3511" w:type="dxa"/>
            <w:noWrap w:val="0"/>
            <w:vAlign w:val="center"/>
          </w:tcPr>
          <w:p>
            <w:pPr>
              <w:rPr>
                <w:rFonts w:hint="default" w:ascii="Times New Roman" w:hAnsi="Times New Roman" w:cs="Times New Roman"/>
                <w:spacing w:val="20"/>
                <w:szCs w:val="21"/>
              </w:rPr>
            </w:pPr>
            <w:r>
              <w:rPr>
                <w:rFonts w:hint="default" w:ascii="Times New Roman" w:hAnsi="Times New Roman" w:cs="Times New Roman"/>
                <w:spacing w:val="20"/>
                <w:szCs w:val="21"/>
              </w:rPr>
              <w:t>前</w:t>
            </w:r>
            <w:r>
              <w:rPr>
                <w:rFonts w:hint="eastAsia" w:ascii="Times New Roman" w:hAnsi="Times New Roman" w:cs="Times New Roman"/>
                <w:spacing w:val="20"/>
                <w:szCs w:val="21"/>
                <w:lang w:eastAsia="zh-CN"/>
              </w:rPr>
              <w:t>两</w:t>
            </w:r>
            <w:r>
              <w:rPr>
                <w:rFonts w:hint="default" w:ascii="Times New Roman" w:hAnsi="Times New Roman" w:cs="Times New Roman"/>
                <w:spacing w:val="20"/>
                <w:szCs w:val="21"/>
              </w:rPr>
              <w:t>年实际免税进口零部件、原材料货值合计（万美元）</w:t>
            </w:r>
          </w:p>
        </w:tc>
        <w:tc>
          <w:tcPr>
            <w:tcW w:w="2765" w:type="dxa"/>
            <w:noWrap w:val="0"/>
            <w:vAlign w:val="center"/>
          </w:tcPr>
          <w:p>
            <w:pPr>
              <w:rPr>
                <w:rFonts w:hint="default" w:ascii="Times New Roman" w:hAnsi="Times New Roman" w:cs="Times New Roman"/>
                <w:spacing w:val="20"/>
                <w:szCs w:val="21"/>
              </w:rPr>
            </w:pPr>
          </w:p>
        </w:tc>
        <w:tc>
          <w:tcPr>
            <w:tcW w:w="1112" w:type="dxa"/>
            <w:noWrap w:val="0"/>
            <w:vAlign w:val="center"/>
          </w:tcPr>
          <w:p>
            <w:pP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078" w:type="dxa"/>
            <w:vMerge w:val="continue"/>
            <w:noWrap w:val="0"/>
            <w:vAlign w:val="center"/>
          </w:tcPr>
          <w:p>
            <w:pPr>
              <w:rPr>
                <w:rFonts w:hint="default" w:ascii="Times New Roman" w:hAnsi="Times New Roman" w:cs="Times New Roman"/>
                <w:spacing w:val="20"/>
                <w:szCs w:val="21"/>
              </w:rPr>
            </w:pPr>
          </w:p>
        </w:tc>
        <w:tc>
          <w:tcPr>
            <w:tcW w:w="3511" w:type="dxa"/>
            <w:noWrap w:val="0"/>
            <w:vAlign w:val="center"/>
          </w:tcPr>
          <w:p>
            <w:pPr>
              <w:rPr>
                <w:rFonts w:hint="default" w:ascii="Times New Roman" w:hAnsi="Times New Roman" w:cs="Times New Roman"/>
                <w:spacing w:val="20"/>
                <w:szCs w:val="21"/>
              </w:rPr>
            </w:pPr>
            <w:r>
              <w:rPr>
                <w:rFonts w:hint="default" w:ascii="Times New Roman" w:hAnsi="Times New Roman" w:cs="Times New Roman"/>
                <w:spacing w:val="20"/>
                <w:szCs w:val="21"/>
              </w:rPr>
              <w:t>本年度1-6月免税进口零部件、原材料货值合计（万美元）</w:t>
            </w:r>
          </w:p>
        </w:tc>
        <w:tc>
          <w:tcPr>
            <w:tcW w:w="2765" w:type="dxa"/>
            <w:noWrap w:val="0"/>
            <w:vAlign w:val="center"/>
          </w:tcPr>
          <w:p>
            <w:pPr>
              <w:rPr>
                <w:rFonts w:hint="default" w:ascii="Times New Roman" w:hAnsi="Times New Roman" w:cs="Times New Roman"/>
                <w:spacing w:val="20"/>
                <w:szCs w:val="21"/>
              </w:rPr>
            </w:pPr>
          </w:p>
        </w:tc>
        <w:tc>
          <w:tcPr>
            <w:tcW w:w="1112" w:type="dxa"/>
            <w:noWrap w:val="0"/>
            <w:vAlign w:val="center"/>
          </w:tcPr>
          <w:p>
            <w:pP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78" w:type="dxa"/>
            <w:vMerge w:val="continue"/>
            <w:noWrap w:val="0"/>
            <w:vAlign w:val="center"/>
          </w:tcPr>
          <w:p>
            <w:pPr>
              <w:rPr>
                <w:rFonts w:hint="default" w:ascii="Times New Roman" w:hAnsi="Times New Roman" w:cs="Times New Roman"/>
                <w:spacing w:val="20"/>
                <w:szCs w:val="21"/>
              </w:rPr>
            </w:pPr>
          </w:p>
        </w:tc>
        <w:tc>
          <w:tcPr>
            <w:tcW w:w="3511" w:type="dxa"/>
            <w:noWrap w:val="0"/>
            <w:vAlign w:val="center"/>
          </w:tcPr>
          <w:p>
            <w:pPr>
              <w:rPr>
                <w:rFonts w:hint="default" w:ascii="Times New Roman" w:hAnsi="Times New Roman" w:cs="Times New Roman"/>
                <w:spacing w:val="20"/>
                <w:szCs w:val="21"/>
              </w:rPr>
            </w:pPr>
            <w:r>
              <w:rPr>
                <w:rFonts w:hint="default" w:ascii="Times New Roman" w:hAnsi="Times New Roman" w:cs="Times New Roman"/>
                <w:spacing w:val="20"/>
                <w:szCs w:val="21"/>
              </w:rPr>
              <w:t>前</w:t>
            </w:r>
            <w:r>
              <w:rPr>
                <w:rFonts w:hint="eastAsia" w:ascii="Times New Roman" w:hAnsi="Times New Roman" w:cs="Times New Roman"/>
                <w:spacing w:val="20"/>
                <w:szCs w:val="21"/>
                <w:lang w:eastAsia="zh-CN"/>
              </w:rPr>
              <w:t>两</w:t>
            </w:r>
            <w:r>
              <w:rPr>
                <w:rFonts w:hint="default" w:ascii="Times New Roman" w:hAnsi="Times New Roman" w:cs="Times New Roman"/>
                <w:spacing w:val="20"/>
                <w:szCs w:val="21"/>
              </w:rPr>
              <w:t>年免税进口零部件</w:t>
            </w:r>
            <w:r>
              <w:rPr>
                <w:rFonts w:hint="eastAsia" w:ascii="Times New Roman" w:hAnsi="Times New Roman" w:cs="Times New Roman"/>
                <w:spacing w:val="20"/>
                <w:szCs w:val="21"/>
                <w:lang w:eastAsia="zh-CN"/>
              </w:rPr>
              <w:t>和</w:t>
            </w:r>
            <w:r>
              <w:rPr>
                <w:rFonts w:hint="default" w:ascii="Times New Roman" w:hAnsi="Times New Roman" w:cs="Times New Roman"/>
                <w:spacing w:val="20"/>
                <w:szCs w:val="21"/>
              </w:rPr>
              <w:t>原材料减免税</w:t>
            </w:r>
            <w:r>
              <w:rPr>
                <w:rFonts w:hint="eastAsia" w:ascii="Times New Roman" w:hAnsi="Times New Roman" w:cs="Times New Roman"/>
                <w:spacing w:val="20"/>
                <w:szCs w:val="21"/>
                <w:lang w:eastAsia="zh-CN"/>
              </w:rPr>
              <w:t>额</w:t>
            </w:r>
            <w:r>
              <w:rPr>
                <w:rFonts w:hint="default" w:ascii="Times New Roman" w:hAnsi="Times New Roman" w:cs="Times New Roman"/>
                <w:spacing w:val="20"/>
                <w:szCs w:val="21"/>
              </w:rPr>
              <w:t>合计（万元）</w:t>
            </w:r>
          </w:p>
        </w:tc>
        <w:tc>
          <w:tcPr>
            <w:tcW w:w="2765" w:type="dxa"/>
            <w:noWrap w:val="0"/>
            <w:vAlign w:val="center"/>
          </w:tcPr>
          <w:p>
            <w:pPr>
              <w:rPr>
                <w:rFonts w:hint="default" w:ascii="Times New Roman" w:hAnsi="Times New Roman" w:cs="Times New Roman"/>
                <w:spacing w:val="20"/>
                <w:szCs w:val="21"/>
              </w:rPr>
            </w:pPr>
          </w:p>
        </w:tc>
        <w:tc>
          <w:tcPr>
            <w:tcW w:w="1112" w:type="dxa"/>
            <w:noWrap w:val="0"/>
            <w:vAlign w:val="center"/>
          </w:tcPr>
          <w:p>
            <w:pPr>
              <w:rPr>
                <w:rFonts w:hint="default"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78" w:type="dxa"/>
            <w:vMerge w:val="continue"/>
            <w:noWrap w:val="0"/>
            <w:vAlign w:val="center"/>
          </w:tcPr>
          <w:p>
            <w:pPr>
              <w:rPr>
                <w:rFonts w:hint="default" w:ascii="Times New Roman" w:hAnsi="Times New Roman" w:cs="Times New Roman"/>
                <w:spacing w:val="20"/>
                <w:szCs w:val="21"/>
              </w:rPr>
            </w:pPr>
          </w:p>
        </w:tc>
        <w:tc>
          <w:tcPr>
            <w:tcW w:w="3511" w:type="dxa"/>
            <w:noWrap w:val="0"/>
            <w:vAlign w:val="center"/>
          </w:tcPr>
          <w:p>
            <w:pPr>
              <w:rPr>
                <w:rFonts w:hint="default" w:ascii="Times New Roman" w:hAnsi="Times New Roman" w:cs="Times New Roman"/>
                <w:spacing w:val="20"/>
                <w:szCs w:val="21"/>
              </w:rPr>
            </w:pPr>
            <w:r>
              <w:rPr>
                <w:rFonts w:hint="default" w:ascii="Times New Roman" w:hAnsi="Times New Roman" w:cs="Times New Roman"/>
                <w:spacing w:val="20"/>
                <w:szCs w:val="21"/>
              </w:rPr>
              <w:t>本年度1-6月免税进口零部件</w:t>
            </w:r>
            <w:r>
              <w:rPr>
                <w:rFonts w:hint="eastAsia" w:ascii="Times New Roman" w:hAnsi="Times New Roman" w:cs="Times New Roman"/>
                <w:spacing w:val="20"/>
                <w:szCs w:val="21"/>
                <w:lang w:eastAsia="zh-CN"/>
              </w:rPr>
              <w:t>和</w:t>
            </w:r>
            <w:r>
              <w:rPr>
                <w:rFonts w:hint="default" w:ascii="Times New Roman" w:hAnsi="Times New Roman" w:cs="Times New Roman"/>
                <w:spacing w:val="20"/>
                <w:szCs w:val="21"/>
              </w:rPr>
              <w:t>原材料减免税</w:t>
            </w:r>
            <w:r>
              <w:rPr>
                <w:rFonts w:hint="eastAsia" w:ascii="Times New Roman" w:hAnsi="Times New Roman" w:cs="Times New Roman"/>
                <w:spacing w:val="20"/>
                <w:szCs w:val="21"/>
                <w:lang w:eastAsia="zh-CN"/>
              </w:rPr>
              <w:t>额</w:t>
            </w:r>
            <w:r>
              <w:rPr>
                <w:rFonts w:hint="default" w:ascii="Times New Roman" w:hAnsi="Times New Roman" w:cs="Times New Roman"/>
                <w:spacing w:val="20"/>
                <w:szCs w:val="21"/>
              </w:rPr>
              <w:t>合计（万元）</w:t>
            </w:r>
          </w:p>
        </w:tc>
        <w:tc>
          <w:tcPr>
            <w:tcW w:w="2765" w:type="dxa"/>
            <w:noWrap w:val="0"/>
            <w:vAlign w:val="center"/>
          </w:tcPr>
          <w:p>
            <w:pPr>
              <w:rPr>
                <w:rFonts w:hint="default" w:ascii="Times New Roman" w:hAnsi="Times New Roman" w:cs="Times New Roman"/>
                <w:spacing w:val="20"/>
                <w:szCs w:val="21"/>
              </w:rPr>
            </w:pPr>
          </w:p>
        </w:tc>
        <w:tc>
          <w:tcPr>
            <w:tcW w:w="1112" w:type="dxa"/>
            <w:noWrap w:val="0"/>
            <w:vAlign w:val="center"/>
          </w:tcPr>
          <w:p>
            <w:pPr>
              <w:rPr>
                <w:rFonts w:hint="default" w:ascii="Times New Roman" w:hAnsi="Times New Roman" w:cs="Times New Roman"/>
                <w:spacing w:val="20"/>
                <w:szCs w:val="21"/>
              </w:rPr>
            </w:pPr>
          </w:p>
        </w:tc>
      </w:tr>
    </w:tbl>
    <w:p>
      <w:pPr>
        <w:rPr>
          <w:rFonts w:hint="default" w:ascii="Times New Roman" w:hAnsi="Times New Roman" w:cs="Times New Roman"/>
          <w:spacing w:val="20"/>
          <w:szCs w:val="21"/>
        </w:rPr>
      </w:pPr>
      <w:r>
        <w:rPr>
          <w:rFonts w:hint="default" w:ascii="Times New Roman" w:hAnsi="Times New Roman" w:cs="Times New Roman"/>
          <w:spacing w:val="20"/>
          <w:szCs w:val="21"/>
        </w:rPr>
        <w:t>注：</w:t>
      </w:r>
      <w:r>
        <w:rPr>
          <w:rFonts w:hint="eastAsia" w:ascii="Times New Roman" w:hAnsi="Times New Roman" w:cs="Times New Roman"/>
          <w:spacing w:val="20"/>
          <w:szCs w:val="21"/>
          <w:lang w:eastAsia="zh-CN"/>
        </w:rPr>
        <w:t>装</w:t>
      </w:r>
      <w:r>
        <w:rPr>
          <w:rFonts w:hint="default" w:ascii="Times New Roman" w:hAnsi="Times New Roman" w:cs="Times New Roman"/>
          <w:spacing w:val="20"/>
          <w:szCs w:val="21"/>
        </w:rPr>
        <w:t>备或产品名称应按照《国家支持发展的重大技术装备和产品目录》中有关条目填写。涉及不同年度的数据，应按年度分别填写。第一次复核企业和核电项目业主仅填写首次获得免税资格年度至本次复核年度的数据。</w:t>
      </w:r>
    </w:p>
    <w:p>
      <w:pPr>
        <w:rPr>
          <w:rFonts w:ascii="Times New Roman" w:hAnsi="Times New Roman" w:eastAsia="楷体_GB2312" w:cs="Times New Roman"/>
          <w:b/>
          <w:bCs/>
          <w:kern w:val="0"/>
          <w:sz w:val="28"/>
          <w:szCs w:val="28"/>
        </w:rPr>
      </w:pPr>
    </w:p>
    <w:p>
      <w:pPr>
        <w:rPr>
          <w:rFonts w:ascii="Times New Roman" w:hAnsi="Times New Roman" w:eastAsia="楷体_GB2312" w:cs="Times New Roman"/>
          <w:b/>
          <w:bCs/>
          <w:kern w:val="0"/>
          <w:sz w:val="28"/>
          <w:szCs w:val="28"/>
        </w:rPr>
      </w:pPr>
      <w:r>
        <w:rPr>
          <w:rFonts w:ascii="Times New Roman" w:hAnsi="Times New Roman" w:eastAsia="楷体_GB2312" w:cs="Times New Roman"/>
          <w:b/>
          <w:bCs/>
          <w:kern w:val="0"/>
          <w:sz w:val="28"/>
          <w:szCs w:val="28"/>
        </w:rPr>
        <w:t>（二）</w:t>
      </w:r>
      <w:r>
        <w:rPr>
          <w:rFonts w:ascii="Times New Roman" w:hAnsi="Times New Roman" w:eastAsia="楷体_GB2312" w:cs="Times New Roman"/>
          <w:b/>
          <w:bCs/>
          <w:sz w:val="28"/>
          <w:szCs w:val="28"/>
        </w:rPr>
        <w:t>过去三年（</w:t>
      </w:r>
      <w:r>
        <w:rPr>
          <w:rFonts w:hint="default" w:ascii="Times New Roman" w:hAnsi="Times New Roman" w:eastAsia="楷体_GB2312" w:cs="Times New Roman"/>
          <w:b/>
          <w:bCs/>
          <w:sz w:val="28"/>
          <w:szCs w:val="28"/>
        </w:rPr>
        <w:t>含</w:t>
      </w:r>
      <w:r>
        <w:rPr>
          <w:rFonts w:ascii="Times New Roman" w:hAnsi="Times New Roman" w:eastAsia="楷体_GB2312" w:cs="Times New Roman"/>
          <w:b/>
          <w:bCs/>
          <w:sz w:val="28"/>
          <w:szCs w:val="28"/>
        </w:rPr>
        <w:t>本年）</w:t>
      </w:r>
      <w:r>
        <w:rPr>
          <w:rFonts w:ascii="Times New Roman" w:hAnsi="Times New Roman" w:eastAsia="楷体_GB2312" w:cs="Times New Roman"/>
          <w:b/>
          <w:bCs/>
          <w:kern w:val="0"/>
          <w:sz w:val="28"/>
          <w:szCs w:val="28"/>
        </w:rPr>
        <w:t>重大技术装备或产品销售合同汇总表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1299"/>
        <w:gridCol w:w="892"/>
        <w:gridCol w:w="1099"/>
        <w:gridCol w:w="989"/>
        <w:gridCol w:w="1076"/>
        <w:gridCol w:w="125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2" w:hRule="atLeast"/>
          <w:jc w:val="center"/>
        </w:trPr>
        <w:tc>
          <w:tcPr>
            <w:tcW w:w="655"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序号</w:t>
            </w:r>
          </w:p>
        </w:tc>
        <w:tc>
          <w:tcPr>
            <w:tcW w:w="1299" w:type="dxa"/>
            <w:shd w:val="clear" w:color="auto" w:fill="FFFFFF"/>
            <w:noWrap w:val="0"/>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spacing w:val="20"/>
                <w:szCs w:val="21"/>
              </w:rPr>
              <w:t>装</w:t>
            </w:r>
            <w:r>
              <w:rPr>
                <w:rFonts w:ascii="Times New Roman" w:hAnsi="Times New Roman" w:cs="Times New Roman"/>
                <w:spacing w:val="20"/>
                <w:szCs w:val="21"/>
              </w:rPr>
              <w:t>备</w:t>
            </w:r>
            <w:r>
              <w:rPr>
                <w:rFonts w:hint="default" w:ascii="Times New Roman" w:hAnsi="Times New Roman" w:cs="Times New Roman"/>
                <w:spacing w:val="20"/>
                <w:szCs w:val="21"/>
              </w:rPr>
              <w:t>或产品对应条目</w:t>
            </w:r>
          </w:p>
        </w:tc>
        <w:tc>
          <w:tcPr>
            <w:tcW w:w="892" w:type="dxa"/>
            <w:shd w:val="clear" w:color="auto" w:fill="FFFFFF"/>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合同（项目）签订时间</w:t>
            </w:r>
          </w:p>
        </w:tc>
        <w:tc>
          <w:tcPr>
            <w:tcW w:w="1099"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合同</w:t>
            </w:r>
            <w:r>
              <w:rPr>
                <w:rFonts w:hint="default" w:ascii="Times New Roman" w:hAnsi="Times New Roman" w:cs="Times New Roman"/>
                <w:spacing w:val="20"/>
                <w:szCs w:val="21"/>
              </w:rPr>
              <w:t>（项目）</w:t>
            </w:r>
            <w:r>
              <w:rPr>
                <w:rFonts w:ascii="Times New Roman" w:hAnsi="Times New Roman" w:cs="Times New Roman"/>
                <w:spacing w:val="20"/>
                <w:szCs w:val="21"/>
              </w:rPr>
              <w:t>编号</w:t>
            </w:r>
          </w:p>
        </w:tc>
        <w:tc>
          <w:tcPr>
            <w:tcW w:w="989"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合同（项 目</w:t>
            </w:r>
            <w:r>
              <w:rPr>
                <w:rFonts w:ascii="Times New Roman" w:hAnsi="Times New Roman" w:cs="Times New Roman"/>
                <w:spacing w:val="20"/>
                <w:szCs w:val="21"/>
                <w:lang w:eastAsia="en-US"/>
              </w:rPr>
              <w:t>）</w:t>
            </w:r>
            <w:r>
              <w:rPr>
                <w:rFonts w:ascii="Times New Roman" w:hAnsi="Times New Roman" w:cs="Times New Roman"/>
                <w:spacing w:val="20"/>
                <w:szCs w:val="21"/>
              </w:rPr>
              <w:t>名称</w:t>
            </w:r>
          </w:p>
        </w:tc>
        <w:tc>
          <w:tcPr>
            <w:tcW w:w="1076"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技术</w:t>
            </w:r>
          </w:p>
          <w:p>
            <w:pPr>
              <w:adjustRightInd w:val="0"/>
              <w:snapToGrid w:val="0"/>
              <w:jc w:val="center"/>
              <w:rPr>
                <w:rFonts w:ascii="Times New Roman" w:hAnsi="Times New Roman" w:cs="Times New Roman"/>
                <w:szCs w:val="21"/>
              </w:rPr>
            </w:pPr>
            <w:r>
              <w:rPr>
                <w:rFonts w:ascii="Times New Roman" w:hAnsi="Times New Roman" w:cs="Times New Roman"/>
                <w:spacing w:val="20"/>
                <w:szCs w:val="21"/>
              </w:rPr>
              <w:t>规格</w:t>
            </w:r>
          </w:p>
        </w:tc>
        <w:tc>
          <w:tcPr>
            <w:tcW w:w="1257" w:type="dxa"/>
            <w:shd w:val="clear" w:color="auto" w:fill="FFFFFF"/>
            <w:noWrap w:val="0"/>
            <w:vAlign w:val="center"/>
          </w:tcPr>
          <w:p>
            <w:pPr>
              <w:adjustRightInd w:val="0"/>
              <w:snapToGrid w:val="0"/>
              <w:jc w:val="center"/>
              <w:rPr>
                <w:rFonts w:ascii="Times New Roman" w:hAnsi="Times New Roman" w:cs="Times New Roman"/>
                <w:spacing w:val="20"/>
                <w:szCs w:val="21"/>
              </w:rPr>
            </w:pPr>
            <w:r>
              <w:rPr>
                <w:rFonts w:hint="default" w:ascii="Times New Roman" w:hAnsi="Times New Roman" w:cs="Times New Roman"/>
                <w:spacing w:val="20"/>
                <w:szCs w:val="21"/>
              </w:rPr>
              <w:t>装</w:t>
            </w:r>
            <w:r>
              <w:rPr>
                <w:rFonts w:ascii="Times New Roman" w:hAnsi="Times New Roman" w:cs="Times New Roman"/>
                <w:spacing w:val="20"/>
                <w:szCs w:val="21"/>
              </w:rPr>
              <w:t>备或产品销售</w:t>
            </w:r>
          </w:p>
          <w:p>
            <w:pPr>
              <w:adjustRightInd w:val="0"/>
              <w:snapToGrid w:val="0"/>
              <w:jc w:val="center"/>
              <w:rPr>
                <w:rFonts w:ascii="Times New Roman" w:hAnsi="Times New Roman" w:cs="Times New Roman"/>
                <w:szCs w:val="21"/>
              </w:rPr>
            </w:pPr>
            <w:r>
              <w:rPr>
                <w:rFonts w:ascii="Times New Roman" w:hAnsi="Times New Roman" w:cs="Times New Roman"/>
                <w:spacing w:val="20"/>
                <w:szCs w:val="21"/>
              </w:rPr>
              <w:t>数量</w:t>
            </w:r>
          </w:p>
        </w:tc>
        <w:tc>
          <w:tcPr>
            <w:tcW w:w="993"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销售金额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655" w:type="dxa"/>
            <w:vMerge w:val="restart"/>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299" w:type="dxa"/>
            <w:shd w:val="clear" w:color="auto" w:fill="FFFFFF"/>
            <w:noWrap w:val="0"/>
            <w:vAlign w:val="center"/>
          </w:tcPr>
          <w:p>
            <w:pPr>
              <w:adjustRightInd w:val="0"/>
              <w:snapToGrid w:val="0"/>
              <w:jc w:val="center"/>
              <w:rPr>
                <w:rFonts w:ascii="Times New Roman" w:hAnsi="Times New Roman" w:cs="Times New Roman"/>
                <w:szCs w:val="21"/>
              </w:rPr>
            </w:pPr>
          </w:p>
        </w:tc>
        <w:tc>
          <w:tcPr>
            <w:tcW w:w="892" w:type="dxa"/>
            <w:shd w:val="clear" w:color="auto" w:fill="FFFFFF"/>
            <w:noWrap w:val="0"/>
            <w:vAlign w:val="center"/>
          </w:tcPr>
          <w:p>
            <w:pPr>
              <w:adjustRightInd w:val="0"/>
              <w:snapToGrid w:val="0"/>
              <w:jc w:val="center"/>
              <w:rPr>
                <w:rFonts w:ascii="Times New Roman" w:hAnsi="Times New Roman" w:cs="Times New Roman"/>
                <w:szCs w:val="21"/>
              </w:rPr>
            </w:pPr>
          </w:p>
        </w:tc>
        <w:tc>
          <w:tcPr>
            <w:tcW w:w="1099" w:type="dxa"/>
            <w:shd w:val="clear" w:color="auto" w:fill="FFFFFF"/>
            <w:noWrap w:val="0"/>
            <w:vAlign w:val="center"/>
          </w:tcPr>
          <w:p>
            <w:pPr>
              <w:adjustRightInd w:val="0"/>
              <w:snapToGrid w:val="0"/>
              <w:jc w:val="center"/>
              <w:rPr>
                <w:rFonts w:ascii="Times New Roman" w:hAnsi="Times New Roman" w:cs="Times New Roman"/>
                <w:szCs w:val="21"/>
              </w:rPr>
            </w:pPr>
          </w:p>
        </w:tc>
        <w:tc>
          <w:tcPr>
            <w:tcW w:w="989" w:type="dxa"/>
            <w:shd w:val="clear" w:color="auto" w:fill="FFFFFF"/>
            <w:noWrap w:val="0"/>
            <w:vAlign w:val="center"/>
          </w:tcPr>
          <w:p>
            <w:pPr>
              <w:adjustRightInd w:val="0"/>
              <w:snapToGrid w:val="0"/>
              <w:jc w:val="center"/>
              <w:rPr>
                <w:rFonts w:ascii="Times New Roman" w:hAnsi="Times New Roman" w:cs="Times New Roman"/>
                <w:szCs w:val="21"/>
              </w:rPr>
            </w:pPr>
          </w:p>
        </w:tc>
        <w:tc>
          <w:tcPr>
            <w:tcW w:w="1076" w:type="dxa"/>
            <w:shd w:val="clear" w:color="auto" w:fill="FFFFFF"/>
            <w:noWrap w:val="0"/>
            <w:vAlign w:val="center"/>
          </w:tcPr>
          <w:p>
            <w:pPr>
              <w:adjustRightInd w:val="0"/>
              <w:snapToGrid w:val="0"/>
              <w:jc w:val="center"/>
              <w:rPr>
                <w:rFonts w:ascii="Times New Roman" w:hAnsi="Times New Roman" w:cs="Times New Roman"/>
                <w:szCs w:val="21"/>
              </w:rPr>
            </w:pPr>
          </w:p>
        </w:tc>
        <w:tc>
          <w:tcPr>
            <w:tcW w:w="1257" w:type="dxa"/>
            <w:shd w:val="clear" w:color="auto" w:fill="FFFFFF"/>
            <w:noWrap w:val="0"/>
            <w:vAlign w:val="center"/>
          </w:tcPr>
          <w:p>
            <w:pPr>
              <w:adjustRightInd w:val="0"/>
              <w:snapToGrid w:val="0"/>
              <w:jc w:val="center"/>
              <w:rPr>
                <w:rFonts w:ascii="Times New Roman" w:hAnsi="Times New Roman" w:cs="Times New Roman"/>
                <w:szCs w:val="21"/>
              </w:rPr>
            </w:pPr>
          </w:p>
        </w:tc>
        <w:tc>
          <w:tcPr>
            <w:tcW w:w="993"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655"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1299" w:type="dxa"/>
            <w:shd w:val="clear" w:color="auto" w:fill="FFFFFF"/>
            <w:noWrap w:val="0"/>
            <w:vAlign w:val="center"/>
          </w:tcPr>
          <w:p>
            <w:pPr>
              <w:adjustRightInd w:val="0"/>
              <w:snapToGrid w:val="0"/>
              <w:jc w:val="center"/>
              <w:rPr>
                <w:rFonts w:ascii="Times New Roman" w:hAnsi="Times New Roman" w:cs="Times New Roman"/>
                <w:szCs w:val="21"/>
              </w:rPr>
            </w:pPr>
          </w:p>
        </w:tc>
        <w:tc>
          <w:tcPr>
            <w:tcW w:w="892" w:type="dxa"/>
            <w:shd w:val="clear" w:color="auto" w:fill="FFFFFF"/>
            <w:noWrap w:val="0"/>
            <w:vAlign w:val="center"/>
          </w:tcPr>
          <w:p>
            <w:pPr>
              <w:adjustRightInd w:val="0"/>
              <w:snapToGrid w:val="0"/>
              <w:jc w:val="center"/>
              <w:rPr>
                <w:rFonts w:ascii="Times New Roman" w:hAnsi="Times New Roman" w:cs="Times New Roman"/>
                <w:szCs w:val="21"/>
              </w:rPr>
            </w:pPr>
          </w:p>
        </w:tc>
        <w:tc>
          <w:tcPr>
            <w:tcW w:w="1099" w:type="dxa"/>
            <w:shd w:val="clear" w:color="auto" w:fill="FFFFFF"/>
            <w:noWrap w:val="0"/>
            <w:vAlign w:val="center"/>
          </w:tcPr>
          <w:p>
            <w:pPr>
              <w:adjustRightInd w:val="0"/>
              <w:snapToGrid w:val="0"/>
              <w:jc w:val="center"/>
              <w:rPr>
                <w:rFonts w:ascii="Times New Roman" w:hAnsi="Times New Roman" w:cs="Times New Roman"/>
                <w:szCs w:val="21"/>
              </w:rPr>
            </w:pPr>
          </w:p>
        </w:tc>
        <w:tc>
          <w:tcPr>
            <w:tcW w:w="989" w:type="dxa"/>
            <w:shd w:val="clear" w:color="auto" w:fill="FFFFFF"/>
            <w:noWrap w:val="0"/>
            <w:vAlign w:val="center"/>
          </w:tcPr>
          <w:p>
            <w:pPr>
              <w:adjustRightInd w:val="0"/>
              <w:snapToGrid w:val="0"/>
              <w:jc w:val="center"/>
              <w:rPr>
                <w:rFonts w:ascii="Times New Roman" w:hAnsi="Times New Roman" w:cs="Times New Roman"/>
                <w:szCs w:val="21"/>
              </w:rPr>
            </w:pPr>
          </w:p>
        </w:tc>
        <w:tc>
          <w:tcPr>
            <w:tcW w:w="1076" w:type="dxa"/>
            <w:shd w:val="clear" w:color="auto" w:fill="FFFFFF"/>
            <w:noWrap w:val="0"/>
            <w:vAlign w:val="center"/>
          </w:tcPr>
          <w:p>
            <w:pPr>
              <w:adjustRightInd w:val="0"/>
              <w:snapToGrid w:val="0"/>
              <w:jc w:val="center"/>
              <w:rPr>
                <w:rFonts w:ascii="Times New Roman" w:hAnsi="Times New Roman" w:cs="Times New Roman"/>
                <w:szCs w:val="21"/>
              </w:rPr>
            </w:pPr>
          </w:p>
        </w:tc>
        <w:tc>
          <w:tcPr>
            <w:tcW w:w="1257" w:type="dxa"/>
            <w:shd w:val="clear" w:color="auto" w:fill="FFFFFF"/>
            <w:noWrap w:val="0"/>
            <w:vAlign w:val="center"/>
          </w:tcPr>
          <w:p>
            <w:pPr>
              <w:adjustRightInd w:val="0"/>
              <w:snapToGrid w:val="0"/>
              <w:jc w:val="center"/>
              <w:rPr>
                <w:rFonts w:ascii="Times New Roman" w:hAnsi="Times New Roman" w:cs="Times New Roman"/>
                <w:szCs w:val="21"/>
              </w:rPr>
            </w:pPr>
          </w:p>
        </w:tc>
        <w:tc>
          <w:tcPr>
            <w:tcW w:w="993"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1954" w:type="dxa"/>
            <w:gridSpan w:val="2"/>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合计</w:t>
            </w:r>
          </w:p>
        </w:tc>
        <w:tc>
          <w:tcPr>
            <w:tcW w:w="892" w:type="dxa"/>
            <w:shd w:val="clear" w:color="auto" w:fill="FFFFFF"/>
            <w:noWrap w:val="0"/>
            <w:vAlign w:val="center"/>
          </w:tcPr>
          <w:p>
            <w:pPr>
              <w:adjustRightInd w:val="0"/>
              <w:snapToGrid w:val="0"/>
              <w:jc w:val="center"/>
              <w:rPr>
                <w:rFonts w:ascii="Times New Roman" w:hAnsi="Times New Roman" w:cs="Times New Roman"/>
                <w:szCs w:val="21"/>
              </w:rPr>
            </w:pPr>
          </w:p>
        </w:tc>
        <w:tc>
          <w:tcPr>
            <w:tcW w:w="1099" w:type="dxa"/>
            <w:shd w:val="clear" w:color="auto" w:fill="FFFFFF"/>
            <w:noWrap w:val="0"/>
            <w:vAlign w:val="center"/>
          </w:tcPr>
          <w:p>
            <w:pPr>
              <w:adjustRightInd w:val="0"/>
              <w:snapToGrid w:val="0"/>
              <w:jc w:val="center"/>
              <w:rPr>
                <w:rFonts w:ascii="Times New Roman" w:hAnsi="Times New Roman" w:cs="Times New Roman"/>
                <w:szCs w:val="21"/>
              </w:rPr>
            </w:pPr>
          </w:p>
        </w:tc>
        <w:tc>
          <w:tcPr>
            <w:tcW w:w="989" w:type="dxa"/>
            <w:shd w:val="clear" w:color="auto" w:fill="FFFFFF"/>
            <w:noWrap w:val="0"/>
            <w:vAlign w:val="center"/>
          </w:tcPr>
          <w:p>
            <w:pPr>
              <w:adjustRightInd w:val="0"/>
              <w:snapToGrid w:val="0"/>
              <w:jc w:val="center"/>
              <w:rPr>
                <w:rFonts w:ascii="Times New Roman" w:hAnsi="Times New Roman" w:cs="Times New Roman"/>
                <w:szCs w:val="21"/>
              </w:rPr>
            </w:pPr>
          </w:p>
        </w:tc>
        <w:tc>
          <w:tcPr>
            <w:tcW w:w="1076" w:type="dxa"/>
            <w:shd w:val="clear" w:color="auto" w:fill="FFFFFF"/>
            <w:noWrap w:val="0"/>
            <w:vAlign w:val="center"/>
          </w:tcPr>
          <w:p>
            <w:pPr>
              <w:adjustRightInd w:val="0"/>
              <w:snapToGrid w:val="0"/>
              <w:jc w:val="center"/>
              <w:rPr>
                <w:rFonts w:ascii="Times New Roman" w:hAnsi="Times New Roman" w:cs="Times New Roman"/>
                <w:szCs w:val="21"/>
              </w:rPr>
            </w:pPr>
          </w:p>
        </w:tc>
        <w:tc>
          <w:tcPr>
            <w:tcW w:w="1257" w:type="dxa"/>
            <w:shd w:val="clear" w:color="auto" w:fill="FFFFFF"/>
            <w:noWrap w:val="0"/>
            <w:vAlign w:val="center"/>
          </w:tcPr>
          <w:p>
            <w:pPr>
              <w:adjustRightInd w:val="0"/>
              <w:snapToGrid w:val="0"/>
              <w:jc w:val="center"/>
              <w:rPr>
                <w:rFonts w:ascii="Times New Roman" w:hAnsi="Times New Roman" w:cs="Times New Roman"/>
                <w:szCs w:val="21"/>
              </w:rPr>
            </w:pPr>
          </w:p>
        </w:tc>
        <w:tc>
          <w:tcPr>
            <w:tcW w:w="993"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655"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1299"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892"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1099"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989"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1076"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1257"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w:t>
            </w:r>
          </w:p>
        </w:tc>
        <w:tc>
          <w:tcPr>
            <w:tcW w:w="993"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1954" w:type="dxa"/>
            <w:gridSpan w:val="2"/>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总计</w:t>
            </w:r>
          </w:p>
        </w:tc>
        <w:tc>
          <w:tcPr>
            <w:tcW w:w="892" w:type="dxa"/>
            <w:shd w:val="clear" w:color="auto" w:fill="FFFFFF"/>
            <w:noWrap w:val="0"/>
            <w:vAlign w:val="center"/>
          </w:tcPr>
          <w:p>
            <w:pPr>
              <w:adjustRightInd w:val="0"/>
              <w:snapToGrid w:val="0"/>
              <w:jc w:val="center"/>
              <w:rPr>
                <w:rFonts w:ascii="Times New Roman" w:hAnsi="Times New Roman" w:cs="Times New Roman"/>
                <w:szCs w:val="21"/>
              </w:rPr>
            </w:pPr>
          </w:p>
        </w:tc>
        <w:tc>
          <w:tcPr>
            <w:tcW w:w="1099" w:type="dxa"/>
            <w:shd w:val="clear" w:color="auto" w:fill="FFFFFF"/>
            <w:noWrap w:val="0"/>
            <w:vAlign w:val="center"/>
          </w:tcPr>
          <w:p>
            <w:pPr>
              <w:adjustRightInd w:val="0"/>
              <w:snapToGrid w:val="0"/>
              <w:jc w:val="center"/>
              <w:rPr>
                <w:rFonts w:ascii="Times New Roman" w:hAnsi="Times New Roman" w:cs="Times New Roman"/>
                <w:szCs w:val="21"/>
              </w:rPr>
            </w:pPr>
          </w:p>
        </w:tc>
        <w:tc>
          <w:tcPr>
            <w:tcW w:w="989" w:type="dxa"/>
            <w:shd w:val="clear" w:color="auto" w:fill="FFFFFF"/>
            <w:noWrap w:val="0"/>
            <w:vAlign w:val="center"/>
          </w:tcPr>
          <w:p>
            <w:pPr>
              <w:adjustRightInd w:val="0"/>
              <w:snapToGrid w:val="0"/>
              <w:jc w:val="center"/>
              <w:rPr>
                <w:rFonts w:ascii="Times New Roman" w:hAnsi="Times New Roman" w:cs="Times New Roman"/>
                <w:szCs w:val="21"/>
              </w:rPr>
            </w:pPr>
          </w:p>
        </w:tc>
        <w:tc>
          <w:tcPr>
            <w:tcW w:w="1076" w:type="dxa"/>
            <w:shd w:val="clear" w:color="auto" w:fill="FFFFFF"/>
            <w:noWrap w:val="0"/>
            <w:vAlign w:val="center"/>
          </w:tcPr>
          <w:p>
            <w:pPr>
              <w:adjustRightInd w:val="0"/>
              <w:snapToGrid w:val="0"/>
              <w:jc w:val="center"/>
              <w:rPr>
                <w:rFonts w:ascii="Times New Roman" w:hAnsi="Times New Roman" w:cs="Times New Roman"/>
                <w:szCs w:val="21"/>
              </w:rPr>
            </w:pPr>
          </w:p>
        </w:tc>
        <w:tc>
          <w:tcPr>
            <w:tcW w:w="1257" w:type="dxa"/>
            <w:shd w:val="clear" w:color="auto" w:fill="FFFFFF"/>
            <w:noWrap w:val="0"/>
            <w:vAlign w:val="center"/>
          </w:tcPr>
          <w:p>
            <w:pPr>
              <w:adjustRightInd w:val="0"/>
              <w:snapToGrid w:val="0"/>
              <w:jc w:val="center"/>
              <w:rPr>
                <w:rFonts w:ascii="Times New Roman" w:hAnsi="Times New Roman" w:cs="Times New Roman"/>
                <w:szCs w:val="21"/>
              </w:rPr>
            </w:pPr>
          </w:p>
        </w:tc>
        <w:tc>
          <w:tcPr>
            <w:tcW w:w="993" w:type="dxa"/>
            <w:shd w:val="clear" w:color="auto" w:fill="FFFFFF"/>
            <w:noWrap w:val="0"/>
            <w:vAlign w:val="center"/>
          </w:tcPr>
          <w:p>
            <w:pPr>
              <w:adjustRightInd w:val="0"/>
              <w:snapToGrid w:val="0"/>
              <w:jc w:val="center"/>
              <w:rPr>
                <w:rFonts w:ascii="Times New Roman" w:hAnsi="Times New Roman" w:cs="Times New Roman"/>
                <w:szCs w:val="21"/>
              </w:rPr>
            </w:pPr>
          </w:p>
        </w:tc>
      </w:tr>
    </w:tbl>
    <w:p>
      <w:pPr>
        <w:rPr>
          <w:rFonts w:hint="default" w:ascii="Times New Roman" w:hAnsi="Times New Roman" w:cs="Times New Roman"/>
          <w:spacing w:val="20"/>
          <w:szCs w:val="21"/>
        </w:rPr>
      </w:pPr>
      <w:r>
        <w:rPr>
          <w:rFonts w:ascii="Times New Roman" w:hAnsi="Times New Roman" w:cs="Times New Roman"/>
          <w:spacing w:val="20"/>
          <w:szCs w:val="21"/>
        </w:rPr>
        <w:t>注：请提供上两个年度及</w:t>
      </w:r>
      <w:r>
        <w:rPr>
          <w:rFonts w:hint="default" w:ascii="Times New Roman" w:hAnsi="Times New Roman" w:cs="Times New Roman"/>
          <w:spacing w:val="20"/>
          <w:szCs w:val="21"/>
        </w:rPr>
        <w:t>本年度1-6月</w:t>
      </w:r>
      <w:r>
        <w:rPr>
          <w:rFonts w:ascii="Times New Roman" w:hAnsi="Times New Roman" w:cs="Times New Roman"/>
          <w:spacing w:val="20"/>
          <w:szCs w:val="21"/>
        </w:rPr>
        <w:t>已签订的装备或产品销售合同的汇总。</w:t>
      </w:r>
      <w:r>
        <w:rPr>
          <w:rFonts w:hint="default" w:ascii="Times New Roman" w:hAnsi="Times New Roman" w:cs="Times New Roman"/>
          <w:spacing w:val="20"/>
          <w:szCs w:val="21"/>
        </w:rPr>
        <w:t>第一次复核企业和核电项目业主仅填写首次获得免税资格年度至本次复核年度的数据。装</w:t>
      </w:r>
      <w:r>
        <w:rPr>
          <w:rFonts w:ascii="Times New Roman" w:hAnsi="Times New Roman" w:cs="Times New Roman"/>
          <w:spacing w:val="20"/>
          <w:szCs w:val="21"/>
        </w:rPr>
        <w:t>备</w:t>
      </w:r>
      <w:r>
        <w:rPr>
          <w:rFonts w:hint="default" w:ascii="Times New Roman" w:hAnsi="Times New Roman" w:cs="Times New Roman"/>
          <w:spacing w:val="20"/>
          <w:szCs w:val="21"/>
        </w:rPr>
        <w:t>或产品</w:t>
      </w:r>
      <w:r>
        <w:rPr>
          <w:rFonts w:ascii="Times New Roman" w:hAnsi="Times New Roman" w:cs="Times New Roman"/>
          <w:spacing w:val="20"/>
          <w:szCs w:val="21"/>
        </w:rPr>
        <w:t>名称应按照《国家支持发展的重大技术装备和产品目录》中有关条目填写</w:t>
      </w:r>
      <w:r>
        <w:rPr>
          <w:rFonts w:hint="default" w:ascii="Times New Roman" w:hAnsi="Times New Roman" w:cs="Times New Roman"/>
          <w:spacing w:val="20"/>
          <w:szCs w:val="21"/>
        </w:rPr>
        <w:t>。</w:t>
      </w:r>
      <w:r>
        <w:rPr>
          <w:rFonts w:ascii="Times New Roman" w:hAnsi="Times New Roman" w:cs="Times New Roman"/>
          <w:spacing w:val="20"/>
          <w:szCs w:val="21"/>
        </w:rPr>
        <w:t>装备</w:t>
      </w:r>
      <w:r>
        <w:rPr>
          <w:rFonts w:hint="eastAsia" w:ascii="Times New Roman" w:hAnsi="Times New Roman" w:cs="Times New Roman"/>
          <w:spacing w:val="20"/>
          <w:szCs w:val="21"/>
          <w:lang w:eastAsia="zh-CN"/>
        </w:rPr>
        <w:t>或</w:t>
      </w:r>
      <w:r>
        <w:rPr>
          <w:rFonts w:ascii="Times New Roman" w:hAnsi="Times New Roman" w:cs="Times New Roman"/>
          <w:spacing w:val="20"/>
          <w:szCs w:val="21"/>
        </w:rPr>
        <w:t>产品的技术规格</w:t>
      </w:r>
      <w:r>
        <w:rPr>
          <w:rFonts w:hint="default" w:ascii="Times New Roman" w:hAnsi="Times New Roman" w:cs="Times New Roman"/>
          <w:spacing w:val="20"/>
          <w:szCs w:val="21"/>
        </w:rPr>
        <w:t>和销售业绩</w:t>
      </w:r>
      <w:r>
        <w:rPr>
          <w:rFonts w:hint="eastAsia" w:ascii="Times New Roman" w:hAnsi="Times New Roman" w:cs="Times New Roman"/>
          <w:spacing w:val="20"/>
          <w:szCs w:val="21"/>
          <w:lang w:eastAsia="zh-CN"/>
        </w:rPr>
        <w:t>要求</w:t>
      </w:r>
      <w:r>
        <w:rPr>
          <w:rFonts w:ascii="Times New Roman" w:hAnsi="Times New Roman" w:cs="Times New Roman"/>
          <w:spacing w:val="20"/>
          <w:szCs w:val="21"/>
        </w:rPr>
        <w:t>应达到《国家支持发展的重大技术装备和产品目录》有关规定</w:t>
      </w:r>
      <w:r>
        <w:rPr>
          <w:rFonts w:hint="default" w:ascii="Times New Roman" w:hAnsi="Times New Roman" w:cs="Times New Roman"/>
          <w:spacing w:val="20"/>
          <w:szCs w:val="21"/>
        </w:rPr>
        <w:t>。核电项目业主应填写企业采购重大技术装备</w:t>
      </w:r>
      <w:r>
        <w:rPr>
          <w:rFonts w:hint="eastAsia" w:ascii="Times New Roman" w:hAnsi="Times New Roman" w:cs="Times New Roman"/>
          <w:spacing w:val="20"/>
          <w:szCs w:val="21"/>
          <w:lang w:eastAsia="zh-CN"/>
        </w:rPr>
        <w:t>或产品</w:t>
      </w:r>
      <w:r>
        <w:rPr>
          <w:rFonts w:hint="default" w:ascii="Times New Roman" w:hAnsi="Times New Roman" w:cs="Times New Roman"/>
          <w:spacing w:val="20"/>
          <w:szCs w:val="21"/>
        </w:rPr>
        <w:t>有关情况。同一装备</w:t>
      </w:r>
      <w:r>
        <w:rPr>
          <w:rFonts w:hint="eastAsia" w:ascii="Times New Roman" w:hAnsi="Times New Roman" w:cs="Times New Roman"/>
          <w:spacing w:val="20"/>
          <w:szCs w:val="21"/>
          <w:lang w:eastAsia="zh-CN"/>
        </w:rPr>
        <w:t>或</w:t>
      </w:r>
      <w:r>
        <w:rPr>
          <w:rFonts w:hint="default" w:ascii="Times New Roman" w:hAnsi="Times New Roman" w:cs="Times New Roman"/>
          <w:spacing w:val="20"/>
          <w:szCs w:val="21"/>
        </w:rPr>
        <w:t>产品对应的销售合同按照签订时间依次填写。</w:t>
      </w:r>
    </w:p>
    <w:p>
      <w:pPr>
        <w:pStyle w:val="2"/>
        <w:rPr>
          <w:rFonts w:hint="default" w:ascii="Times New Roman" w:hAnsi="Times New Roman" w:cs="Times New Roman"/>
        </w:rPr>
      </w:pPr>
    </w:p>
    <w:p>
      <w:pPr>
        <w:ind w:firstLine="281" w:firstLineChars="100"/>
        <w:rPr>
          <w:rFonts w:ascii="Times New Roman" w:hAnsi="Times New Roman" w:eastAsia="楷体_GB2312" w:cs="Times New Roman"/>
          <w:b/>
          <w:bCs/>
          <w:kern w:val="0"/>
          <w:sz w:val="28"/>
          <w:szCs w:val="28"/>
        </w:rPr>
      </w:pPr>
      <w:r>
        <w:rPr>
          <w:rFonts w:ascii="Times New Roman" w:hAnsi="Times New Roman" w:eastAsia="楷体_GB2312" w:cs="Times New Roman"/>
          <w:b/>
          <w:bCs/>
          <w:kern w:val="0"/>
          <w:sz w:val="28"/>
          <w:szCs w:val="28"/>
        </w:rPr>
        <w:t>（三）</w:t>
      </w:r>
      <w:r>
        <w:rPr>
          <w:rFonts w:ascii="Times New Roman" w:hAnsi="Times New Roman" w:eastAsia="楷体_GB2312" w:cs="Times New Roman"/>
          <w:b/>
          <w:bCs/>
          <w:sz w:val="28"/>
          <w:szCs w:val="28"/>
        </w:rPr>
        <w:t>过去三年（</w:t>
      </w:r>
      <w:r>
        <w:rPr>
          <w:rFonts w:hint="default" w:ascii="Times New Roman" w:hAnsi="Times New Roman" w:eastAsia="楷体_GB2312" w:cs="Times New Roman"/>
          <w:b/>
          <w:bCs/>
          <w:sz w:val="28"/>
          <w:szCs w:val="28"/>
        </w:rPr>
        <w:t>含</w:t>
      </w:r>
      <w:r>
        <w:rPr>
          <w:rFonts w:ascii="Times New Roman" w:hAnsi="Times New Roman" w:eastAsia="楷体_GB2312" w:cs="Times New Roman"/>
          <w:b/>
          <w:bCs/>
          <w:sz w:val="28"/>
          <w:szCs w:val="28"/>
        </w:rPr>
        <w:t>本年）</w:t>
      </w:r>
      <w:r>
        <w:rPr>
          <w:rFonts w:hint="default" w:ascii="Times New Roman" w:hAnsi="Times New Roman" w:eastAsia="楷体_GB2312" w:cs="Times New Roman"/>
          <w:b/>
          <w:bCs/>
          <w:sz w:val="28"/>
          <w:szCs w:val="28"/>
        </w:rPr>
        <w:t>免税进口</w:t>
      </w:r>
      <w:r>
        <w:rPr>
          <w:rFonts w:ascii="Times New Roman" w:hAnsi="Times New Roman" w:eastAsia="楷体_GB2312" w:cs="Times New Roman"/>
          <w:b/>
          <w:bCs/>
          <w:kern w:val="0"/>
          <w:sz w:val="28"/>
          <w:szCs w:val="28"/>
        </w:rPr>
        <w:t>零部件及原材料汇总表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1136"/>
        <w:gridCol w:w="989"/>
        <w:gridCol w:w="917"/>
        <w:gridCol w:w="918"/>
        <w:gridCol w:w="1002"/>
        <w:gridCol w:w="827"/>
        <w:gridCol w:w="921"/>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7" w:hRule="atLeast"/>
          <w:jc w:val="center"/>
        </w:trPr>
        <w:tc>
          <w:tcPr>
            <w:tcW w:w="630" w:type="dxa"/>
            <w:shd w:val="clear" w:color="auto" w:fill="FFFFFF"/>
            <w:noWrap w:val="0"/>
            <w:vAlign w:val="center"/>
          </w:tcPr>
          <w:p>
            <w:pPr>
              <w:adjustRightInd w:val="0"/>
              <w:snapToGrid w:val="0"/>
              <w:jc w:val="center"/>
              <w:rPr>
                <w:rFonts w:ascii="Times New Roman" w:hAnsi="Times New Roman" w:cs="Times New Roman"/>
                <w:spacing w:val="20"/>
                <w:szCs w:val="21"/>
              </w:rPr>
            </w:pPr>
            <w:r>
              <w:rPr>
                <w:rFonts w:ascii="Times New Roman" w:hAnsi="Times New Roman" w:cs="Times New Roman"/>
                <w:spacing w:val="20"/>
                <w:szCs w:val="21"/>
              </w:rPr>
              <w:t>序号</w:t>
            </w:r>
          </w:p>
        </w:tc>
        <w:tc>
          <w:tcPr>
            <w:tcW w:w="1136" w:type="dxa"/>
            <w:shd w:val="clear" w:color="auto" w:fill="FFFFFF"/>
            <w:noWrap w:val="0"/>
            <w:vAlign w:val="center"/>
          </w:tcPr>
          <w:p>
            <w:pPr>
              <w:adjustRightInd w:val="0"/>
              <w:snapToGrid w:val="0"/>
              <w:jc w:val="center"/>
              <w:rPr>
                <w:rFonts w:ascii="Times New Roman" w:hAnsi="Times New Roman" w:cs="Times New Roman"/>
                <w:spacing w:val="20"/>
                <w:szCs w:val="21"/>
              </w:rPr>
            </w:pPr>
            <w:r>
              <w:rPr>
                <w:rFonts w:hint="default" w:ascii="Times New Roman" w:hAnsi="Times New Roman" w:cs="Times New Roman"/>
                <w:spacing w:val="20"/>
                <w:szCs w:val="21"/>
              </w:rPr>
              <w:t>装</w:t>
            </w:r>
            <w:r>
              <w:rPr>
                <w:rFonts w:ascii="Times New Roman" w:hAnsi="Times New Roman" w:cs="Times New Roman"/>
                <w:spacing w:val="20"/>
                <w:szCs w:val="21"/>
              </w:rPr>
              <w:t>备或产品对应</w:t>
            </w:r>
          </w:p>
          <w:p>
            <w:pPr>
              <w:adjustRightInd w:val="0"/>
              <w:snapToGrid w:val="0"/>
              <w:jc w:val="center"/>
              <w:rPr>
                <w:rFonts w:ascii="Times New Roman" w:hAnsi="Times New Roman" w:cs="Times New Roman"/>
                <w:spacing w:val="20"/>
                <w:szCs w:val="21"/>
              </w:rPr>
            </w:pPr>
            <w:r>
              <w:rPr>
                <w:rFonts w:ascii="Times New Roman" w:hAnsi="Times New Roman" w:cs="Times New Roman"/>
                <w:spacing w:val="20"/>
                <w:szCs w:val="21"/>
              </w:rPr>
              <w:t>条目</w:t>
            </w:r>
          </w:p>
        </w:tc>
        <w:tc>
          <w:tcPr>
            <w:tcW w:w="989" w:type="dxa"/>
            <w:shd w:val="clear" w:color="auto" w:fill="FFFFFF"/>
            <w:noWrap w:val="0"/>
            <w:vAlign w:val="center"/>
          </w:tcPr>
          <w:p>
            <w:pPr>
              <w:adjustRightInd w:val="0"/>
              <w:snapToGrid w:val="0"/>
              <w:jc w:val="center"/>
              <w:rPr>
                <w:rFonts w:ascii="Times New Roman" w:hAnsi="Times New Roman" w:cs="Times New Roman"/>
                <w:spacing w:val="20"/>
                <w:szCs w:val="21"/>
              </w:rPr>
            </w:pPr>
            <w:r>
              <w:rPr>
                <w:rFonts w:ascii="Times New Roman" w:hAnsi="Times New Roman" w:cs="Times New Roman"/>
                <w:spacing w:val="20"/>
                <w:szCs w:val="21"/>
              </w:rPr>
              <w:t>一级部</w:t>
            </w:r>
          </w:p>
          <w:p>
            <w:pPr>
              <w:adjustRightInd w:val="0"/>
              <w:snapToGrid w:val="0"/>
              <w:jc w:val="center"/>
              <w:rPr>
                <w:rFonts w:ascii="Times New Roman" w:hAnsi="Times New Roman" w:cs="Times New Roman"/>
                <w:spacing w:val="20"/>
                <w:szCs w:val="21"/>
              </w:rPr>
            </w:pPr>
            <w:r>
              <w:rPr>
                <w:rFonts w:ascii="Times New Roman" w:hAnsi="Times New Roman" w:cs="Times New Roman"/>
                <w:spacing w:val="20"/>
                <w:szCs w:val="21"/>
              </w:rPr>
              <w:t>件名称</w:t>
            </w:r>
          </w:p>
        </w:tc>
        <w:tc>
          <w:tcPr>
            <w:tcW w:w="917" w:type="dxa"/>
            <w:shd w:val="clear" w:color="auto" w:fill="FFFFFF"/>
            <w:noWrap w:val="0"/>
            <w:vAlign w:val="center"/>
          </w:tcPr>
          <w:p>
            <w:pPr>
              <w:adjustRightInd w:val="0"/>
              <w:snapToGrid w:val="0"/>
              <w:jc w:val="center"/>
              <w:rPr>
                <w:rFonts w:ascii="Times New Roman" w:hAnsi="Times New Roman" w:cs="Times New Roman"/>
                <w:spacing w:val="20"/>
                <w:szCs w:val="21"/>
              </w:rPr>
            </w:pPr>
            <w:r>
              <w:rPr>
                <w:rFonts w:ascii="Times New Roman" w:hAnsi="Times New Roman" w:cs="Times New Roman"/>
                <w:spacing w:val="20"/>
                <w:szCs w:val="21"/>
              </w:rPr>
              <w:t>二级部</w:t>
            </w:r>
          </w:p>
          <w:p>
            <w:pPr>
              <w:adjustRightInd w:val="0"/>
              <w:snapToGrid w:val="0"/>
              <w:jc w:val="center"/>
              <w:rPr>
                <w:rFonts w:ascii="Times New Roman" w:hAnsi="Times New Roman" w:cs="Times New Roman"/>
                <w:spacing w:val="20"/>
                <w:szCs w:val="21"/>
              </w:rPr>
            </w:pPr>
            <w:r>
              <w:rPr>
                <w:rFonts w:ascii="Times New Roman" w:hAnsi="Times New Roman" w:cs="Times New Roman"/>
                <w:spacing w:val="20"/>
                <w:szCs w:val="21"/>
              </w:rPr>
              <w:t>件名称</w:t>
            </w:r>
          </w:p>
        </w:tc>
        <w:tc>
          <w:tcPr>
            <w:tcW w:w="918" w:type="dxa"/>
            <w:shd w:val="clear" w:color="auto" w:fill="FFFFFF"/>
            <w:noWrap w:val="0"/>
            <w:vAlign w:val="center"/>
          </w:tcPr>
          <w:p>
            <w:pPr>
              <w:adjustRightInd w:val="0"/>
              <w:snapToGrid w:val="0"/>
              <w:jc w:val="center"/>
              <w:rPr>
                <w:rFonts w:hint="default" w:ascii="Times New Roman" w:hAnsi="Times New Roman" w:cs="Times New Roman"/>
                <w:spacing w:val="20"/>
                <w:szCs w:val="21"/>
              </w:rPr>
            </w:pPr>
            <w:r>
              <w:rPr>
                <w:rFonts w:hint="default" w:ascii="Times New Roman" w:hAnsi="Times New Roman" w:cs="Times New Roman"/>
                <w:spacing w:val="20"/>
                <w:szCs w:val="21"/>
              </w:rPr>
              <w:t>进口</w:t>
            </w:r>
          </w:p>
          <w:p>
            <w:pPr>
              <w:adjustRightInd w:val="0"/>
              <w:snapToGrid w:val="0"/>
              <w:jc w:val="center"/>
              <w:rPr>
                <w:rFonts w:hint="default" w:ascii="Times New Roman" w:hAnsi="Times New Roman" w:cs="Times New Roman"/>
                <w:spacing w:val="20"/>
                <w:szCs w:val="21"/>
              </w:rPr>
            </w:pPr>
            <w:r>
              <w:rPr>
                <w:rFonts w:hint="default" w:ascii="Times New Roman" w:hAnsi="Times New Roman" w:cs="Times New Roman"/>
                <w:spacing w:val="20"/>
                <w:szCs w:val="21"/>
              </w:rPr>
              <w:t>时间</w:t>
            </w:r>
          </w:p>
        </w:tc>
        <w:tc>
          <w:tcPr>
            <w:tcW w:w="1002" w:type="dxa"/>
            <w:shd w:val="clear" w:color="auto" w:fill="FFFFFF"/>
            <w:noWrap w:val="0"/>
            <w:vAlign w:val="center"/>
          </w:tcPr>
          <w:p>
            <w:pPr>
              <w:adjustRightInd w:val="0"/>
              <w:snapToGrid w:val="0"/>
              <w:jc w:val="center"/>
              <w:rPr>
                <w:rFonts w:hint="default" w:ascii="Times New Roman" w:hAnsi="Times New Roman" w:cs="Times New Roman"/>
                <w:spacing w:val="20"/>
                <w:szCs w:val="21"/>
              </w:rPr>
            </w:pPr>
            <w:r>
              <w:rPr>
                <w:rFonts w:hint="default" w:ascii="Times New Roman" w:hAnsi="Times New Roman" w:cs="Times New Roman"/>
                <w:spacing w:val="20"/>
                <w:szCs w:val="21"/>
              </w:rPr>
              <w:t>进口</w:t>
            </w:r>
          </w:p>
          <w:p>
            <w:pPr>
              <w:adjustRightInd w:val="0"/>
              <w:snapToGrid w:val="0"/>
              <w:jc w:val="center"/>
              <w:rPr>
                <w:rFonts w:hint="default" w:ascii="Times New Roman" w:hAnsi="Times New Roman" w:cs="Times New Roman"/>
                <w:spacing w:val="20"/>
                <w:szCs w:val="21"/>
              </w:rPr>
            </w:pPr>
            <w:r>
              <w:rPr>
                <w:rFonts w:hint="default" w:ascii="Times New Roman" w:hAnsi="Times New Roman" w:cs="Times New Roman"/>
                <w:spacing w:val="20"/>
                <w:szCs w:val="21"/>
              </w:rPr>
              <w:t>单价</w:t>
            </w:r>
          </w:p>
          <w:p>
            <w:pPr>
              <w:adjustRightInd w:val="0"/>
              <w:snapToGrid w:val="0"/>
              <w:jc w:val="center"/>
              <w:rPr>
                <w:rFonts w:hint="default" w:ascii="Times New Roman" w:hAnsi="Times New Roman" w:cs="Times New Roman"/>
                <w:spacing w:val="20"/>
                <w:szCs w:val="21"/>
              </w:rPr>
            </w:pPr>
            <w:r>
              <w:rPr>
                <w:rFonts w:hint="default" w:ascii="Times New Roman" w:hAnsi="Times New Roman" w:cs="Times New Roman"/>
                <w:spacing w:val="20"/>
                <w:szCs w:val="21"/>
              </w:rPr>
              <w:t>（美元）</w:t>
            </w:r>
          </w:p>
        </w:tc>
        <w:tc>
          <w:tcPr>
            <w:tcW w:w="827" w:type="dxa"/>
            <w:shd w:val="clear" w:color="auto" w:fill="FFFFFF"/>
            <w:noWrap w:val="0"/>
            <w:vAlign w:val="center"/>
          </w:tcPr>
          <w:p>
            <w:pPr>
              <w:adjustRightInd w:val="0"/>
              <w:snapToGrid w:val="0"/>
              <w:jc w:val="center"/>
              <w:rPr>
                <w:rFonts w:hint="default" w:ascii="Times New Roman" w:hAnsi="Times New Roman" w:cs="Times New Roman"/>
                <w:spacing w:val="20"/>
                <w:szCs w:val="21"/>
              </w:rPr>
            </w:pPr>
            <w:r>
              <w:rPr>
                <w:rFonts w:hint="default" w:ascii="Times New Roman" w:hAnsi="Times New Roman" w:cs="Times New Roman"/>
                <w:spacing w:val="20"/>
                <w:szCs w:val="21"/>
              </w:rPr>
              <w:t>进口</w:t>
            </w:r>
          </w:p>
          <w:p>
            <w:pPr>
              <w:adjustRightInd w:val="0"/>
              <w:snapToGrid w:val="0"/>
              <w:jc w:val="center"/>
              <w:rPr>
                <w:rFonts w:ascii="Times New Roman" w:hAnsi="Times New Roman" w:cs="Times New Roman"/>
                <w:spacing w:val="20"/>
                <w:szCs w:val="21"/>
              </w:rPr>
            </w:pPr>
            <w:r>
              <w:rPr>
                <w:rFonts w:hint="default" w:ascii="Times New Roman" w:hAnsi="Times New Roman" w:cs="Times New Roman"/>
                <w:spacing w:val="20"/>
                <w:szCs w:val="21"/>
              </w:rPr>
              <w:t>数量</w:t>
            </w:r>
          </w:p>
        </w:tc>
        <w:tc>
          <w:tcPr>
            <w:tcW w:w="921" w:type="dxa"/>
            <w:shd w:val="clear" w:color="auto" w:fill="FFFFFF"/>
            <w:noWrap w:val="0"/>
            <w:vAlign w:val="center"/>
          </w:tcPr>
          <w:p>
            <w:pPr>
              <w:adjustRightInd w:val="0"/>
              <w:snapToGrid w:val="0"/>
              <w:jc w:val="center"/>
              <w:rPr>
                <w:rFonts w:hint="default" w:ascii="Times New Roman" w:hAnsi="Times New Roman" w:cs="Times New Roman"/>
                <w:spacing w:val="20"/>
                <w:szCs w:val="21"/>
              </w:rPr>
            </w:pPr>
            <w:r>
              <w:rPr>
                <w:rFonts w:hint="default" w:ascii="Times New Roman" w:hAnsi="Times New Roman" w:cs="Times New Roman"/>
                <w:spacing w:val="20"/>
                <w:szCs w:val="21"/>
              </w:rPr>
              <w:t>减免关税税额（万元）</w:t>
            </w:r>
          </w:p>
        </w:tc>
        <w:tc>
          <w:tcPr>
            <w:tcW w:w="920" w:type="dxa"/>
            <w:shd w:val="clear" w:color="auto" w:fill="FFFFFF"/>
            <w:noWrap w:val="0"/>
            <w:vAlign w:val="center"/>
          </w:tcPr>
          <w:p>
            <w:pPr>
              <w:adjustRightInd w:val="0"/>
              <w:snapToGrid w:val="0"/>
              <w:jc w:val="center"/>
              <w:rPr>
                <w:rFonts w:hint="default" w:ascii="Times New Roman" w:hAnsi="Times New Roman" w:cs="Times New Roman"/>
                <w:spacing w:val="20"/>
                <w:szCs w:val="21"/>
              </w:rPr>
            </w:pPr>
            <w:r>
              <w:rPr>
                <w:rFonts w:hint="default" w:ascii="Times New Roman" w:hAnsi="Times New Roman" w:cs="Times New Roman"/>
                <w:spacing w:val="20"/>
                <w:szCs w:val="21"/>
              </w:rPr>
              <w:t>减免进口增值税税</w:t>
            </w:r>
            <w:r>
              <w:rPr>
                <w:rFonts w:hint="eastAsia" w:ascii="Times New Roman" w:hAnsi="Times New Roman" w:cs="Times New Roman"/>
                <w:spacing w:val="20"/>
                <w:szCs w:val="21"/>
                <w:lang w:eastAsia="zh-CN"/>
              </w:rPr>
              <w:t>额</w:t>
            </w:r>
            <w:r>
              <w:rPr>
                <w:rFonts w:hint="default" w:ascii="Times New Roman" w:hAnsi="Times New Roman" w:cs="Times New Roman"/>
                <w:spacing w:val="2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30" w:type="dxa"/>
            <w:vMerge w:val="restart"/>
            <w:shd w:val="clear" w:color="auto" w:fill="FFFFFF"/>
            <w:noWrap w:val="0"/>
            <w:vAlign w:val="center"/>
          </w:tcPr>
          <w:p>
            <w:pPr>
              <w:adjustRightInd w:val="0"/>
              <w:snapToGrid w:val="0"/>
              <w:jc w:val="center"/>
              <w:rPr>
                <w:rFonts w:ascii="Times New Roman" w:hAnsi="Times New Roman" w:cs="Times New Roman"/>
                <w:spacing w:val="20"/>
                <w:szCs w:val="21"/>
              </w:rPr>
            </w:pPr>
            <w:r>
              <w:rPr>
                <w:rFonts w:ascii="Times New Roman" w:hAnsi="Times New Roman" w:cs="Times New Roman"/>
                <w:spacing w:val="20"/>
                <w:szCs w:val="21"/>
              </w:rPr>
              <w:t>1</w:t>
            </w:r>
          </w:p>
        </w:tc>
        <w:tc>
          <w:tcPr>
            <w:tcW w:w="1136" w:type="dxa"/>
            <w:vMerge w:val="restart"/>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89"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17"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18"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1002"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827"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21"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20" w:type="dxa"/>
            <w:shd w:val="clear" w:color="auto" w:fill="FFFFFF"/>
            <w:noWrap w:val="0"/>
            <w:vAlign w:val="center"/>
          </w:tcPr>
          <w:p>
            <w:pPr>
              <w:adjustRightInd w:val="0"/>
              <w:snapToGrid w:val="0"/>
              <w:jc w:val="center"/>
              <w:rPr>
                <w:rFonts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630" w:type="dxa"/>
            <w:vMerge w:val="continue"/>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1136" w:type="dxa"/>
            <w:vMerge w:val="continue"/>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89"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17"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18"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1002"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827"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21"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20" w:type="dxa"/>
            <w:shd w:val="clear" w:color="auto" w:fill="FFFFFF"/>
            <w:noWrap w:val="0"/>
            <w:vAlign w:val="center"/>
          </w:tcPr>
          <w:p>
            <w:pPr>
              <w:adjustRightInd w:val="0"/>
              <w:snapToGrid w:val="0"/>
              <w:jc w:val="center"/>
              <w:rPr>
                <w:rFonts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630" w:type="dxa"/>
            <w:vMerge w:val="restart"/>
            <w:shd w:val="clear" w:color="auto" w:fill="FFFFFF"/>
            <w:noWrap w:val="0"/>
            <w:vAlign w:val="center"/>
          </w:tcPr>
          <w:p>
            <w:pPr>
              <w:adjustRightInd w:val="0"/>
              <w:snapToGrid w:val="0"/>
              <w:jc w:val="center"/>
              <w:rPr>
                <w:rFonts w:ascii="Times New Roman" w:hAnsi="Times New Roman" w:cs="Times New Roman"/>
                <w:spacing w:val="20"/>
                <w:szCs w:val="21"/>
              </w:rPr>
            </w:pPr>
            <w:r>
              <w:rPr>
                <w:rFonts w:ascii="Times New Roman" w:hAnsi="Times New Roman" w:cs="Times New Roman"/>
                <w:spacing w:val="20"/>
                <w:szCs w:val="21"/>
              </w:rPr>
              <w:t>2</w:t>
            </w:r>
          </w:p>
        </w:tc>
        <w:tc>
          <w:tcPr>
            <w:tcW w:w="1136" w:type="dxa"/>
            <w:vMerge w:val="restart"/>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89"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17"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18"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1002"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827"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21"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20" w:type="dxa"/>
            <w:shd w:val="clear" w:color="auto" w:fill="FFFFFF"/>
            <w:noWrap w:val="0"/>
            <w:vAlign w:val="center"/>
          </w:tcPr>
          <w:p>
            <w:pPr>
              <w:adjustRightInd w:val="0"/>
              <w:snapToGrid w:val="0"/>
              <w:jc w:val="center"/>
              <w:rPr>
                <w:rFonts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630" w:type="dxa"/>
            <w:vMerge w:val="continue"/>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1136" w:type="dxa"/>
            <w:vMerge w:val="continue"/>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89"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17"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18"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1002"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827"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21"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20" w:type="dxa"/>
            <w:shd w:val="clear" w:color="auto" w:fill="FFFFFF"/>
            <w:noWrap w:val="0"/>
            <w:vAlign w:val="center"/>
          </w:tcPr>
          <w:p>
            <w:pPr>
              <w:adjustRightInd w:val="0"/>
              <w:snapToGrid w:val="0"/>
              <w:jc w:val="center"/>
              <w:rPr>
                <w:rFonts w:ascii="Times New Roman" w:hAnsi="Times New Roman" w:cs="Times New Roman"/>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630" w:type="dxa"/>
            <w:shd w:val="clear" w:color="auto" w:fill="FFFFFF"/>
            <w:noWrap w:val="0"/>
            <w:vAlign w:val="center"/>
          </w:tcPr>
          <w:p>
            <w:pPr>
              <w:adjustRightInd w:val="0"/>
              <w:snapToGrid w:val="0"/>
              <w:jc w:val="center"/>
              <w:rPr>
                <w:rFonts w:ascii="Times New Roman" w:hAnsi="Times New Roman" w:cs="Times New Roman"/>
                <w:spacing w:val="20"/>
                <w:szCs w:val="21"/>
              </w:rPr>
            </w:pPr>
            <w:r>
              <w:rPr>
                <w:rFonts w:ascii="Times New Roman" w:hAnsi="Times New Roman" w:cs="Times New Roman"/>
                <w:spacing w:val="20"/>
                <w:szCs w:val="21"/>
              </w:rPr>
              <w:t>…</w:t>
            </w:r>
          </w:p>
        </w:tc>
        <w:tc>
          <w:tcPr>
            <w:tcW w:w="1136" w:type="dxa"/>
            <w:shd w:val="clear" w:color="auto" w:fill="FFFFFF"/>
            <w:noWrap w:val="0"/>
            <w:vAlign w:val="center"/>
          </w:tcPr>
          <w:p>
            <w:pPr>
              <w:adjustRightInd w:val="0"/>
              <w:snapToGrid w:val="0"/>
              <w:jc w:val="center"/>
              <w:rPr>
                <w:rFonts w:ascii="Times New Roman" w:hAnsi="Times New Roman" w:cs="Times New Roman"/>
                <w:spacing w:val="20"/>
                <w:szCs w:val="21"/>
              </w:rPr>
            </w:pPr>
            <w:r>
              <w:rPr>
                <w:rFonts w:ascii="Times New Roman" w:hAnsi="Times New Roman" w:cs="Times New Roman"/>
                <w:spacing w:val="20"/>
                <w:szCs w:val="21"/>
              </w:rPr>
              <w:t>…</w:t>
            </w:r>
          </w:p>
        </w:tc>
        <w:tc>
          <w:tcPr>
            <w:tcW w:w="989" w:type="dxa"/>
            <w:shd w:val="clear" w:color="auto" w:fill="FFFFFF"/>
            <w:noWrap w:val="0"/>
            <w:vAlign w:val="center"/>
          </w:tcPr>
          <w:p>
            <w:pPr>
              <w:adjustRightInd w:val="0"/>
              <w:snapToGrid w:val="0"/>
              <w:jc w:val="center"/>
              <w:rPr>
                <w:rFonts w:ascii="Times New Roman" w:hAnsi="Times New Roman" w:cs="Times New Roman"/>
                <w:spacing w:val="20"/>
                <w:szCs w:val="21"/>
              </w:rPr>
            </w:pPr>
            <w:r>
              <w:rPr>
                <w:rFonts w:ascii="Times New Roman" w:hAnsi="Times New Roman" w:cs="Times New Roman"/>
                <w:spacing w:val="20"/>
                <w:szCs w:val="21"/>
              </w:rPr>
              <w:t>…</w:t>
            </w:r>
          </w:p>
        </w:tc>
        <w:tc>
          <w:tcPr>
            <w:tcW w:w="917" w:type="dxa"/>
            <w:shd w:val="clear" w:color="auto" w:fill="FFFFFF"/>
            <w:noWrap w:val="0"/>
            <w:vAlign w:val="center"/>
          </w:tcPr>
          <w:p>
            <w:pPr>
              <w:adjustRightInd w:val="0"/>
              <w:snapToGrid w:val="0"/>
              <w:jc w:val="center"/>
              <w:rPr>
                <w:rFonts w:ascii="Times New Roman" w:hAnsi="Times New Roman" w:cs="Times New Roman"/>
                <w:spacing w:val="20"/>
                <w:szCs w:val="21"/>
              </w:rPr>
            </w:pPr>
            <w:r>
              <w:rPr>
                <w:rFonts w:ascii="Times New Roman" w:hAnsi="Times New Roman" w:cs="Times New Roman"/>
                <w:spacing w:val="20"/>
                <w:szCs w:val="21"/>
              </w:rPr>
              <w:t>…</w:t>
            </w:r>
          </w:p>
        </w:tc>
        <w:tc>
          <w:tcPr>
            <w:tcW w:w="918"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1002" w:type="dxa"/>
            <w:shd w:val="clear" w:color="auto" w:fill="FFFFFF"/>
            <w:noWrap w:val="0"/>
            <w:vAlign w:val="center"/>
          </w:tcPr>
          <w:p>
            <w:pPr>
              <w:adjustRightInd w:val="0"/>
              <w:snapToGrid w:val="0"/>
              <w:jc w:val="center"/>
              <w:rPr>
                <w:rFonts w:ascii="Times New Roman" w:hAnsi="Times New Roman" w:cs="Times New Roman"/>
                <w:spacing w:val="20"/>
                <w:szCs w:val="21"/>
              </w:rPr>
            </w:pPr>
            <w:r>
              <w:rPr>
                <w:rFonts w:ascii="Times New Roman" w:hAnsi="Times New Roman" w:cs="Times New Roman"/>
                <w:spacing w:val="20"/>
                <w:szCs w:val="21"/>
              </w:rPr>
              <w:t>…</w:t>
            </w:r>
          </w:p>
        </w:tc>
        <w:tc>
          <w:tcPr>
            <w:tcW w:w="827" w:type="dxa"/>
            <w:shd w:val="clear" w:color="auto" w:fill="FFFFFF"/>
            <w:noWrap w:val="0"/>
            <w:vAlign w:val="center"/>
          </w:tcPr>
          <w:p>
            <w:pPr>
              <w:adjustRightInd w:val="0"/>
              <w:snapToGrid w:val="0"/>
              <w:jc w:val="center"/>
              <w:rPr>
                <w:rFonts w:ascii="Times New Roman" w:hAnsi="Times New Roman" w:cs="Times New Roman"/>
                <w:spacing w:val="20"/>
                <w:szCs w:val="21"/>
              </w:rPr>
            </w:pPr>
            <w:r>
              <w:rPr>
                <w:rFonts w:ascii="Times New Roman" w:hAnsi="Times New Roman" w:cs="Times New Roman"/>
                <w:spacing w:val="20"/>
                <w:szCs w:val="21"/>
              </w:rPr>
              <w:t>…</w:t>
            </w:r>
          </w:p>
        </w:tc>
        <w:tc>
          <w:tcPr>
            <w:tcW w:w="921" w:type="dxa"/>
            <w:shd w:val="clear" w:color="auto" w:fill="FFFFFF"/>
            <w:noWrap w:val="0"/>
            <w:vAlign w:val="center"/>
          </w:tcPr>
          <w:p>
            <w:pPr>
              <w:adjustRightInd w:val="0"/>
              <w:snapToGrid w:val="0"/>
              <w:jc w:val="center"/>
              <w:rPr>
                <w:rFonts w:ascii="Times New Roman" w:hAnsi="Times New Roman" w:cs="Times New Roman"/>
                <w:spacing w:val="20"/>
                <w:szCs w:val="21"/>
              </w:rPr>
            </w:pPr>
          </w:p>
        </w:tc>
        <w:tc>
          <w:tcPr>
            <w:tcW w:w="920" w:type="dxa"/>
            <w:shd w:val="clear" w:color="auto" w:fill="FFFFFF"/>
            <w:noWrap w:val="0"/>
            <w:vAlign w:val="center"/>
          </w:tcPr>
          <w:p>
            <w:pPr>
              <w:adjustRightInd w:val="0"/>
              <w:snapToGrid w:val="0"/>
              <w:jc w:val="center"/>
              <w:rPr>
                <w:rFonts w:ascii="Times New Roman" w:hAnsi="Times New Roman" w:cs="Times New Roman"/>
                <w:spacing w:val="20"/>
                <w:szCs w:val="21"/>
              </w:rPr>
            </w:pPr>
          </w:p>
        </w:tc>
      </w:tr>
    </w:tbl>
    <w:p>
      <w:pPr>
        <w:rPr>
          <w:rFonts w:hint="default" w:ascii="Times New Roman" w:hAnsi="Times New Roman" w:cs="Times New Roman"/>
          <w:spacing w:val="20"/>
          <w:szCs w:val="21"/>
        </w:rPr>
      </w:pPr>
      <w:r>
        <w:rPr>
          <w:rFonts w:ascii="Times New Roman" w:hAnsi="Times New Roman" w:cs="Times New Roman"/>
          <w:spacing w:val="20"/>
          <w:szCs w:val="21"/>
        </w:rPr>
        <w:t>注:</w:t>
      </w:r>
      <w:r>
        <w:rPr>
          <w:rFonts w:hint="default" w:ascii="Times New Roman" w:hAnsi="Times New Roman" w:cs="Times New Roman"/>
          <w:spacing w:val="20"/>
          <w:szCs w:val="21"/>
        </w:rPr>
        <w:t>装</w:t>
      </w:r>
      <w:r>
        <w:rPr>
          <w:rFonts w:ascii="Times New Roman" w:hAnsi="Times New Roman" w:cs="Times New Roman"/>
          <w:spacing w:val="20"/>
          <w:szCs w:val="21"/>
        </w:rPr>
        <w:t>备或产品名称、一级部件名称、二级部件名称应按照《国家支持发展的重大技术装备和产品目录》《重大技术装备和产品进口关键零部件及原材料商品目录》中有关条目填写。</w:t>
      </w:r>
      <w:r>
        <w:rPr>
          <w:rFonts w:hint="default" w:ascii="Times New Roman" w:hAnsi="Times New Roman" w:cs="Times New Roman"/>
          <w:spacing w:val="20"/>
          <w:szCs w:val="21"/>
        </w:rPr>
        <w:t>同一装备或产品对应的一级、二级部件应按照进口时间依次填写。第一次复核企业和核电项目业主仅填写首次获得免税资格年度至本次复核年度的数据。</w:t>
      </w:r>
    </w:p>
    <w:p>
      <w:pPr>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二、申报内容</w:t>
      </w:r>
    </w:p>
    <w:p>
      <w:pPr>
        <w:ind w:firstLine="562" w:firstLineChars="200"/>
        <w:rPr>
          <w:rFonts w:ascii="Times New Roman" w:hAnsi="Times New Roman" w:eastAsia="楷体_GB2312" w:cs="Times New Roman"/>
          <w:b/>
          <w:bCs/>
          <w:sz w:val="28"/>
          <w:szCs w:val="28"/>
        </w:rPr>
      </w:pPr>
      <w:r>
        <w:rPr>
          <w:rFonts w:ascii="Times New Roman" w:hAnsi="Times New Roman" w:eastAsia="楷体_GB2312" w:cs="Times New Roman"/>
          <w:b/>
          <w:bCs/>
          <w:sz w:val="28"/>
          <w:szCs w:val="28"/>
        </w:rPr>
        <w:t>（一）企业基本情况</w:t>
      </w:r>
    </w:p>
    <w:p>
      <w:pPr>
        <w:ind w:firstLine="560" w:firstLineChars="200"/>
        <w:rPr>
          <w:rFonts w:ascii="Times New Roman" w:hAnsi="Times New Roman" w:cs="Times New Roman"/>
          <w:sz w:val="28"/>
          <w:szCs w:val="28"/>
        </w:rPr>
      </w:pPr>
      <w:r>
        <w:rPr>
          <w:rFonts w:hint="default" w:ascii="Times New Roman" w:hAnsi="Times New Roman" w:cs="Times New Roman"/>
          <w:sz w:val="28"/>
          <w:szCs w:val="28"/>
        </w:rPr>
        <w:t>企业</w:t>
      </w:r>
      <w:r>
        <w:rPr>
          <w:rFonts w:ascii="Times New Roman" w:hAnsi="Times New Roman" w:cs="Times New Roman"/>
          <w:sz w:val="28"/>
          <w:szCs w:val="28"/>
        </w:rPr>
        <w:t>股权结构</w:t>
      </w:r>
      <w:r>
        <w:rPr>
          <w:rFonts w:hint="default" w:ascii="Times New Roman" w:hAnsi="Times New Roman" w:cs="Times New Roman"/>
          <w:sz w:val="28"/>
          <w:szCs w:val="28"/>
        </w:rPr>
        <w:t>以及</w:t>
      </w:r>
      <w:r>
        <w:rPr>
          <w:rFonts w:ascii="Times New Roman" w:hAnsi="Times New Roman" w:cs="Times New Roman"/>
          <w:sz w:val="28"/>
          <w:szCs w:val="28"/>
        </w:rPr>
        <w:t>经营范围</w:t>
      </w:r>
      <w:r>
        <w:rPr>
          <w:rFonts w:hint="default" w:ascii="Times New Roman" w:hAnsi="Times New Roman" w:cs="Times New Roman"/>
          <w:sz w:val="28"/>
          <w:szCs w:val="28"/>
        </w:rPr>
        <w:t>，企业过去三年（含本年）主营业收入、利润额及利润率，以及上述指标的变化等基本财务状况</w:t>
      </w:r>
      <w:r>
        <w:rPr>
          <w:rFonts w:ascii="Times New Roman" w:hAnsi="Times New Roman" w:cs="Times New Roman"/>
          <w:sz w:val="28"/>
          <w:szCs w:val="28"/>
        </w:rPr>
        <w:t>。</w:t>
      </w:r>
    </w:p>
    <w:p>
      <w:pPr>
        <w:pStyle w:val="2"/>
        <w:numPr>
          <w:ilvl w:val="0"/>
          <w:numId w:val="1"/>
        </w:numPr>
        <w:ind w:firstLine="562" w:firstLineChars="200"/>
        <w:rPr>
          <w:rFonts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企业</w:t>
      </w:r>
      <w:r>
        <w:rPr>
          <w:rFonts w:ascii="Times New Roman" w:hAnsi="Times New Roman" w:eastAsia="楷体_GB2312" w:cs="Times New Roman"/>
          <w:b/>
          <w:bCs/>
          <w:sz w:val="28"/>
          <w:szCs w:val="28"/>
        </w:rPr>
        <w:t>享受政策情况</w:t>
      </w:r>
    </w:p>
    <w:p>
      <w:pPr>
        <w:ind w:firstLine="560" w:firstLineChars="200"/>
        <w:rPr>
          <w:rFonts w:hint="default" w:ascii="Times New Roman" w:hAnsi="Times New Roman" w:cs="Times New Roman"/>
          <w:sz w:val="28"/>
          <w:szCs w:val="28"/>
        </w:rPr>
      </w:pPr>
      <w:r>
        <w:rPr>
          <w:rFonts w:ascii="Times New Roman" w:hAnsi="Times New Roman" w:cs="Times New Roman"/>
          <w:sz w:val="28"/>
          <w:szCs w:val="28"/>
        </w:rPr>
        <w:t>获得免税资格的起始</w:t>
      </w:r>
      <w:r>
        <w:rPr>
          <w:rFonts w:hint="default" w:ascii="Times New Roman" w:hAnsi="Times New Roman" w:cs="Times New Roman"/>
          <w:sz w:val="28"/>
          <w:szCs w:val="28"/>
        </w:rPr>
        <w:t>时间</w:t>
      </w:r>
      <w:r>
        <w:rPr>
          <w:rFonts w:ascii="Times New Roman" w:hAnsi="Times New Roman" w:cs="Times New Roman"/>
          <w:sz w:val="28"/>
          <w:szCs w:val="28"/>
        </w:rPr>
        <w:t>；前两年和本年1-6月享受政策</w:t>
      </w:r>
      <w:r>
        <w:rPr>
          <w:rFonts w:hint="default" w:ascii="Times New Roman" w:hAnsi="Times New Roman" w:cs="Times New Roman"/>
          <w:sz w:val="28"/>
          <w:szCs w:val="28"/>
        </w:rPr>
        <w:t>的情况</w:t>
      </w:r>
      <w:r>
        <w:rPr>
          <w:rFonts w:ascii="Times New Roman" w:hAnsi="Times New Roman" w:cs="Times New Roman"/>
          <w:sz w:val="28"/>
          <w:szCs w:val="28"/>
        </w:rPr>
        <w:t>，包括进口零部件</w:t>
      </w:r>
      <w:r>
        <w:rPr>
          <w:rFonts w:hint="default" w:ascii="Times New Roman" w:hAnsi="Times New Roman" w:cs="Times New Roman"/>
          <w:sz w:val="28"/>
          <w:szCs w:val="28"/>
        </w:rPr>
        <w:t>和</w:t>
      </w:r>
      <w:r>
        <w:rPr>
          <w:rFonts w:ascii="Times New Roman" w:hAnsi="Times New Roman" w:cs="Times New Roman"/>
          <w:sz w:val="28"/>
          <w:szCs w:val="28"/>
        </w:rPr>
        <w:t>原材料的免税货值</w:t>
      </w:r>
      <w:r>
        <w:rPr>
          <w:rFonts w:hint="default" w:ascii="Times New Roman" w:hAnsi="Times New Roman" w:cs="Times New Roman"/>
          <w:sz w:val="28"/>
          <w:szCs w:val="28"/>
        </w:rPr>
        <w:t>；实际减免税额，包括</w:t>
      </w:r>
      <w:r>
        <w:rPr>
          <w:rFonts w:ascii="Times New Roman" w:hAnsi="Times New Roman" w:cs="Times New Roman"/>
          <w:sz w:val="28"/>
          <w:szCs w:val="28"/>
        </w:rPr>
        <w:t>实际</w:t>
      </w:r>
      <w:r>
        <w:rPr>
          <w:rFonts w:hint="default" w:ascii="Times New Roman" w:hAnsi="Times New Roman" w:cs="Times New Roman"/>
          <w:sz w:val="28"/>
          <w:szCs w:val="28"/>
        </w:rPr>
        <w:t>减免关税和进口环节增值税</w:t>
      </w:r>
      <w:r>
        <w:rPr>
          <w:rFonts w:ascii="Times New Roman" w:hAnsi="Times New Roman" w:cs="Times New Roman"/>
          <w:sz w:val="28"/>
          <w:szCs w:val="28"/>
        </w:rPr>
        <w:t>金额</w:t>
      </w:r>
      <w:r>
        <w:rPr>
          <w:rFonts w:hint="default" w:ascii="Times New Roman" w:hAnsi="Times New Roman" w:cs="Times New Roman"/>
          <w:sz w:val="28"/>
          <w:szCs w:val="28"/>
        </w:rPr>
        <w:t>；上述指标的同比增长（下降）率等。第一次复核企业和核电项目业主提供首次获得免税资格年度至本次复核年度的相关数据。</w:t>
      </w:r>
    </w:p>
    <w:p>
      <w:pPr>
        <w:numPr>
          <w:ilvl w:val="0"/>
          <w:numId w:val="1"/>
        </w:numPr>
        <w:ind w:firstLine="562" w:firstLineChars="200"/>
        <w:rPr>
          <w:rFonts w:ascii="Times New Roman" w:hAnsi="Times New Roman" w:eastAsia="楷体_GB2312" w:cs="Times New Roman"/>
          <w:b/>
          <w:bCs/>
          <w:sz w:val="28"/>
          <w:szCs w:val="28"/>
        </w:rPr>
      </w:pPr>
      <w:r>
        <w:rPr>
          <w:rFonts w:ascii="Times New Roman" w:hAnsi="Times New Roman" w:eastAsia="楷体_GB2312" w:cs="Times New Roman"/>
          <w:b/>
          <w:bCs/>
          <w:sz w:val="28"/>
          <w:szCs w:val="28"/>
        </w:rPr>
        <w:t>重大技术装备生产</w:t>
      </w:r>
      <w:r>
        <w:rPr>
          <w:rFonts w:hint="default" w:ascii="Times New Roman" w:hAnsi="Times New Roman" w:eastAsia="楷体_GB2312" w:cs="Times New Roman"/>
          <w:b/>
          <w:bCs/>
          <w:sz w:val="28"/>
          <w:szCs w:val="28"/>
        </w:rPr>
        <w:t>制造和销售</w:t>
      </w:r>
      <w:r>
        <w:rPr>
          <w:rFonts w:hint="eastAsia" w:ascii="Times New Roman" w:hAnsi="Times New Roman" w:eastAsia="楷体_GB2312" w:cs="Times New Roman"/>
          <w:b/>
          <w:bCs/>
          <w:sz w:val="28"/>
          <w:szCs w:val="28"/>
          <w:lang w:eastAsia="zh-CN"/>
        </w:rPr>
        <w:t>业绩提升</w:t>
      </w:r>
      <w:r>
        <w:rPr>
          <w:rFonts w:ascii="Times New Roman" w:hAnsi="Times New Roman" w:eastAsia="楷体_GB2312" w:cs="Times New Roman"/>
          <w:b/>
          <w:bCs/>
          <w:sz w:val="28"/>
          <w:szCs w:val="28"/>
        </w:rPr>
        <w:t>情况</w:t>
      </w:r>
    </w:p>
    <w:p>
      <w:pPr>
        <w:ind w:firstLine="560" w:firstLineChars="200"/>
        <w:rPr>
          <w:rFonts w:ascii="Times New Roman" w:hAnsi="Times New Roman" w:cs="Times New Roman"/>
          <w:sz w:val="28"/>
          <w:szCs w:val="28"/>
        </w:rPr>
      </w:pPr>
      <w:r>
        <w:rPr>
          <w:rFonts w:ascii="Times New Roman" w:hAnsi="Times New Roman" w:cs="Times New Roman"/>
          <w:sz w:val="28"/>
          <w:szCs w:val="28"/>
        </w:rPr>
        <w:t>生产制造</w:t>
      </w:r>
      <w:r>
        <w:rPr>
          <w:rFonts w:hint="default" w:ascii="Times New Roman" w:hAnsi="Times New Roman" w:cs="Times New Roman"/>
          <w:sz w:val="28"/>
          <w:szCs w:val="28"/>
        </w:rPr>
        <w:t>能力提升</w:t>
      </w:r>
      <w:r>
        <w:rPr>
          <w:rFonts w:ascii="Times New Roman" w:hAnsi="Times New Roman" w:cs="Times New Roman"/>
          <w:sz w:val="28"/>
          <w:szCs w:val="28"/>
        </w:rPr>
        <w:t>情况</w:t>
      </w:r>
      <w:r>
        <w:rPr>
          <w:rFonts w:hint="default" w:ascii="Times New Roman" w:hAnsi="Times New Roman" w:cs="Times New Roman"/>
          <w:sz w:val="28"/>
          <w:szCs w:val="28"/>
        </w:rPr>
        <w:t>，包括：</w:t>
      </w:r>
      <w:r>
        <w:rPr>
          <w:rFonts w:ascii="Times New Roman" w:hAnsi="Times New Roman" w:cs="Times New Roman"/>
          <w:sz w:val="28"/>
          <w:szCs w:val="28"/>
        </w:rPr>
        <w:t>过去三年（含今年）</w:t>
      </w:r>
      <w:r>
        <w:rPr>
          <w:rFonts w:hint="default" w:ascii="Times New Roman" w:hAnsi="Times New Roman" w:cs="Times New Roman"/>
          <w:sz w:val="28"/>
          <w:szCs w:val="28"/>
        </w:rPr>
        <w:t>相关装备或产品的产量或产能及同比变化，产品</w:t>
      </w:r>
      <w:r>
        <w:rPr>
          <w:rFonts w:ascii="Times New Roman" w:hAnsi="Times New Roman" w:cs="Times New Roman"/>
          <w:sz w:val="28"/>
          <w:szCs w:val="28"/>
        </w:rPr>
        <w:t>技术</w:t>
      </w:r>
      <w:r>
        <w:rPr>
          <w:rFonts w:hint="default" w:ascii="Times New Roman" w:hAnsi="Times New Roman" w:cs="Times New Roman"/>
          <w:sz w:val="28"/>
          <w:szCs w:val="28"/>
        </w:rPr>
        <w:t>规格提升</w:t>
      </w:r>
      <w:r>
        <w:rPr>
          <w:rFonts w:ascii="Times New Roman" w:hAnsi="Times New Roman" w:cs="Times New Roman"/>
          <w:sz w:val="28"/>
          <w:szCs w:val="28"/>
        </w:rPr>
        <w:t>情况</w:t>
      </w:r>
      <w:r>
        <w:rPr>
          <w:rFonts w:hint="default" w:ascii="Times New Roman" w:hAnsi="Times New Roman" w:cs="Times New Roman"/>
          <w:sz w:val="28"/>
          <w:szCs w:val="28"/>
        </w:rPr>
        <w:t>，新建或扩建生产制造车间等情况。</w:t>
      </w:r>
      <w:r>
        <w:rPr>
          <w:rFonts w:ascii="Times New Roman" w:hAnsi="Times New Roman" w:cs="Times New Roman"/>
          <w:sz w:val="28"/>
          <w:szCs w:val="28"/>
        </w:rPr>
        <w:t>销售</w:t>
      </w:r>
      <w:r>
        <w:rPr>
          <w:rFonts w:hint="default" w:ascii="Times New Roman" w:hAnsi="Times New Roman" w:cs="Times New Roman"/>
          <w:sz w:val="28"/>
          <w:szCs w:val="28"/>
        </w:rPr>
        <w:t>业绩提升</w:t>
      </w:r>
      <w:r>
        <w:rPr>
          <w:rFonts w:ascii="Times New Roman" w:hAnsi="Times New Roman" w:cs="Times New Roman"/>
          <w:sz w:val="28"/>
          <w:szCs w:val="28"/>
        </w:rPr>
        <w:t>情况</w:t>
      </w:r>
      <w:r>
        <w:rPr>
          <w:rFonts w:hint="default" w:ascii="Times New Roman" w:hAnsi="Times New Roman" w:cs="Times New Roman"/>
          <w:sz w:val="28"/>
          <w:szCs w:val="28"/>
        </w:rPr>
        <w:t>，包括：</w:t>
      </w:r>
      <w:r>
        <w:rPr>
          <w:rFonts w:ascii="Times New Roman" w:hAnsi="Times New Roman" w:cs="Times New Roman"/>
          <w:sz w:val="28"/>
          <w:szCs w:val="28"/>
        </w:rPr>
        <w:t>过去三年（含今年）</w:t>
      </w:r>
      <w:r>
        <w:rPr>
          <w:rFonts w:hint="default" w:ascii="Times New Roman" w:hAnsi="Times New Roman" w:cs="Times New Roman"/>
          <w:sz w:val="28"/>
          <w:szCs w:val="28"/>
        </w:rPr>
        <w:t>相关装备或产品的销售数量和金额（含税），国内销售量和金额（含税），出口销售量和金额，以及上述指标同比变化等；相关装备或产品的销售单价</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毛利率及上述指标同比变化；重大技术装备或产品产生的经济效益和社会效益等情况</w:t>
      </w:r>
      <w:r>
        <w:rPr>
          <w:rFonts w:ascii="Times New Roman" w:hAnsi="Times New Roman" w:cs="Times New Roman"/>
          <w:sz w:val="28"/>
          <w:szCs w:val="28"/>
        </w:rPr>
        <w:t>。</w:t>
      </w:r>
      <w:r>
        <w:rPr>
          <w:rFonts w:hint="default" w:ascii="Times New Roman" w:hAnsi="Times New Roman" w:cs="Times New Roman"/>
          <w:sz w:val="28"/>
          <w:szCs w:val="28"/>
        </w:rPr>
        <w:t>核电项目业主可不提供该部分内容。第一次复核企业和核电项目业主提供首次获得免税资格年度至本次复核年度的相关数据。</w:t>
      </w:r>
    </w:p>
    <w:p>
      <w:pPr>
        <w:numPr>
          <w:ilvl w:val="0"/>
          <w:numId w:val="1"/>
        </w:numPr>
        <w:ind w:firstLine="562" w:firstLineChars="200"/>
        <w:rPr>
          <w:rFonts w:ascii="Times New Roman" w:hAnsi="Times New Roman" w:eastAsia="楷体_GB2312" w:cs="Times New Roman"/>
          <w:b/>
          <w:bCs/>
          <w:sz w:val="28"/>
          <w:szCs w:val="28"/>
        </w:rPr>
      </w:pPr>
      <w:r>
        <w:rPr>
          <w:rFonts w:ascii="Times New Roman" w:hAnsi="Times New Roman" w:eastAsia="楷体_GB2312" w:cs="Times New Roman"/>
          <w:b/>
          <w:bCs/>
          <w:sz w:val="28"/>
          <w:szCs w:val="28"/>
        </w:rPr>
        <w:t>重大技术装备</w:t>
      </w:r>
      <w:r>
        <w:rPr>
          <w:rFonts w:hint="default" w:ascii="Times New Roman" w:hAnsi="Times New Roman" w:eastAsia="楷体_GB2312" w:cs="Times New Roman"/>
          <w:b/>
          <w:bCs/>
          <w:sz w:val="28"/>
          <w:szCs w:val="28"/>
        </w:rPr>
        <w:t>设计</w:t>
      </w:r>
      <w:r>
        <w:rPr>
          <w:rFonts w:ascii="Times New Roman" w:hAnsi="Times New Roman" w:eastAsia="楷体_GB2312" w:cs="Times New Roman"/>
          <w:b/>
          <w:bCs/>
          <w:sz w:val="28"/>
          <w:szCs w:val="28"/>
        </w:rPr>
        <w:t>研发</w:t>
      </w:r>
      <w:r>
        <w:rPr>
          <w:rFonts w:hint="default" w:ascii="Times New Roman" w:hAnsi="Times New Roman" w:eastAsia="楷体_GB2312" w:cs="Times New Roman"/>
          <w:b/>
          <w:bCs/>
          <w:sz w:val="28"/>
          <w:szCs w:val="28"/>
        </w:rPr>
        <w:t>能力提升</w:t>
      </w:r>
      <w:r>
        <w:rPr>
          <w:rFonts w:ascii="Times New Roman" w:hAnsi="Times New Roman" w:eastAsia="楷体_GB2312" w:cs="Times New Roman"/>
          <w:b/>
          <w:bCs/>
          <w:sz w:val="28"/>
          <w:szCs w:val="28"/>
        </w:rPr>
        <w:t>情况</w:t>
      </w:r>
    </w:p>
    <w:p>
      <w:pPr>
        <w:ind w:firstLine="560" w:firstLineChars="200"/>
        <w:rPr>
          <w:rFonts w:hint="eastAsia" w:ascii="Times New Roman" w:hAnsi="Times New Roman" w:eastAsia="Times New Roman" w:cs="Times New Roman"/>
          <w:sz w:val="28"/>
          <w:szCs w:val="28"/>
          <w:lang w:eastAsia="zh-CN"/>
        </w:rPr>
      </w:pPr>
      <w:r>
        <w:rPr>
          <w:rFonts w:hint="default" w:ascii="Times New Roman" w:hAnsi="Times New Roman" w:cs="Times New Roman"/>
          <w:sz w:val="28"/>
          <w:szCs w:val="28"/>
        </w:rPr>
        <w:t>包括：</w:t>
      </w:r>
      <w:r>
        <w:rPr>
          <w:rFonts w:ascii="Times New Roman" w:hAnsi="Times New Roman" w:cs="Times New Roman"/>
          <w:sz w:val="28"/>
          <w:szCs w:val="28"/>
        </w:rPr>
        <w:t>过去三年（含今年）</w:t>
      </w:r>
      <w:r>
        <w:rPr>
          <w:rFonts w:hint="default" w:ascii="Times New Roman" w:hAnsi="Times New Roman" w:cs="Times New Roman"/>
          <w:sz w:val="28"/>
          <w:szCs w:val="28"/>
        </w:rPr>
        <w:t>的</w:t>
      </w:r>
      <w:r>
        <w:rPr>
          <w:rFonts w:ascii="Times New Roman" w:hAnsi="Times New Roman" w:cs="Times New Roman"/>
          <w:sz w:val="28"/>
          <w:szCs w:val="28"/>
        </w:rPr>
        <w:t>科研设备投入</w:t>
      </w:r>
      <w:r>
        <w:rPr>
          <w:rFonts w:hint="default" w:ascii="Times New Roman" w:hAnsi="Times New Roman" w:cs="Times New Roman"/>
          <w:sz w:val="28"/>
          <w:szCs w:val="28"/>
        </w:rPr>
        <w:t>变化</w:t>
      </w:r>
      <w:r>
        <w:rPr>
          <w:rFonts w:ascii="Times New Roman" w:hAnsi="Times New Roman" w:cs="Times New Roman"/>
          <w:sz w:val="28"/>
          <w:szCs w:val="28"/>
        </w:rPr>
        <w:t>情况；科研经费支出</w:t>
      </w:r>
      <w:r>
        <w:rPr>
          <w:rFonts w:hint="default" w:ascii="Times New Roman" w:hAnsi="Times New Roman" w:cs="Times New Roman"/>
          <w:sz w:val="28"/>
          <w:szCs w:val="28"/>
        </w:rPr>
        <w:t>变化情况，设计研发人员人数及占企业职工比重变化等；</w:t>
      </w:r>
      <w:r>
        <w:rPr>
          <w:rFonts w:ascii="Times New Roman" w:hAnsi="Times New Roman" w:cs="Times New Roman"/>
          <w:sz w:val="28"/>
          <w:szCs w:val="28"/>
        </w:rPr>
        <w:t>新参与的相关科研成果</w:t>
      </w:r>
      <w:r>
        <w:rPr>
          <w:rFonts w:hint="default" w:ascii="Times New Roman" w:hAnsi="Times New Roman" w:cs="Times New Roman"/>
          <w:sz w:val="28"/>
          <w:szCs w:val="28"/>
        </w:rPr>
        <w:t>、</w:t>
      </w:r>
      <w:r>
        <w:rPr>
          <w:rFonts w:ascii="Times New Roman" w:hAnsi="Times New Roman" w:cs="Times New Roman"/>
          <w:sz w:val="28"/>
          <w:szCs w:val="28"/>
        </w:rPr>
        <w:t>新获得的国家技术发明、科技进步奖项</w:t>
      </w:r>
      <w:r>
        <w:rPr>
          <w:rFonts w:hint="default" w:ascii="Times New Roman" w:hAnsi="Times New Roman" w:cs="Times New Roman"/>
          <w:sz w:val="28"/>
          <w:szCs w:val="28"/>
        </w:rPr>
        <w:t>等</w:t>
      </w:r>
      <w:r>
        <w:rPr>
          <w:rFonts w:ascii="Times New Roman" w:hAnsi="Times New Roman" w:cs="Times New Roman"/>
          <w:sz w:val="28"/>
          <w:szCs w:val="28"/>
        </w:rPr>
        <w:t>情况；新</w:t>
      </w:r>
      <w:r>
        <w:rPr>
          <w:rFonts w:hint="default" w:ascii="Times New Roman" w:hAnsi="Times New Roman" w:cs="Times New Roman"/>
          <w:sz w:val="28"/>
          <w:szCs w:val="28"/>
        </w:rPr>
        <w:t>增加的</w:t>
      </w:r>
      <w:r>
        <w:rPr>
          <w:rFonts w:ascii="Times New Roman" w:hAnsi="Times New Roman" w:cs="Times New Roman"/>
          <w:sz w:val="28"/>
          <w:szCs w:val="28"/>
        </w:rPr>
        <w:t>知识产权情况</w:t>
      </w:r>
      <w:r>
        <w:rPr>
          <w:rFonts w:hint="default" w:ascii="Times New Roman" w:hAnsi="Times New Roman" w:cs="Times New Roman"/>
          <w:sz w:val="28"/>
          <w:szCs w:val="28"/>
        </w:rPr>
        <w:t>；设计</w:t>
      </w:r>
      <w:r>
        <w:rPr>
          <w:rFonts w:ascii="Times New Roman" w:hAnsi="Times New Roman" w:cs="Times New Roman"/>
          <w:sz w:val="28"/>
          <w:szCs w:val="28"/>
        </w:rPr>
        <w:t>研发零部件及原材料情况</w:t>
      </w:r>
      <w:r>
        <w:rPr>
          <w:rFonts w:hint="default" w:ascii="Times New Roman" w:hAnsi="Times New Roman" w:cs="Times New Roman"/>
          <w:sz w:val="28"/>
          <w:szCs w:val="28"/>
        </w:rPr>
        <w:t>或</w:t>
      </w:r>
      <w:r>
        <w:rPr>
          <w:rFonts w:ascii="Times New Roman" w:hAnsi="Times New Roman" w:cs="Times New Roman"/>
          <w:sz w:val="28"/>
          <w:szCs w:val="28"/>
        </w:rPr>
        <w:t>与其他供应商合作</w:t>
      </w:r>
      <w:r>
        <w:rPr>
          <w:rFonts w:hint="default" w:ascii="Times New Roman" w:hAnsi="Times New Roman" w:cs="Times New Roman"/>
          <w:sz w:val="28"/>
          <w:szCs w:val="28"/>
        </w:rPr>
        <w:t>设计</w:t>
      </w:r>
      <w:r>
        <w:rPr>
          <w:rFonts w:ascii="Times New Roman" w:hAnsi="Times New Roman" w:cs="Times New Roman"/>
          <w:sz w:val="28"/>
          <w:szCs w:val="28"/>
        </w:rPr>
        <w:t>研发零部件及原材料情况</w:t>
      </w:r>
      <w:r>
        <w:rPr>
          <w:rFonts w:hint="default" w:ascii="Times New Roman" w:hAnsi="Times New Roman" w:cs="Times New Roman"/>
          <w:sz w:val="28"/>
          <w:szCs w:val="28"/>
        </w:rPr>
        <w:t>，进口零部件和原材料占总成本比重变化情况；其他设计研发能力提升情况。核电项目业主应填写推进重大技术装备或产品及其零部件设计、研发、应用等方面情况。</w:t>
      </w:r>
      <w:r>
        <w:rPr>
          <w:rFonts w:hint="eastAsia" w:ascii="Times New Roman" w:hAnsi="Times New Roman" w:cs="Times New Roman"/>
          <w:sz w:val="28"/>
          <w:szCs w:val="28"/>
          <w:lang w:eastAsia="zh-CN"/>
        </w:rPr>
        <w:t>第一次复核企业和核电项目业主提供首次获得免税资格年度至本次复核年度的相关数据。</w:t>
      </w:r>
    </w:p>
    <w:p>
      <w:pPr>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三、相关附件</w:t>
      </w:r>
    </w:p>
    <w:p>
      <w:pPr>
        <w:ind w:firstLine="560" w:firstLineChars="200"/>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rPr>
        <w:t>一</w:t>
      </w:r>
      <w:r>
        <w:rPr>
          <w:rFonts w:ascii="Times New Roman" w:hAnsi="Times New Roman" w:cs="Times New Roman"/>
          <w:sz w:val="28"/>
          <w:szCs w:val="28"/>
        </w:rPr>
        <w:t>）与</w:t>
      </w:r>
      <w:r>
        <w:rPr>
          <w:rFonts w:hint="default" w:ascii="Times New Roman" w:hAnsi="Times New Roman" w:cs="Times New Roman"/>
          <w:sz w:val="28"/>
          <w:szCs w:val="28"/>
        </w:rPr>
        <w:t>上述</w:t>
      </w:r>
      <w:r>
        <w:rPr>
          <w:rFonts w:ascii="Times New Roman" w:hAnsi="Times New Roman" w:cs="Times New Roman"/>
          <w:sz w:val="28"/>
          <w:szCs w:val="28"/>
        </w:rPr>
        <w:t>表</w:t>
      </w:r>
      <w:r>
        <w:rPr>
          <w:rFonts w:hint="default" w:ascii="Times New Roman" w:hAnsi="Times New Roman" w:cs="Times New Roman"/>
          <w:sz w:val="28"/>
          <w:szCs w:val="28"/>
        </w:rPr>
        <w:t>（</w:t>
      </w:r>
      <w:r>
        <w:rPr>
          <w:rFonts w:ascii="Times New Roman" w:hAnsi="Times New Roman" w:cs="Times New Roman"/>
          <w:sz w:val="28"/>
          <w:szCs w:val="28"/>
        </w:rPr>
        <w:t>二</w:t>
      </w:r>
      <w:r>
        <w:rPr>
          <w:rFonts w:hint="default" w:ascii="Times New Roman" w:hAnsi="Times New Roman" w:cs="Times New Roman"/>
          <w:sz w:val="28"/>
          <w:szCs w:val="28"/>
        </w:rPr>
        <w:t>）</w:t>
      </w:r>
      <w:r>
        <w:rPr>
          <w:rFonts w:ascii="Times New Roman" w:hAnsi="Times New Roman" w:cs="Times New Roman"/>
          <w:sz w:val="28"/>
          <w:szCs w:val="28"/>
        </w:rPr>
        <w:t>《</w:t>
      </w:r>
      <w:r>
        <w:rPr>
          <w:rFonts w:hint="eastAsia" w:ascii="Times New Roman" w:hAnsi="Times New Roman" w:cs="Times New Roman"/>
          <w:sz w:val="28"/>
          <w:szCs w:val="28"/>
          <w:lang w:eastAsia="zh-CN"/>
        </w:rPr>
        <w:t>过去三年（含本年）</w:t>
      </w:r>
      <w:r>
        <w:rPr>
          <w:rFonts w:ascii="Times New Roman" w:hAnsi="Times New Roman" w:cs="Times New Roman"/>
          <w:sz w:val="28"/>
          <w:szCs w:val="28"/>
        </w:rPr>
        <w:t>重大技术装备或产品销售合同汇总表》对应的销售合同主要页（包含买卖双方、装备名称、数量、规格、买卖双方签字盖章页、签订合同日期等</w:t>
      </w:r>
      <w:r>
        <w:rPr>
          <w:rFonts w:hint="default" w:ascii="Times New Roman" w:hAnsi="Times New Roman" w:cs="Times New Roman"/>
          <w:sz w:val="28"/>
          <w:szCs w:val="28"/>
        </w:rPr>
        <w:t>信息</w:t>
      </w:r>
      <w:r>
        <w:rPr>
          <w:rFonts w:ascii="Times New Roman" w:hAnsi="Times New Roman" w:cs="Times New Roman"/>
          <w:sz w:val="28"/>
          <w:szCs w:val="28"/>
        </w:rPr>
        <w:t>）复印件</w:t>
      </w:r>
      <w:r>
        <w:rPr>
          <w:rFonts w:hint="default" w:ascii="Times New Roman" w:hAnsi="Times New Roman" w:cs="Times New Roman"/>
          <w:sz w:val="28"/>
          <w:szCs w:val="28"/>
        </w:rPr>
        <w:t>。核电项目业主提供重大技术装备采购合同主要页复印件。</w:t>
      </w:r>
    </w:p>
    <w:p>
      <w:pPr>
        <w:ind w:firstLine="560" w:firstLineChars="200"/>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rPr>
        <w:t>二</w:t>
      </w:r>
      <w:r>
        <w:rPr>
          <w:rFonts w:ascii="Times New Roman" w:hAnsi="Times New Roman" w:cs="Times New Roman"/>
          <w:sz w:val="28"/>
          <w:szCs w:val="28"/>
        </w:rPr>
        <w:t>）过去三年（含本年）新获得的</w:t>
      </w:r>
      <w:r>
        <w:rPr>
          <w:rFonts w:hint="default" w:ascii="Times New Roman" w:hAnsi="Times New Roman" w:cs="Times New Roman"/>
          <w:sz w:val="28"/>
          <w:szCs w:val="28"/>
        </w:rPr>
        <w:t>与申请享受政策的装备或产品相关的</w:t>
      </w:r>
      <w:r>
        <w:rPr>
          <w:rFonts w:ascii="Times New Roman" w:hAnsi="Times New Roman" w:cs="Times New Roman"/>
          <w:sz w:val="28"/>
          <w:szCs w:val="28"/>
        </w:rPr>
        <w:t>技术进展、获奖情况、科研成果、知识产权等</w:t>
      </w:r>
      <w:r>
        <w:rPr>
          <w:rFonts w:hint="default" w:ascii="Times New Roman" w:hAnsi="Times New Roman" w:cs="Times New Roman"/>
          <w:sz w:val="28"/>
          <w:szCs w:val="28"/>
        </w:rPr>
        <w:t>说</w:t>
      </w:r>
      <w:r>
        <w:rPr>
          <w:rFonts w:ascii="Times New Roman" w:hAnsi="Times New Roman" w:cs="Times New Roman"/>
          <w:sz w:val="28"/>
          <w:szCs w:val="28"/>
        </w:rPr>
        <w:t>明材料。</w:t>
      </w:r>
    </w:p>
    <w:p>
      <w:pPr>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四、声明</w:t>
      </w:r>
    </w:p>
    <w:p>
      <w:pPr>
        <w:ind w:firstLine="560"/>
        <w:rPr>
          <w:rFonts w:ascii="Times New Roman" w:hAnsi="Times New Roman" w:eastAsia="黑体" w:cs="Times New Roman"/>
          <w:sz w:val="28"/>
          <w:szCs w:val="28"/>
        </w:rPr>
      </w:pPr>
      <w:r>
        <w:rPr>
          <w:rFonts w:ascii="Times New Roman" w:hAnsi="Times New Roman" w:eastAsia="黑体" w:cs="Times New Roman"/>
          <w:sz w:val="28"/>
          <w:szCs w:val="28"/>
        </w:rPr>
        <w:t>本单位承诺：上述信息准确，</w:t>
      </w:r>
      <w:r>
        <w:rPr>
          <w:rFonts w:hint="eastAsia" w:ascii="Times New Roman" w:hAnsi="Times New Roman" w:eastAsia="黑体" w:cs="Times New Roman"/>
          <w:sz w:val="28"/>
          <w:szCs w:val="28"/>
          <w:lang w:eastAsia="zh-CN"/>
        </w:rPr>
        <w:t>材料真实有效，所有承诺诚信可靠</w:t>
      </w:r>
      <w:r>
        <w:rPr>
          <w:rFonts w:ascii="Times New Roman" w:hAnsi="Times New Roman" w:eastAsia="黑体" w:cs="Times New Roman"/>
          <w:sz w:val="28"/>
          <w:szCs w:val="28"/>
        </w:rPr>
        <w:t>。如有失实，愿意承担相</w:t>
      </w:r>
      <w:r>
        <w:rPr>
          <w:rFonts w:hint="eastAsia" w:ascii="Times New Roman" w:hAnsi="Times New Roman" w:eastAsia="黑体" w:cs="Times New Roman"/>
          <w:sz w:val="28"/>
          <w:szCs w:val="28"/>
          <w:lang w:eastAsia="zh-CN"/>
        </w:rPr>
        <w:t>关</w:t>
      </w:r>
      <w:r>
        <w:rPr>
          <w:rFonts w:ascii="Times New Roman" w:hAnsi="Times New Roman" w:eastAsia="黑体" w:cs="Times New Roman"/>
          <w:sz w:val="28"/>
          <w:szCs w:val="28"/>
        </w:rPr>
        <w:t>责任。</w:t>
      </w:r>
    </w:p>
    <w:p>
      <w:pPr>
        <w:ind w:firstLine="640"/>
        <w:rPr>
          <w:rFonts w:ascii="Times New Roman" w:hAnsi="Times New Roman" w:cs="Times New Roman"/>
        </w:rPr>
      </w:pPr>
    </w:p>
    <w:p>
      <w:pPr>
        <w:ind w:firstLine="480"/>
        <w:jc w:val="center"/>
        <w:rPr>
          <w:rFonts w:ascii="Times New Roman" w:hAnsi="Times New Roman" w:eastAsia="仿宋_GB2312" w:cs="Times New Roman"/>
          <w:sz w:val="24"/>
        </w:rPr>
      </w:pPr>
      <w:r>
        <w:rPr>
          <w:rFonts w:ascii="Times New Roman" w:hAnsi="Times New Roman" w:cs="Times New Roman"/>
        </w:rPr>
        <w:t xml:space="preserve">            </w:t>
      </w:r>
    </w:p>
    <w:p>
      <w:pPr>
        <w:jc w:val="center"/>
        <w:rPr>
          <w:rFonts w:ascii="Times New Roman" w:hAnsi="Times New Roman" w:cs="Times New Roman"/>
          <w:sz w:val="28"/>
          <w:szCs w:val="28"/>
        </w:rPr>
      </w:pPr>
      <w:r>
        <w:rPr>
          <w:rFonts w:ascii="Times New Roman" w:hAnsi="Times New Roman" w:cs="Times New Roman"/>
          <w:sz w:val="28"/>
          <w:szCs w:val="28"/>
        </w:rPr>
        <w:t xml:space="preserve">                                              单位盖章                   </w:t>
      </w:r>
    </w:p>
    <w:p>
      <w:pPr>
        <w:jc w:val="right"/>
      </w:pPr>
      <w:r>
        <w:rPr>
          <w:rFonts w:ascii="Times New Roman" w:hAnsi="Times New Roman" w:cs="Times New Roman"/>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EDA63"/>
    <w:multiLevelType w:val="singleLevel"/>
    <w:tmpl w:val="3FFEDA6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97B3D6"/>
    <w:rsid w:val="BF97B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2022-08-05T10:42:00Z</dcterms:created>
  <dc:creator>kylin</dc:creator>
  <cp:lastModifiedBy>kylin</cp:lastModifiedBy>
  <dcterms:modified xsi:type="dcterms:W3CDTF">2022-08-05T10:42:43Z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