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34" w:type="dxa"/>
        <w:tblLayout w:type="fixed"/>
        <w:tblCellMar>
          <w:top w:w="0" w:type="dxa"/>
          <w:left w:w="108" w:type="dxa"/>
          <w:bottom w:w="0" w:type="dxa"/>
          <w:right w:w="108" w:type="dxa"/>
        </w:tblCellMar>
      </w:tblPr>
      <w:tblGrid>
        <w:gridCol w:w="2661"/>
      </w:tblGrid>
      <w:tr>
        <w:tblPrEx>
          <w:tblCellMar>
            <w:top w:w="0" w:type="dxa"/>
            <w:left w:w="108" w:type="dxa"/>
            <w:bottom w:w="0" w:type="dxa"/>
            <w:right w:w="108" w:type="dxa"/>
          </w:tblCellMar>
        </w:tblPrEx>
        <w:trPr>
          <w:trHeight w:val="1123" w:hRule="atLeast"/>
        </w:trPr>
        <w:tc>
          <w:tcPr>
            <w:tcW w:w="2661" w:type="dxa"/>
            <w:vAlign w:val="center"/>
          </w:tcPr>
          <w:p>
            <w:pPr>
              <w:spacing w:line="500" w:lineRule="exact"/>
              <w:rPr>
                <w:rFonts w:ascii="黑体" w:hAnsi="黑体" w:eastAsia="黑体" w:cs="楷体_GB2312"/>
                <w:sz w:val="28"/>
                <w:szCs w:val="28"/>
              </w:rPr>
            </w:pPr>
            <w:r>
              <w:rPr>
                <w:rFonts w:hint="eastAsia" w:ascii="黑体" w:hAnsi="黑体" w:eastAsia="黑体" w:cs="楷体_GB2312"/>
                <w:sz w:val="28"/>
                <w:szCs w:val="28"/>
              </w:rPr>
              <w:t>县十八届人大六次</w:t>
            </w:r>
          </w:p>
          <w:p>
            <w:pPr>
              <w:spacing w:line="500" w:lineRule="exact"/>
              <w:rPr>
                <w:rFonts w:ascii="黑体" w:hAnsi="黑体" w:eastAsia="黑体"/>
              </w:rPr>
            </w:pPr>
            <w:r>
              <w:rPr>
                <w:rFonts w:hint="eastAsia" w:ascii="黑体" w:hAnsi="黑体" w:eastAsia="黑体" w:cs="楷体_GB2312"/>
                <w:spacing w:val="20"/>
                <w:kern w:val="0"/>
                <w:sz w:val="28"/>
                <w:szCs w:val="28"/>
                <w:fitText w:val="2380" w:id="-594807040"/>
              </w:rPr>
              <w:t>会议文件（十七</w:t>
            </w:r>
            <w:r>
              <w:rPr>
                <w:rFonts w:hint="eastAsia" w:ascii="黑体" w:hAnsi="黑体" w:eastAsia="黑体" w:cs="楷体_GB2312"/>
                <w:spacing w:val="0"/>
                <w:kern w:val="0"/>
                <w:sz w:val="28"/>
                <w:szCs w:val="28"/>
                <w:fitText w:val="2380" w:id="-594807040"/>
              </w:rPr>
              <w:t>）</w:t>
            </w:r>
          </w:p>
        </w:tc>
      </w:tr>
    </w:tbl>
    <w:p>
      <w:pPr>
        <w:spacing w:after="0" w:line="500" w:lineRule="exact"/>
        <w:jc w:val="center"/>
        <w:rPr>
          <w:rFonts w:ascii="方正小标宋简体" w:hAnsi="Calibri" w:eastAsia="方正小标宋简体"/>
          <w:sz w:val="44"/>
          <w:szCs w:val="44"/>
        </w:rPr>
      </w:pPr>
    </w:p>
    <w:p>
      <w:pPr>
        <w:widowControl w:val="0"/>
        <w:snapToGrid/>
        <w:spacing w:after="0" w:line="600" w:lineRule="exact"/>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关于宁化县2025年财政预算执行情况</w:t>
      </w:r>
    </w:p>
    <w:p>
      <w:pPr>
        <w:widowControl w:val="0"/>
        <w:snapToGrid/>
        <w:spacing w:after="120" w:afterLines="50" w:line="600" w:lineRule="exact"/>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和2026年财政预算（草案）的报告</w:t>
      </w:r>
    </w:p>
    <w:p>
      <w:pPr>
        <w:widowControl w:val="0"/>
        <w:spacing w:after="0" w:line="600" w:lineRule="exact"/>
        <w:jc w:val="center"/>
        <w:rPr>
          <w:rFonts w:ascii="楷体_GB2312" w:hAnsi="楷体" w:eastAsia="楷体_GB2312" w:cs="楷体"/>
          <w:spacing w:val="-22"/>
          <w:sz w:val="32"/>
          <w:szCs w:val="32"/>
        </w:rPr>
      </w:pPr>
      <w:r>
        <w:rPr>
          <w:rFonts w:hint="eastAsia" w:ascii="楷体_GB2312" w:hAnsi="楷体" w:eastAsia="楷体_GB2312" w:cs="楷体"/>
          <w:spacing w:val="-22"/>
          <w:sz w:val="32"/>
          <w:szCs w:val="32"/>
        </w:rPr>
        <w:t>——202</w:t>
      </w:r>
      <w:r>
        <w:rPr>
          <w:rFonts w:ascii="楷体_GB2312" w:hAnsi="楷体" w:eastAsia="楷体_GB2312" w:cs="楷体"/>
          <w:spacing w:val="-22"/>
          <w:sz w:val="32"/>
          <w:szCs w:val="32"/>
        </w:rPr>
        <w:t>5</w:t>
      </w:r>
      <w:r>
        <w:rPr>
          <w:rFonts w:hint="eastAsia" w:ascii="楷体_GB2312" w:hAnsi="楷体" w:eastAsia="楷体_GB2312" w:cs="楷体"/>
          <w:spacing w:val="-22"/>
          <w:sz w:val="32"/>
          <w:szCs w:val="32"/>
        </w:rPr>
        <w:t>年12月</w:t>
      </w:r>
      <w:r>
        <w:rPr>
          <w:rFonts w:ascii="楷体_GB2312" w:hAnsi="楷体" w:eastAsia="楷体_GB2312" w:cs="楷体"/>
          <w:spacing w:val="-22"/>
          <w:sz w:val="32"/>
          <w:szCs w:val="32"/>
        </w:rPr>
        <w:t>2</w:t>
      </w:r>
      <w:r>
        <w:rPr>
          <w:rFonts w:hint="eastAsia" w:ascii="楷体_GB2312" w:hAnsi="楷体" w:eastAsia="楷体_GB2312" w:cs="楷体"/>
          <w:spacing w:val="-22"/>
          <w:sz w:val="32"/>
          <w:szCs w:val="32"/>
        </w:rPr>
        <w:t>4日在宁化县第十八届人民代表大会第六次会议上</w:t>
      </w:r>
    </w:p>
    <w:p>
      <w:pPr>
        <w:widowControl w:val="0"/>
        <w:snapToGrid/>
        <w:spacing w:after="120" w:afterLines="50" w:line="600" w:lineRule="exact"/>
        <w:jc w:val="center"/>
        <w:rPr>
          <w:rFonts w:ascii="楷体_GB2312" w:hAnsi="ˎ̥" w:eastAsia="楷体_GB2312" w:cs="宋体"/>
          <w:color w:val="000000"/>
          <w:sz w:val="32"/>
          <w:szCs w:val="32"/>
        </w:rPr>
      </w:pPr>
      <w:r>
        <w:rPr>
          <w:rFonts w:hint="eastAsia" w:ascii="楷体_GB2312" w:hAnsi="ˎ̥" w:eastAsia="楷体_GB2312" w:cs="宋体"/>
          <w:color w:val="000000"/>
          <w:sz w:val="32"/>
          <w:szCs w:val="32"/>
        </w:rPr>
        <w:t>宁化县财政局局长  张嫦珠</w:t>
      </w:r>
    </w:p>
    <w:p>
      <w:pPr>
        <w:pStyle w:val="2"/>
        <w:widowControl w:val="0"/>
        <w:spacing w:after="0" w:line="600" w:lineRule="exact"/>
        <w:ind w:firstLine="640"/>
        <w:jc w:val="both"/>
        <w:rPr>
          <w:rFonts w:hAnsi="楷体" w:cs="楷体"/>
          <w:szCs w:val="32"/>
        </w:rPr>
      </w:pPr>
    </w:p>
    <w:p>
      <w:pPr>
        <w:widowControl w:val="0"/>
        <w:spacing w:after="0" w:line="60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各位代表：</w:t>
      </w:r>
    </w:p>
    <w:p>
      <w:pPr>
        <w:widowControl w:val="0"/>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受宁化县人民政府委托，现就宁化县2025年财政预算执行情况和2026年财政预算（草案）作如下报告，请予审议,并请县政协委员和其他列席人员提出意见。</w:t>
      </w:r>
    </w:p>
    <w:p>
      <w:pPr>
        <w:widowControl w:val="0"/>
        <w:spacing w:after="0" w:line="600" w:lineRule="exact"/>
        <w:ind w:firstLine="640" w:firstLineChars="200"/>
        <w:jc w:val="both"/>
        <w:rPr>
          <w:rFonts w:ascii="黑体" w:hAnsi="黑体" w:eastAsia="黑体" w:cs="楷体"/>
          <w:sz w:val="32"/>
          <w:szCs w:val="32"/>
        </w:rPr>
      </w:pPr>
      <w:r>
        <w:rPr>
          <w:rFonts w:hint="eastAsia" w:ascii="黑体" w:hAnsi="黑体" w:eastAsia="黑体" w:cs="楷体"/>
          <w:sz w:val="32"/>
          <w:szCs w:val="32"/>
        </w:rPr>
        <w:t>一、2025年预算执行情况</w:t>
      </w:r>
    </w:p>
    <w:p>
      <w:pPr>
        <w:pStyle w:val="3"/>
        <w:widowControl w:val="0"/>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2025年是“十四五”规划收官之年。一年来，在县委的领导和县人大及其常委会的监督下，全县财政工作坚持以习近平新时代中国特色社会主义思想为指导，全面贯彻党的二十大和二十届历次全会以及习近平总书记在福建考察时的重要讲话精神，严格执行县十八届人大四次会议审查批准的预算，高效落实存量与增量政策，持续加强财源建设、严格财政管理、提升保障能力，财政运行总体平稳，有力保障了县委重大决策部署落地见效。</w:t>
      </w:r>
    </w:p>
    <w:p>
      <w:pPr>
        <w:pStyle w:val="2"/>
        <w:widowControl w:val="0"/>
        <w:spacing w:after="0" w:line="580" w:lineRule="exact"/>
        <w:ind w:firstLine="643"/>
        <w:jc w:val="both"/>
        <w:rPr>
          <w:rFonts w:hint="eastAsia" w:ascii="楷体_GB2312" w:hAnsi="楷体" w:eastAsia="楷体_GB2312" w:cs="楷体"/>
          <w:b/>
          <w:szCs w:val="32"/>
        </w:rPr>
      </w:pPr>
      <w:r>
        <w:rPr>
          <w:rFonts w:hint="eastAsia" w:ascii="楷体_GB2312" w:hAnsi="楷体" w:eastAsia="楷体_GB2312" w:cs="楷体"/>
          <w:b/>
          <w:szCs w:val="32"/>
        </w:rPr>
        <w:t>（一）2025年预算收支情况</w:t>
      </w:r>
    </w:p>
    <w:p>
      <w:pPr>
        <w:pStyle w:val="3"/>
        <w:widowControl w:val="0"/>
        <w:spacing w:after="0" w:line="58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1.一般公共预算。</w:t>
      </w:r>
      <w:r>
        <w:rPr>
          <w:rFonts w:hint="eastAsia" w:ascii="仿宋_GB2312" w:hAnsi="楷体" w:eastAsia="仿宋_GB2312" w:cs="楷体"/>
          <w:sz w:val="32"/>
          <w:szCs w:val="32"/>
        </w:rPr>
        <w:t>全年县本级一般公共预算收入预计完成80018万元，比上年增长0.07%;加上级补助收入188892万元、上年结余18849万元、调入资金34369万元、动用预算稳定调节基金10000万元、债务转贷收入44669万元，收入总计376797万元。一般公共预算支出预计321220万元，加上解支出4092万元、债务还本支出34142万元，支出总计359454万元。收支相抵，年终结余17343万元，结转下年使用。</w:t>
      </w:r>
    </w:p>
    <w:p>
      <w:pPr>
        <w:widowControl w:val="0"/>
        <w:pBdr>
          <w:bottom w:val="single" w:color="FFFFFF" w:sz="4" w:space="31"/>
        </w:pBdr>
        <w:spacing w:after="0" w:line="58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预算执行中，始终将“三保”支出放在首位，优先保障“三保”资金需求，因保障数量和标准变动，全年预计“三保”支出完成150450万元，其中：保基本民生支出58044万元、保工资支出90017万元、保运转支出2389万元，切实兜牢全县“三保”支出风险底线。</w:t>
      </w:r>
    </w:p>
    <w:p>
      <w:pPr>
        <w:widowControl w:val="0"/>
        <w:pBdr>
          <w:bottom w:val="single" w:color="FFFFFF" w:sz="4" w:space="31"/>
        </w:pBdr>
        <w:spacing w:after="0" w:line="58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2.政府性基金预算。</w:t>
      </w:r>
      <w:r>
        <w:rPr>
          <w:rFonts w:hint="eastAsia" w:ascii="仿宋_GB2312" w:hAnsi="楷体" w:eastAsia="仿宋_GB2312" w:cs="楷体"/>
          <w:sz w:val="32"/>
          <w:szCs w:val="32"/>
        </w:rPr>
        <w:t>全年政府性基金预算收入预计完成5367万元，比上年增长0.96%；加上级补助收入23365万元、上年结余19670万元、调入资金16002万元、债务转贷收入37262万元，收入总计101666万元。政府性基金预算支出预计60280万元，加债务还本支出18190万元，支出总计78470万元。收支相抵，年终结余23196万元，结转下年使用。</w:t>
      </w:r>
    </w:p>
    <w:p>
      <w:pPr>
        <w:widowControl w:val="0"/>
        <w:pBdr>
          <w:bottom w:val="single" w:color="FFFFFF" w:sz="4" w:space="31"/>
        </w:pBdr>
        <w:spacing w:after="0" w:line="58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3.国有资本经营预算。</w:t>
      </w:r>
      <w:r>
        <w:rPr>
          <w:rFonts w:hint="eastAsia" w:ascii="仿宋_GB2312" w:hAnsi="楷体" w:eastAsia="仿宋_GB2312" w:cs="楷体"/>
          <w:sz w:val="32"/>
          <w:szCs w:val="32"/>
        </w:rPr>
        <w:t>全年国有资本经营预算收入预计完成27万元，比上年增长22.73%；加上级补助收入11万元，收入总计38万元。国有资本经营预算支出预计11万元，加调出资金27万元，支出总计38万元。收支平衡。</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4.社会保险基金预算。</w:t>
      </w:r>
      <w:r>
        <w:rPr>
          <w:rFonts w:hint="eastAsia" w:ascii="仿宋_GB2312" w:hAnsi="楷体" w:eastAsia="仿宋_GB2312" w:cs="楷体"/>
          <w:sz w:val="32"/>
          <w:szCs w:val="32"/>
        </w:rPr>
        <w:t>全年社会保险基金预算收入预计完成50792万元，比上年增长1.78%；加上年结余43115万元，收入总计93907万元。社会保险基金预算支出预计49214万元。收支相抵，滚存结余44693万元，结转下年使用。</w:t>
      </w:r>
    </w:p>
    <w:p>
      <w:pPr>
        <w:widowControl w:val="0"/>
        <w:pBdr>
          <w:bottom w:val="single" w:color="FFFFFF" w:sz="4" w:space="31"/>
        </w:pBdr>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以上收支数据为预计数，在年终上下级结算和预算执行中还会有少量变动，待2025年度决算结束后，再按有关程序和规定，报请县人大常委会批准。</w:t>
      </w:r>
    </w:p>
    <w:p>
      <w:pPr>
        <w:widowControl w:val="0"/>
        <w:pBdr>
          <w:bottom w:val="single" w:color="FFFFFF" w:sz="4" w:space="31"/>
        </w:pBdr>
        <w:spacing w:after="0" w:line="600" w:lineRule="exact"/>
        <w:ind w:firstLine="643" w:firstLineChars="200"/>
        <w:jc w:val="both"/>
        <w:rPr>
          <w:rFonts w:ascii="楷体_GB2312" w:hAnsi="楷体" w:eastAsia="楷体_GB2312" w:cs="楷体"/>
          <w:b/>
          <w:sz w:val="32"/>
          <w:szCs w:val="32"/>
        </w:rPr>
      </w:pPr>
      <w:r>
        <w:rPr>
          <w:rFonts w:hint="eastAsia" w:ascii="楷体_GB2312" w:hAnsi="楷体" w:eastAsia="楷体_GB2312" w:cs="楷体"/>
          <w:b/>
          <w:sz w:val="32"/>
          <w:szCs w:val="32"/>
        </w:rPr>
        <w:t>（二）2025年地方政府债务情况</w:t>
      </w:r>
    </w:p>
    <w:p>
      <w:pPr>
        <w:widowControl w:val="0"/>
        <w:pBdr>
          <w:bottom w:val="single" w:color="FFFFFF" w:sz="4" w:space="31"/>
        </w:pBdr>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截至2025年12月，全县地方政府债务限额684393万元，其中：一般债务限额354094万元、专项债务限额330299万元；全县地方政府债务余额为650374万元，其中：一般债务</w:t>
      </w:r>
      <w:r>
        <w:rPr>
          <w:rFonts w:hint="eastAsia" w:ascii="仿宋_GB2312" w:hAnsi="楷体" w:eastAsia="仿宋_GB2312" w:cs="楷体"/>
          <w:sz w:val="32"/>
          <w:szCs w:val="32"/>
          <w:lang w:eastAsia="zh-CN"/>
        </w:rPr>
        <w:t>余额</w:t>
      </w:r>
      <w:r>
        <w:rPr>
          <w:rFonts w:hint="eastAsia" w:ascii="仿宋_GB2312" w:hAnsi="楷体" w:eastAsia="仿宋_GB2312" w:cs="楷体"/>
          <w:sz w:val="32"/>
          <w:szCs w:val="32"/>
        </w:rPr>
        <w:t>323667万元、专项债务</w:t>
      </w:r>
      <w:r>
        <w:rPr>
          <w:rFonts w:hint="eastAsia" w:ascii="仿宋_GB2312" w:hAnsi="楷体" w:eastAsia="仿宋_GB2312" w:cs="楷体"/>
          <w:sz w:val="32"/>
          <w:szCs w:val="32"/>
          <w:lang w:eastAsia="zh-CN"/>
        </w:rPr>
        <w:t>余额</w:t>
      </w:r>
      <w:r>
        <w:rPr>
          <w:rFonts w:hint="eastAsia" w:ascii="仿宋_GB2312" w:hAnsi="楷体" w:eastAsia="仿宋_GB2312" w:cs="楷体"/>
          <w:sz w:val="32"/>
          <w:szCs w:val="32"/>
        </w:rPr>
        <w:t>326707万元，均未超过债务限额。</w:t>
      </w:r>
    </w:p>
    <w:p>
      <w:pPr>
        <w:widowControl w:val="0"/>
        <w:pBdr>
          <w:bottom w:val="single" w:color="FFFFFF" w:sz="4" w:space="31"/>
        </w:pBdr>
        <w:spacing w:after="0" w:line="600" w:lineRule="exact"/>
        <w:ind w:firstLine="643" w:firstLineChars="200"/>
        <w:jc w:val="both"/>
        <w:rPr>
          <w:rFonts w:ascii="楷体_GB2312" w:hAnsi="楷体" w:eastAsia="楷体_GB2312" w:cs="楷体"/>
          <w:b/>
          <w:sz w:val="32"/>
          <w:szCs w:val="32"/>
        </w:rPr>
      </w:pPr>
      <w:r>
        <w:rPr>
          <w:rFonts w:hint="eastAsia" w:ascii="楷体_GB2312" w:hAnsi="楷体" w:eastAsia="楷体_GB2312" w:cs="楷体"/>
          <w:b/>
          <w:sz w:val="32"/>
          <w:szCs w:val="32"/>
        </w:rPr>
        <w:t>（三）财政工作落实情况</w:t>
      </w:r>
    </w:p>
    <w:p>
      <w:pPr>
        <w:widowControl w:val="0"/>
        <w:pBdr>
          <w:bottom w:val="single" w:color="FFFFFF" w:sz="4" w:space="31"/>
        </w:pBdr>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2025年，我县财政工作认真落实县十八届人大四次会议有关决议和县人大常委会的要求，持续深化拓展“三争”行动，深入推动“四领一促”工作，做好生财、聚财、理财文章，落实政府“过紧日子”要求，强化财政收入组织工作，兜牢“三保”底线，推动积极的财政政策提质增效，经济运行总体平稳。</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1.开源节流稳运行，持续夯实财力保障基础。</w:t>
      </w:r>
      <w:r>
        <w:rPr>
          <w:rFonts w:hint="eastAsia" w:ascii="仿宋_GB2312" w:hAnsi="楷体" w:eastAsia="仿宋_GB2312" w:cs="楷体"/>
          <w:sz w:val="32"/>
          <w:szCs w:val="32"/>
        </w:rPr>
        <w:t>紧紧围绕增收节支这一主题，强化部门联动、齐心协力，持续加大财政收支统筹力度。</w:t>
      </w:r>
      <w:r>
        <w:rPr>
          <w:rFonts w:hint="eastAsia" w:ascii="仿宋_GB2312" w:hAnsi="楷体" w:eastAsia="仿宋_GB2312" w:cs="楷体"/>
          <w:b/>
          <w:sz w:val="32"/>
          <w:szCs w:val="32"/>
        </w:rPr>
        <w:t>在收入方面“深挖潜、勤开源”。一是</w:t>
      </w:r>
      <w:r>
        <w:rPr>
          <w:rFonts w:hint="eastAsia" w:ascii="仿宋_GB2312" w:hAnsi="楷体" w:eastAsia="仿宋_GB2312" w:cs="楷体"/>
          <w:sz w:val="32"/>
          <w:szCs w:val="32"/>
        </w:rPr>
        <w:t>构建财税部门“协同联动”工作机制，积极落实税收征管主体责任，依法依规加强收入征管，推动地方收入“挖潜增收、量质齐升”，2025年全年地方级税收入库5亿元以上，税性比61%以上。</w:t>
      </w:r>
      <w:r>
        <w:rPr>
          <w:rFonts w:hint="eastAsia" w:ascii="仿宋_GB2312" w:hAnsi="楷体" w:eastAsia="仿宋_GB2312" w:cs="楷体"/>
          <w:b/>
          <w:sz w:val="32"/>
          <w:szCs w:val="32"/>
        </w:rPr>
        <w:t>二是</w:t>
      </w:r>
      <w:r>
        <w:rPr>
          <w:rFonts w:hint="eastAsia" w:ascii="仿宋_GB2312" w:hAnsi="楷体" w:eastAsia="仿宋_GB2312" w:cs="楷体"/>
          <w:sz w:val="32"/>
          <w:szCs w:val="32"/>
        </w:rPr>
        <w:t>开展全县行政事业单位资产清查核实工作，进一步促进行政事业单位资产规范管理，优化资产配置，加强财政资源统筹，盘活闲置低效国有资产资源，提高国有资产资源效益。全年实现盘活资产资源收入超8000万元，扎实推动全年增收。</w:t>
      </w:r>
      <w:r>
        <w:rPr>
          <w:rFonts w:hint="eastAsia" w:ascii="仿宋_GB2312" w:hAnsi="楷体" w:eastAsia="仿宋_GB2312" w:cs="楷体"/>
          <w:b/>
          <w:sz w:val="32"/>
          <w:szCs w:val="32"/>
        </w:rPr>
        <w:t>三是</w:t>
      </w:r>
      <w:r>
        <w:rPr>
          <w:rFonts w:hint="eastAsia" w:ascii="仿宋_GB2312" w:hAnsi="楷体" w:eastAsia="仿宋_GB2312" w:cs="楷体"/>
          <w:sz w:val="32"/>
          <w:szCs w:val="32"/>
        </w:rPr>
        <w:t>用好举债空间。2025年我县共争取专项债券</w:t>
      </w:r>
      <w:r>
        <w:rPr>
          <w:rFonts w:hint="eastAsia" w:ascii="仿宋_GB2312" w:hAnsi="楷体" w:eastAsia="仿宋_GB2312" w:cs="楷体"/>
          <w:sz w:val="32"/>
          <w:szCs w:val="32"/>
          <w:lang w:eastAsia="zh-CN"/>
        </w:rPr>
        <w:t>资金</w:t>
      </w:r>
      <w:r>
        <w:rPr>
          <w:rFonts w:hint="eastAsia" w:ascii="仿宋_GB2312" w:hAnsi="楷体" w:eastAsia="仿宋_GB2312" w:cs="楷体"/>
          <w:sz w:val="32"/>
          <w:szCs w:val="32"/>
          <w:lang w:val="en-US" w:eastAsia="zh-CN"/>
        </w:rPr>
        <w:t>22691</w:t>
      </w:r>
      <w:r>
        <w:rPr>
          <w:rFonts w:hint="eastAsia" w:ascii="仿宋_GB2312" w:hAnsi="楷体" w:eastAsia="仿宋_GB2312" w:cs="楷体"/>
          <w:sz w:val="32"/>
          <w:szCs w:val="32"/>
        </w:rPr>
        <w:t>万元、一般债券14003万元，争取再融资债券45237万元，有效缓解我县基本建设资金需求和偿债压力。</w:t>
      </w:r>
      <w:r>
        <w:rPr>
          <w:rFonts w:hint="eastAsia" w:ascii="仿宋_GB2312" w:hAnsi="楷体" w:eastAsia="仿宋_GB2312" w:cs="楷体"/>
          <w:b/>
          <w:sz w:val="32"/>
          <w:szCs w:val="32"/>
        </w:rPr>
        <w:t>四是</w:t>
      </w:r>
      <w:r>
        <w:rPr>
          <w:rFonts w:hint="eastAsia" w:ascii="仿宋_GB2312" w:hAnsi="楷体" w:eastAsia="仿宋_GB2312" w:cs="楷体"/>
          <w:sz w:val="32"/>
          <w:szCs w:val="32"/>
        </w:rPr>
        <w:t>采取年终考核和正向激励模式，鼓励各县直单位及乡镇增强项目谋划质效，争取更多资金支持。截至12月，全县共争取各类上级转移支付补助资金212268万元，同比增长12.49%，向上争取资金的总量位居全市前列。</w:t>
      </w:r>
      <w:r>
        <w:rPr>
          <w:rFonts w:hint="eastAsia" w:ascii="仿宋_GB2312" w:hAnsi="楷体" w:eastAsia="仿宋_GB2312" w:cs="楷体"/>
          <w:b/>
          <w:sz w:val="32"/>
          <w:szCs w:val="32"/>
        </w:rPr>
        <w:t>在支出方面“严控制、紧日子”。一是</w:t>
      </w:r>
      <w:r>
        <w:rPr>
          <w:rFonts w:hint="eastAsia" w:ascii="仿宋_GB2312" w:hAnsi="楷体" w:eastAsia="仿宋_GB2312" w:cs="楷体"/>
          <w:sz w:val="32"/>
          <w:szCs w:val="32"/>
        </w:rPr>
        <w:t>落实过“紧日子”要求，从严管控一般性支出，“三公”经费支出只减不增。实行县本级政府性基金和调入资金以收定支“双控”管理机制，合理安排资金支出顺序，优先保障紧急、必要的支出。</w:t>
      </w:r>
      <w:r>
        <w:rPr>
          <w:rFonts w:hint="eastAsia" w:ascii="仿宋_GB2312" w:hAnsi="楷体" w:eastAsia="仿宋_GB2312" w:cs="楷体"/>
          <w:b/>
          <w:sz w:val="32"/>
          <w:szCs w:val="32"/>
        </w:rPr>
        <w:t>二是</w:t>
      </w:r>
      <w:r>
        <w:rPr>
          <w:rFonts w:hint="eastAsia" w:ascii="仿宋_GB2312" w:hAnsi="楷体" w:eastAsia="仿宋_GB2312" w:cs="楷体"/>
          <w:sz w:val="32"/>
          <w:szCs w:val="32"/>
        </w:rPr>
        <w:t>实行财政结转结余资金定期清理及实有资金账户银行存款定期摸底工作制度，有效清理盘活财政存量资金。全年共清理盘活存量资金2740万元，优先用于保障“三保”和民生领域等重点支出。</w:t>
      </w:r>
      <w:r>
        <w:rPr>
          <w:rFonts w:hint="eastAsia" w:ascii="仿宋_GB2312" w:hAnsi="楷体" w:eastAsia="仿宋_GB2312" w:cs="楷体"/>
          <w:b/>
          <w:sz w:val="32"/>
          <w:szCs w:val="32"/>
        </w:rPr>
        <w:t>三是</w:t>
      </w:r>
      <w:r>
        <w:rPr>
          <w:rFonts w:hint="eastAsia" w:ascii="仿宋_GB2312" w:hAnsi="楷体" w:eastAsia="仿宋_GB2312" w:cs="楷体"/>
          <w:sz w:val="32"/>
          <w:szCs w:val="32"/>
        </w:rPr>
        <w:t>坚持“不唯增不唯减只唯实”的原则，通过对项目预算的规范性、合理性进行评审，剔除不实预算、核减虚高造价，从源头上确保财政性项目资金使用精准、高效。2025年共完成工程项目预算评审65个，送审造价58649万元，审定造价55721万元，审减造价2928万元，平均审减率4.99%。</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2.以人为本增福祉，持续提升公共服务质量。</w:t>
      </w:r>
      <w:r>
        <w:rPr>
          <w:rFonts w:hint="eastAsia" w:ascii="仿宋_GB2312" w:hAnsi="楷体" w:eastAsia="仿宋_GB2312" w:cs="楷体"/>
          <w:sz w:val="32"/>
          <w:szCs w:val="32"/>
        </w:rPr>
        <w:t>坚持把财政资金优先用于经济社会发展亟需领域，2025年全县预计民生支出255463万元，占一般公共预算支出的79.53%，兜牢兜实民生保障底线。</w:t>
      </w:r>
      <w:r>
        <w:rPr>
          <w:rFonts w:hint="eastAsia" w:ascii="仿宋_GB2312" w:hAnsi="楷体" w:eastAsia="仿宋_GB2312" w:cs="楷体"/>
          <w:b/>
          <w:sz w:val="32"/>
          <w:szCs w:val="32"/>
        </w:rPr>
        <w:t>在教育强县方面“强队伍、补短板”。一是</w:t>
      </w:r>
      <w:r>
        <w:rPr>
          <w:rFonts w:hint="eastAsia" w:ascii="仿宋_GB2312" w:hAnsi="楷体" w:eastAsia="仿宋_GB2312" w:cs="楷体"/>
          <w:sz w:val="32"/>
          <w:szCs w:val="32"/>
        </w:rPr>
        <w:t>全力保障教育投入。严格落实教育支出“两个只增不减”，全年一般公共预算教育领域投入79355万元，其中人员类及运转类经费72723万元，学前教育幼儿资助、普通高中助学金、营养餐改善等政策性配套资金477万元，切实保障教育优先发展地位。</w:t>
      </w:r>
      <w:r>
        <w:rPr>
          <w:rFonts w:hint="eastAsia" w:ascii="仿宋_GB2312" w:hAnsi="楷体" w:eastAsia="仿宋_GB2312" w:cs="楷体"/>
          <w:b/>
          <w:sz w:val="32"/>
          <w:szCs w:val="32"/>
        </w:rPr>
        <w:t>二是</w:t>
      </w:r>
      <w:r>
        <w:rPr>
          <w:rFonts w:hint="eastAsia" w:ascii="仿宋_GB2312" w:hAnsi="楷体" w:eastAsia="仿宋_GB2312" w:cs="楷体"/>
          <w:sz w:val="32"/>
          <w:szCs w:val="32"/>
        </w:rPr>
        <w:t>强化教师队伍建设。统筹教师继续教育、新教师招聘和职称评审等工作经费639万元，提升教师专业素养，逐步壮大优质教师队伍；统筹名师名校长、学科带头人、优秀教师、退休返聘、巡回支教志愿者等补助1206万元，推动教育创新，促进教育质量提升。</w:t>
      </w:r>
      <w:r>
        <w:rPr>
          <w:rFonts w:hint="eastAsia" w:ascii="仿宋_GB2312" w:hAnsi="楷体" w:eastAsia="仿宋_GB2312" w:cs="楷体"/>
          <w:b/>
          <w:sz w:val="32"/>
          <w:szCs w:val="32"/>
        </w:rPr>
        <w:t>三是</w:t>
      </w:r>
      <w:r>
        <w:rPr>
          <w:rFonts w:hint="eastAsia" w:ascii="仿宋_GB2312" w:hAnsi="楷体" w:eastAsia="仿宋_GB2312" w:cs="楷体"/>
          <w:sz w:val="32"/>
          <w:szCs w:val="32"/>
        </w:rPr>
        <w:t>严格落实学前免保育教育费政策。对标国家及省市政策要求，自2025年秋季学期起，逐步免除学前教育保育教育费。为确保政策精准落地，2025年共安排233万元用于免除学前一年在园儿童保育教育费，惠及学生2105人，有效降低家庭教育成本，推进学前教育普及普惠安全优质发展。</w:t>
      </w:r>
      <w:r>
        <w:rPr>
          <w:rFonts w:hint="eastAsia" w:ascii="仿宋_GB2312" w:hAnsi="楷体" w:eastAsia="仿宋_GB2312" w:cs="楷体"/>
          <w:b/>
          <w:sz w:val="32"/>
          <w:szCs w:val="32"/>
        </w:rPr>
        <w:t>四是</w:t>
      </w:r>
      <w:r>
        <w:rPr>
          <w:rFonts w:hint="eastAsia" w:ascii="仿宋_GB2312" w:hAnsi="楷体" w:eastAsia="仿宋_GB2312" w:cs="楷体"/>
          <w:sz w:val="32"/>
          <w:szCs w:val="32"/>
        </w:rPr>
        <w:t>持续扩大优质教育资源供给。统筹安排地方政府一般债券资金5220万元</w:t>
      </w:r>
      <w:r>
        <w:rPr>
          <w:rFonts w:hint="eastAsia" w:ascii="仿宋_GB2312" w:hAnsi="楷体" w:eastAsia="仿宋_GB2312" w:cs="楷体"/>
          <w:sz w:val="32"/>
          <w:szCs w:val="32"/>
          <w:lang w:val="en-US" w:eastAsia="zh-CN"/>
        </w:rPr>
        <w:t>,</w:t>
      </w:r>
      <w:r>
        <w:rPr>
          <w:rFonts w:hint="eastAsia" w:ascii="仿宋_GB2312" w:hAnsi="楷体" w:eastAsia="仿宋_GB2312" w:cs="楷体"/>
          <w:sz w:val="32"/>
          <w:szCs w:val="32"/>
        </w:rPr>
        <w:t>用于支持翠城实验中学、一中图书馆综合楼建设、江下小学建设、安远中心学校扩容建设等项目；安排义务教育薄弱环节改善与能力提升和校舍安全补助资金735万元，用于宁化六中、名远小学、安远中心学校改造项目，进一步优化教育资源布局，着力构建优质均衡的基本公共教育服务体系。</w:t>
      </w:r>
      <w:r>
        <w:rPr>
          <w:rFonts w:hint="eastAsia" w:ascii="仿宋_GB2312" w:hAnsi="楷体" w:eastAsia="仿宋_GB2312" w:cs="楷体"/>
          <w:b/>
          <w:sz w:val="32"/>
          <w:szCs w:val="32"/>
        </w:rPr>
        <w:t>在卫生健康方面“提标准、优布局”。一是</w:t>
      </w:r>
      <w:r>
        <w:rPr>
          <w:rFonts w:hint="eastAsia" w:ascii="仿宋_GB2312" w:hAnsi="楷体" w:eastAsia="仿宋_GB2312" w:cs="楷体"/>
          <w:sz w:val="32"/>
          <w:szCs w:val="32"/>
        </w:rPr>
        <w:t>加大公共卫生服务投入。基本公共卫生服务经费补助标准由人均94元提高至99元，全年共拨付基本公共卫生服务方面资金2816万元。</w:t>
      </w:r>
      <w:r>
        <w:rPr>
          <w:rFonts w:hint="eastAsia" w:ascii="仿宋_GB2312" w:hAnsi="楷体" w:eastAsia="仿宋_GB2312" w:cs="楷体"/>
          <w:b/>
          <w:sz w:val="32"/>
          <w:szCs w:val="32"/>
        </w:rPr>
        <w:t>二是</w:t>
      </w:r>
      <w:r>
        <w:rPr>
          <w:rFonts w:hint="eastAsia" w:ascii="仿宋_GB2312" w:hAnsi="楷体" w:eastAsia="仿宋_GB2312" w:cs="楷体"/>
          <w:sz w:val="32"/>
          <w:szCs w:val="32"/>
        </w:rPr>
        <w:t>严格落实医疗保险政策。城乡居民基本医疗保险政府补助标准由每人670元提高至700元，全年共拨付城乡居民医疗保险县级配套3542万元，为资助计生对象和残疾人对象代缴696万元。</w:t>
      </w:r>
      <w:r>
        <w:rPr>
          <w:rFonts w:hint="eastAsia" w:ascii="仿宋_GB2312" w:hAnsi="楷体" w:eastAsia="仿宋_GB2312" w:cs="楷体"/>
          <w:b/>
          <w:sz w:val="32"/>
          <w:szCs w:val="32"/>
        </w:rPr>
        <w:t>三是</w:t>
      </w:r>
      <w:r>
        <w:rPr>
          <w:rFonts w:hint="eastAsia" w:ascii="仿宋_GB2312" w:hAnsi="楷体" w:eastAsia="仿宋_GB2312" w:cs="楷体"/>
          <w:sz w:val="32"/>
          <w:szCs w:val="32"/>
        </w:rPr>
        <w:t>不断优化卫生健康服务。持续深化以公益性为导向的公立医院改革，统筹安排资金895万元用于支持公立医院高质量发展项目，加快县属公立医院发展。</w:t>
      </w:r>
      <w:r>
        <w:rPr>
          <w:rFonts w:hint="eastAsia" w:ascii="仿宋_GB2312" w:hAnsi="楷体" w:eastAsia="仿宋_GB2312" w:cs="楷体"/>
          <w:b/>
          <w:sz w:val="32"/>
          <w:szCs w:val="32"/>
        </w:rPr>
        <w:t>四是</w:t>
      </w:r>
      <w:r>
        <w:rPr>
          <w:rFonts w:hint="eastAsia" w:ascii="仿宋_GB2312" w:hAnsi="楷体" w:eastAsia="仿宋_GB2312" w:cs="楷体"/>
          <w:sz w:val="32"/>
          <w:szCs w:val="32"/>
        </w:rPr>
        <w:t>逐步优化基层医疗布局。争取超长期特别国债资金1592万元，用于三明市县域医共体医疗设备更新建设项目，调整县域医疗资源配置，加强基层医疗服务能力建设。</w:t>
      </w:r>
      <w:r>
        <w:rPr>
          <w:rFonts w:hint="eastAsia" w:ascii="仿宋_GB2312" w:hAnsi="楷体" w:eastAsia="仿宋_GB2312" w:cs="楷体"/>
          <w:b/>
          <w:sz w:val="32"/>
          <w:szCs w:val="32"/>
        </w:rPr>
        <w:t>在社会保障方面“兜底线、解疑难”。一是</w:t>
      </w:r>
      <w:r>
        <w:rPr>
          <w:rFonts w:hint="eastAsia" w:ascii="仿宋_GB2312" w:hAnsi="楷体" w:eastAsia="仿宋_GB2312" w:cs="楷体"/>
          <w:sz w:val="32"/>
          <w:szCs w:val="32"/>
        </w:rPr>
        <w:t>全力做好重点人群服务保障工作。聚焦高校毕业生、残疾人、城乡低保、特困、孤儿、优抚对象等重点人群，确保各项政策落地生效。2025年共拨付资金6723万元，用于困难群众救助、残疾人两项补贴发放、就业补助、退役安置等方面，做好特殊人群基本生活兜底保障，支持劳动者“找饭碗”与“端好碗”，推动实现更加充分的就业。拨付育儿补贴2129万元，为育儿家庭缓解抚养压力，稳定生育水平，增强社会福祉。</w:t>
      </w:r>
      <w:r>
        <w:rPr>
          <w:rFonts w:hint="eastAsia" w:ascii="仿宋_GB2312" w:hAnsi="楷体" w:eastAsia="仿宋_GB2312" w:cs="楷体"/>
          <w:b/>
          <w:sz w:val="32"/>
          <w:szCs w:val="32"/>
        </w:rPr>
        <w:t>二是</w:t>
      </w:r>
      <w:r>
        <w:rPr>
          <w:rFonts w:hint="eastAsia" w:ascii="仿宋_GB2312" w:hAnsi="楷体" w:eastAsia="仿宋_GB2312" w:cs="楷体"/>
          <w:sz w:val="32"/>
          <w:szCs w:val="32"/>
        </w:rPr>
        <w:t>助力深化养老服务改革。认真落实基本养老保险金调标政策，确保养老金按时足额发放。统筹各类资金1055万元，用于支持老年人养护中心建设、农村区域养老服务中心建设和运营、居家和社区基本养老服务提升行动、新建示范性长者食堂、嵌入式养老服务机构等，夯实养老服务基础保障，推动实现老有所养、老有所为、老有所乐，让“银发生活”更安心。</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3.集聚财力强保障，持续推进城乡协调发展。</w:t>
      </w:r>
      <w:r>
        <w:rPr>
          <w:rFonts w:hint="eastAsia" w:ascii="仿宋_GB2312" w:hAnsi="楷体" w:eastAsia="仿宋_GB2312" w:cs="楷体"/>
          <w:sz w:val="32"/>
          <w:szCs w:val="32"/>
        </w:rPr>
        <w:t>践行绿色、全面发展理念，逐步提升城乡功能品质，着力建设舒适、便利、宜居城乡，推动城乡高质量发展。</w:t>
      </w:r>
      <w:r>
        <w:rPr>
          <w:rFonts w:hint="eastAsia" w:ascii="仿宋_GB2312" w:hAnsi="楷体" w:eastAsia="仿宋_GB2312" w:cs="楷体"/>
          <w:b/>
          <w:sz w:val="32"/>
          <w:szCs w:val="32"/>
        </w:rPr>
        <w:t>在城乡经济方面“扩内需、稳增长”。一是</w:t>
      </w:r>
      <w:r>
        <w:rPr>
          <w:rFonts w:hint="eastAsia" w:ascii="仿宋_GB2312" w:hAnsi="楷体" w:eastAsia="仿宋_GB2312" w:cs="楷体"/>
          <w:sz w:val="32"/>
          <w:szCs w:val="32"/>
        </w:rPr>
        <w:t>充分发挥“财政+金融”政策作用。2025年引导金融机构为各类创业人员和小微企业发放贷款59笔，贷出金额1401万元，提高金融助企实效。大力支持园区建设，统筹专债资金3000万元，用于开发区基础设施建设，加强开发区各类园区提升改造，激发内生动力。落实技改和奖励政策，共兑现各类奖励资金和扶持资金392万元，激发企业创新活力和发展动力。</w:t>
      </w:r>
      <w:r>
        <w:rPr>
          <w:rFonts w:hint="eastAsia" w:ascii="仿宋_GB2312" w:hAnsi="楷体" w:eastAsia="仿宋_GB2312" w:cs="楷体"/>
          <w:b/>
          <w:sz w:val="32"/>
          <w:szCs w:val="32"/>
        </w:rPr>
        <w:t>二是</w:t>
      </w:r>
      <w:r>
        <w:rPr>
          <w:rFonts w:ascii="仿宋_GB2312" w:hAnsi="楷体" w:eastAsia="仿宋_GB2312" w:cs="楷体"/>
          <w:sz w:val="32"/>
          <w:szCs w:val="32"/>
        </w:rPr>
        <w:t>持续提振</w:t>
      </w:r>
      <w:r>
        <w:rPr>
          <w:rFonts w:hint="eastAsia" w:ascii="仿宋_GB2312" w:hAnsi="楷体" w:eastAsia="仿宋_GB2312" w:cs="楷体"/>
          <w:sz w:val="32"/>
          <w:szCs w:val="32"/>
        </w:rPr>
        <w:t>消费品</w:t>
      </w:r>
      <w:r>
        <w:rPr>
          <w:rFonts w:ascii="仿宋_GB2312" w:hAnsi="楷体" w:eastAsia="仿宋_GB2312" w:cs="楷体"/>
          <w:sz w:val="32"/>
          <w:szCs w:val="32"/>
        </w:rPr>
        <w:t>消费需求</w:t>
      </w:r>
      <w:r>
        <w:rPr>
          <w:rFonts w:hint="eastAsia" w:ascii="仿宋_GB2312" w:hAnsi="楷体" w:eastAsia="仿宋_GB2312" w:cs="楷体"/>
          <w:sz w:val="32"/>
          <w:szCs w:val="32"/>
        </w:rPr>
        <w:t>。统筹资金100万元用于实施补贴惠民活动，面向合法合规的零售企业、餐饮企业发放消费券，持续释放消费潜力。</w:t>
      </w:r>
      <w:r>
        <w:rPr>
          <w:rFonts w:ascii="仿宋_GB2312" w:hAnsi="楷体" w:eastAsia="仿宋_GB2312" w:cs="楷体"/>
          <w:sz w:val="32"/>
          <w:szCs w:val="32"/>
        </w:rPr>
        <w:t>对开展“八闽美食嘉年华”等餐饮消费系列活动的部门或乡镇，给予单场活动不超过50%、最高不超过20万元</w:t>
      </w:r>
      <w:r>
        <w:rPr>
          <w:rFonts w:hint="eastAsia" w:ascii="仿宋_GB2312" w:hAnsi="楷体" w:eastAsia="仿宋_GB2312" w:cs="楷体"/>
          <w:sz w:val="32"/>
          <w:szCs w:val="32"/>
        </w:rPr>
        <w:t>的</w:t>
      </w:r>
      <w:r>
        <w:rPr>
          <w:rFonts w:ascii="仿宋_GB2312" w:hAnsi="楷体" w:eastAsia="仿宋_GB2312" w:cs="楷体"/>
          <w:sz w:val="32"/>
          <w:szCs w:val="32"/>
        </w:rPr>
        <w:t>补助（含市级补助）</w:t>
      </w:r>
      <w:r>
        <w:rPr>
          <w:rFonts w:hint="eastAsia" w:ascii="仿宋_GB2312" w:hAnsi="楷体" w:eastAsia="仿宋_GB2312" w:cs="楷体"/>
          <w:sz w:val="32"/>
          <w:szCs w:val="32"/>
        </w:rPr>
        <w:t>，全力支持餐饮消费</w:t>
      </w:r>
      <w:r>
        <w:rPr>
          <w:rFonts w:ascii="仿宋_GB2312" w:hAnsi="楷体" w:eastAsia="仿宋_GB2312" w:cs="楷体"/>
          <w:sz w:val="32"/>
          <w:szCs w:val="32"/>
        </w:rPr>
        <w:t>。</w:t>
      </w:r>
      <w:r>
        <w:rPr>
          <w:rFonts w:hint="eastAsia" w:ascii="仿宋_GB2312" w:hAnsi="楷体" w:eastAsia="仿宋_GB2312" w:cs="楷体"/>
          <w:sz w:val="32"/>
          <w:szCs w:val="32"/>
        </w:rPr>
        <w:t>争取“两新”领域超长期特别国债资金1887万元，用于支持农业机械报废更新、住宅装饰装修、翠江明珠小区老旧电梯更新、县域医共体医疗设备更新等领域，打造消费新业态，增强消费促发展基础性作用。</w:t>
      </w:r>
      <w:r>
        <w:rPr>
          <w:rFonts w:hint="eastAsia" w:ascii="仿宋_GB2312" w:hAnsi="楷体" w:eastAsia="仿宋_GB2312" w:cs="楷体"/>
          <w:b/>
          <w:sz w:val="32"/>
          <w:szCs w:val="32"/>
        </w:rPr>
        <w:t>三是</w:t>
      </w:r>
      <w:r>
        <w:rPr>
          <w:rFonts w:hint="eastAsia" w:ascii="仿宋_GB2312" w:hAnsi="楷体" w:eastAsia="仿宋_GB2312" w:cs="楷体"/>
          <w:sz w:val="32"/>
          <w:szCs w:val="32"/>
        </w:rPr>
        <w:t>促进房地产市场消费。对按规定时间内在我县城市规划区范围内购买新建商品住房的，给予每平方米100元消费补贴，降低居民购房成本，助力房地产市场稳定。2025年共兑现补贴63套共计80万元。</w:t>
      </w:r>
      <w:r>
        <w:rPr>
          <w:rFonts w:hint="eastAsia" w:ascii="仿宋_GB2312" w:hAnsi="楷体" w:eastAsia="仿宋_GB2312" w:cs="楷体"/>
          <w:b/>
          <w:sz w:val="32"/>
          <w:szCs w:val="32"/>
        </w:rPr>
        <w:t>在城乡建设方面“重优化、强治理”。一是</w:t>
      </w:r>
      <w:r>
        <w:rPr>
          <w:rFonts w:hint="eastAsia" w:ascii="仿宋_GB2312" w:hAnsi="楷体" w:eastAsia="仿宋_GB2312" w:cs="楷体"/>
          <w:sz w:val="32"/>
          <w:szCs w:val="32"/>
        </w:rPr>
        <w:t>聚焦城乡综合生态治理。统筹17281万元推进实施“蓝天、碧水、净土”工程，全面改善县域生态环境。其中统筹重点流域生态保护补偿、汀江流域生态补偿、综合性生态保护补偿、林业生态补偿等专项资金4125万元，用于水生态环境治理等项目；统筹林业草原、耕地保护和生态修复等专项资金13156万元，用于造林绿化、生态修复等项目。</w:t>
      </w:r>
      <w:r>
        <w:rPr>
          <w:rFonts w:hint="eastAsia" w:ascii="仿宋_GB2312" w:hAnsi="楷体" w:eastAsia="仿宋_GB2312" w:cs="楷体"/>
          <w:b/>
          <w:sz w:val="32"/>
          <w:szCs w:val="32"/>
        </w:rPr>
        <w:t>二是</w:t>
      </w:r>
      <w:r>
        <w:rPr>
          <w:rFonts w:hint="eastAsia" w:ascii="仿宋_GB2312" w:hAnsi="楷体" w:eastAsia="仿宋_GB2312" w:cs="楷体"/>
          <w:sz w:val="32"/>
          <w:szCs w:val="32"/>
        </w:rPr>
        <w:t>聚焦城乡基础设施改造。统筹新增政府债券资金及老旧小区改造资金13667万元，用于城区污水管网扩容改建及破损修复、国道G356线宁化城关何家园至城郊镇瓦庄村公路续建工程、东方塅片区和翠江明珠片区老旧小区改造、城区市政道路提升等项目，补齐城乡基础设施短板，健全完善城乡功能，推动城乡更新迭代。</w:t>
      </w:r>
      <w:r>
        <w:rPr>
          <w:rFonts w:hint="eastAsia" w:ascii="仿宋_GB2312" w:hAnsi="楷体" w:eastAsia="仿宋_GB2312" w:cs="楷体"/>
          <w:b/>
          <w:sz w:val="32"/>
          <w:szCs w:val="32"/>
        </w:rPr>
        <w:t>三是</w:t>
      </w:r>
      <w:r>
        <w:rPr>
          <w:rFonts w:hint="eastAsia" w:ascii="仿宋_GB2312" w:hAnsi="楷体" w:eastAsia="仿宋_GB2312" w:cs="楷体"/>
          <w:sz w:val="32"/>
          <w:szCs w:val="32"/>
        </w:rPr>
        <w:t>聚焦城乡生活品质提升。拨付垃圾处理费、市政运营维护管理费、城区绿化等经费5156万元，维护城市面貌；争取中央预算内资金4000万元，用于体育公园建设项目、全民健身中心项目（小型体育综合体）；安排扫黑除恶、平安宁化、法律援助、“雪亮工程”及食品安全等经费227万元，持续维护社会安定，推动城市“外在颜值”与“内在气质”双修，努力构建城乡文明安全“一体化”。</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4.统筹资源展优势，持续打造闽西特色名片。</w:t>
      </w:r>
      <w:r>
        <w:rPr>
          <w:rFonts w:hint="eastAsia" w:ascii="仿宋_GB2312" w:hAnsi="楷体" w:eastAsia="仿宋_GB2312" w:cs="楷体"/>
          <w:sz w:val="32"/>
          <w:szCs w:val="32"/>
        </w:rPr>
        <w:t>依托丰富的红色资源和农业资源，突出文化特色，积极探索文化经济、文旅康养等特色发展路径，形成“红色+绿色+古色”多元发展格局。</w:t>
      </w:r>
      <w:r>
        <w:rPr>
          <w:rFonts w:hint="eastAsia" w:ascii="仿宋_GB2312" w:hAnsi="楷体" w:eastAsia="仿宋_GB2312" w:cs="楷体"/>
          <w:b/>
          <w:sz w:val="32"/>
          <w:szCs w:val="32"/>
        </w:rPr>
        <w:t>在文化产业方面“重发展、促融合”。一是</w:t>
      </w:r>
      <w:r>
        <w:rPr>
          <w:rFonts w:hint="eastAsia" w:ascii="仿宋_GB2312" w:hAnsi="楷体" w:eastAsia="仿宋_GB2312" w:cs="楷体"/>
          <w:sz w:val="32"/>
          <w:szCs w:val="32"/>
        </w:rPr>
        <w:t>支持举办特色活动。统筹安排资金607万元，用于“千载客家 古韵风华”宁化建县1300年系列活动、“非遗贺新春”主题活动、翠园戏台文艺表演、</w:t>
      </w:r>
      <w:r>
        <w:rPr>
          <w:rFonts w:hint="eastAsia" w:ascii="仿宋_GB2312" w:hAnsi="楷体" w:eastAsia="仿宋_GB2312" w:cs="楷体"/>
          <w:sz w:val="32"/>
          <w:szCs w:val="32"/>
          <w:lang w:eastAsia="zh-CN"/>
        </w:rPr>
        <w:t>客家文化节</w:t>
      </w:r>
      <w:r>
        <w:rPr>
          <w:rFonts w:hint="eastAsia" w:ascii="仿宋_GB2312" w:hAnsi="楷体" w:eastAsia="仿宋_GB2312" w:cs="楷体"/>
          <w:sz w:val="32"/>
          <w:szCs w:val="32"/>
        </w:rPr>
        <w:t>、美食节等活动，聚焦红色研学、客家文化体验等康养产品开发，带动玉扣纸制作工艺、延祥花灯、客家小吃等特色文化传播，持续探索文化旅游新业态。</w:t>
      </w:r>
      <w:r>
        <w:rPr>
          <w:rFonts w:hint="eastAsia" w:ascii="仿宋_GB2312" w:hAnsi="楷体" w:eastAsia="仿宋_GB2312" w:cs="楷体"/>
          <w:b/>
          <w:sz w:val="32"/>
          <w:szCs w:val="32"/>
        </w:rPr>
        <w:t>二是</w:t>
      </w:r>
      <w:r>
        <w:rPr>
          <w:rFonts w:hint="eastAsia" w:ascii="仿宋_GB2312" w:hAnsi="楷体" w:eastAsia="仿宋_GB2312" w:cs="楷体"/>
          <w:sz w:val="32"/>
          <w:szCs w:val="32"/>
        </w:rPr>
        <w:t>保障景区正常运转。统筹安排博物馆、纪念馆免费开放经费306万元，天鹅洞景区、客家祖地运营经费491万元，确保景区正常运营，推动旅游产业健康发展。</w:t>
      </w:r>
      <w:r>
        <w:rPr>
          <w:rFonts w:hint="eastAsia" w:ascii="仿宋_GB2312" w:hAnsi="楷体" w:eastAsia="仿宋_GB2312" w:cs="楷体"/>
          <w:b/>
          <w:sz w:val="32"/>
          <w:szCs w:val="32"/>
        </w:rPr>
        <w:t>三是</w:t>
      </w:r>
      <w:r>
        <w:rPr>
          <w:rFonts w:hint="eastAsia" w:ascii="仿宋_GB2312" w:hAnsi="楷体" w:eastAsia="仿宋_GB2312" w:cs="楷体"/>
          <w:sz w:val="32"/>
          <w:szCs w:val="32"/>
        </w:rPr>
        <w:t>持续加强文物保护。统筹安排文保专项、客家文化（闽西）生态保护区创建等经费849万元，用于重点改善提升历史文化名镇名村传统村落（宁化县湖村镇黎坊村）、红九军团后方机关驻地旧址（曹登仞、曹登杰公祖厅）修缮工程、大王上片王氏宗祠（少共国际师训练地旧址）修缮工程、文物建筑消防安全隐患大排查大整治等项目，延续文物生命与文化传承。</w:t>
      </w:r>
      <w:r>
        <w:rPr>
          <w:rFonts w:hint="eastAsia" w:ascii="仿宋_GB2312" w:hAnsi="楷体" w:eastAsia="仿宋_GB2312" w:cs="楷体"/>
          <w:b/>
          <w:sz w:val="32"/>
          <w:szCs w:val="32"/>
        </w:rPr>
        <w:t>在乡村振兴方面“强保障、固成效”。一是</w:t>
      </w:r>
      <w:r>
        <w:rPr>
          <w:rFonts w:hint="eastAsia" w:ascii="仿宋_GB2312" w:hAnsi="楷体" w:eastAsia="仿宋_GB2312" w:cs="楷体"/>
          <w:sz w:val="32"/>
          <w:szCs w:val="32"/>
        </w:rPr>
        <w:t>推进乡村全面振兴。坚持农业农村优先发展，统筹安排财政衔接推进乡村振兴补助资金3384万元、农村公益事业财政奖补资金960万元、乡村振兴示范创建资金3600万元、中央专项彩票公益金支持地方社会公益事业发展资金1347万元，全力推进示范村镇建设及社会公益事业发展，持续巩固拓展脱贫攻坚成果。</w:t>
      </w:r>
      <w:r>
        <w:rPr>
          <w:rFonts w:hint="eastAsia" w:ascii="仿宋_GB2312" w:hAnsi="楷体" w:eastAsia="仿宋_GB2312" w:cs="楷体"/>
          <w:b/>
          <w:sz w:val="32"/>
          <w:szCs w:val="32"/>
        </w:rPr>
        <w:t>二是</w:t>
      </w:r>
      <w:r>
        <w:rPr>
          <w:rFonts w:hint="eastAsia" w:ascii="仿宋_GB2312" w:hAnsi="楷体" w:eastAsia="仿宋_GB2312" w:cs="楷体"/>
          <w:sz w:val="32"/>
          <w:szCs w:val="32"/>
        </w:rPr>
        <w:t>落实强农惠农资金保障。作为全省惠农惠民补贴资金在线发放工作3个试点县之一，加强乡村振兴资金在线监管平台与预算管理一体化系统对接，全面实现惠民惠农补贴资金在线支付的要求。全年发放农机购置及报废补贴1321万元、惠及农户2136人，发放耕地地力保护补贴3482万元、惠及农户67077户。</w:t>
      </w:r>
      <w:r>
        <w:rPr>
          <w:rFonts w:hint="eastAsia" w:ascii="仿宋_GB2312" w:hAnsi="楷体" w:eastAsia="仿宋_GB2312" w:cs="楷体"/>
          <w:b/>
          <w:sz w:val="32"/>
          <w:szCs w:val="32"/>
        </w:rPr>
        <w:t>三是</w:t>
      </w:r>
      <w:r>
        <w:rPr>
          <w:rFonts w:hint="eastAsia" w:ascii="仿宋_GB2312" w:hAnsi="楷体" w:eastAsia="仿宋_GB2312" w:cs="楷体"/>
          <w:sz w:val="32"/>
          <w:szCs w:val="32"/>
        </w:rPr>
        <w:t>持续发展农业特色产业。统筹资金2600万元，扶优做强河龙贡米、薏米、茶叶、油茶等优势特色产业，打造特色农业品牌，切实提高农业经济效益。</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5.抓改革增效能，持续提升财政管理水平。</w:t>
      </w:r>
      <w:r>
        <w:rPr>
          <w:rFonts w:hint="eastAsia" w:ascii="仿宋_GB2312" w:hAnsi="楷体" w:eastAsia="仿宋_GB2312" w:cs="楷体"/>
          <w:sz w:val="32"/>
          <w:szCs w:val="32"/>
        </w:rPr>
        <w:t>按照“综合统筹、规范透明、约束有力、讲求绩效、持续安全”的要求，结合县域实际，不断探索工作模式，使财政管理更加系统化、标准化、精细化。</w:t>
      </w:r>
      <w:r>
        <w:rPr>
          <w:rFonts w:hint="eastAsia" w:ascii="仿宋_GB2312" w:hAnsi="楷体" w:eastAsia="仿宋_GB2312" w:cs="楷体"/>
          <w:b/>
          <w:sz w:val="32"/>
          <w:szCs w:val="32"/>
        </w:rPr>
        <w:t>在财政改革方面“重绩效，讲统筹”。一是</w:t>
      </w:r>
      <w:r>
        <w:rPr>
          <w:rFonts w:hint="eastAsia" w:ascii="仿宋_GB2312" w:hAnsi="楷体" w:eastAsia="仿宋_GB2312" w:cs="楷体"/>
          <w:sz w:val="32"/>
          <w:szCs w:val="32"/>
        </w:rPr>
        <w:t>充分发挥绩效指南针作用。构建事前、事中、事后绩效管理闭环链条，着力推进预算和绩效管理深度融合。做实事前绩效评估，对新项目按要求开展事前绩效评估，评估结果作为列入年度预算的必备要件；做细部门评价和财政重点评价，加强预算绩效评价结果应用。2025年组织各单位对上一年度县本级预算安排的302个项目开展绩效自评，自评金额达43548万元，切实提升各预算单位预算绩效管理水平。</w:t>
      </w:r>
      <w:r>
        <w:rPr>
          <w:rFonts w:hint="eastAsia" w:ascii="仿宋_GB2312" w:hAnsi="楷体" w:eastAsia="仿宋_GB2312" w:cs="楷体"/>
          <w:b/>
          <w:sz w:val="32"/>
          <w:szCs w:val="32"/>
        </w:rPr>
        <w:t>二是</w:t>
      </w:r>
      <w:r>
        <w:rPr>
          <w:rFonts w:hint="eastAsia" w:ascii="仿宋_GB2312" w:hAnsi="楷体" w:eastAsia="仿宋_GB2312" w:cs="楷体"/>
          <w:sz w:val="32"/>
          <w:szCs w:val="32"/>
        </w:rPr>
        <w:t>持续深化零基预算改革。在编制2026年预算时，以零基预算改革为突破口，以绩效管理为核心导向，不断补齐管理制度短板，持续压减不合理支出，清理低效、无效项目，合理确定支出规模，加强财政资源统筹，推动预算编制更加完整、科学。</w:t>
      </w:r>
      <w:r>
        <w:rPr>
          <w:rFonts w:hint="eastAsia" w:ascii="仿宋_GB2312" w:hAnsi="楷体" w:eastAsia="仿宋_GB2312" w:cs="楷体"/>
          <w:b/>
          <w:sz w:val="32"/>
          <w:szCs w:val="32"/>
        </w:rPr>
        <w:t>在资金管理方面“强监管、消隐患”。一是</w:t>
      </w:r>
      <w:r>
        <w:rPr>
          <w:rFonts w:hint="eastAsia" w:ascii="仿宋_GB2312" w:hAnsi="楷体" w:eastAsia="仿宋_GB2312" w:cs="楷体"/>
          <w:sz w:val="32"/>
          <w:szCs w:val="32"/>
        </w:rPr>
        <w:t>兜牢兜实基层“三保”底线。严格落实“三保”保障责任，持续强化“三保”专户监测预警，动态掌握“三保”支出执行进度和可用财力等情况，及时调入库款，优先保障“三保”专户稳定运行，切实强化“三保”风险防控。2025年全年预计“三保”支出完成150450万元，每月的“三保”支出进度均达到省定序时要求。</w:t>
      </w:r>
      <w:r>
        <w:rPr>
          <w:rFonts w:hint="eastAsia" w:ascii="仿宋_GB2312" w:hAnsi="楷体" w:eastAsia="仿宋_GB2312" w:cs="楷体"/>
          <w:b/>
          <w:sz w:val="32"/>
          <w:szCs w:val="32"/>
        </w:rPr>
        <w:t>二是</w:t>
      </w:r>
      <w:r>
        <w:rPr>
          <w:rFonts w:hint="eastAsia" w:ascii="仿宋_GB2312" w:hAnsi="楷体" w:eastAsia="仿宋_GB2312" w:cs="楷体"/>
          <w:sz w:val="32"/>
          <w:szCs w:val="32"/>
        </w:rPr>
        <w:t>筑牢债务管理防火墙。将到期政府债务还本付息列入财政优先保障范围，确保如期偿还政府债务本息；时刻关注地方政府债务余额、财政收支情况等变化因素，定期评估风险状况，做好实施风险评估和预警，确保债务风险等级保持在合理区间。2025年，我县按期化解存量地方政府债务52564万元</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历年来均未出现债务违约现象。</w:t>
      </w:r>
      <w:r>
        <w:rPr>
          <w:rFonts w:hint="eastAsia" w:ascii="仿宋_GB2312" w:hAnsi="楷体" w:eastAsia="仿宋_GB2312" w:cs="楷体"/>
          <w:b/>
          <w:sz w:val="32"/>
          <w:szCs w:val="32"/>
        </w:rPr>
        <w:t>三是</w:t>
      </w:r>
      <w:r>
        <w:rPr>
          <w:rFonts w:hint="eastAsia" w:ascii="仿宋_GB2312" w:hAnsi="楷体" w:eastAsia="仿宋_GB2312" w:cs="楷体"/>
          <w:sz w:val="32"/>
          <w:szCs w:val="32"/>
        </w:rPr>
        <w:t>加大财会监督力度。加强同纪委监委、审计等部门协同联动，开展财政专项资金检查、会计信息质量检查，根据上级部署开展财经纪律重点问题专项整治、乡村振兴领域群众身边不正之风和腐败问题集中整治等，全力排查违法违规问题，推进相关领域资金规范、高效使用。</w:t>
      </w:r>
    </w:p>
    <w:p>
      <w:pPr>
        <w:widowControl w:val="0"/>
        <w:pBdr>
          <w:bottom w:val="single" w:color="FFFFFF" w:sz="4" w:space="31"/>
        </w:pBdr>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2025年我县财政运行总体平稳，但还面临着不少困难和问题，主要是：财政收入增长空间有限，基本民生和重点项目等刚性支出只增不减，债务还本付息和“三保”支出压力依旧很大，财政收支仍处于“紧平衡”状态；资金管理还不够规范，部分资金支出进度偏慢等。这些困难和问题有待在今后的工作中采取有效措施，努力加以解决，恳请各位代表、委员一如既往地给予指导和支持。</w:t>
      </w:r>
    </w:p>
    <w:p>
      <w:pPr>
        <w:widowControl w:val="0"/>
        <w:pBdr>
          <w:bottom w:val="single" w:color="FFFFFF" w:sz="4" w:space="31"/>
        </w:pBdr>
        <w:spacing w:after="0" w:line="600" w:lineRule="exact"/>
        <w:ind w:firstLine="640" w:firstLineChars="200"/>
        <w:jc w:val="both"/>
        <w:rPr>
          <w:rFonts w:ascii="黑体" w:hAnsi="黑体" w:eastAsia="黑体" w:cs="楷体"/>
          <w:sz w:val="32"/>
          <w:szCs w:val="32"/>
        </w:rPr>
      </w:pPr>
      <w:r>
        <w:rPr>
          <w:rFonts w:hint="eastAsia" w:ascii="黑体" w:hAnsi="黑体" w:eastAsia="黑体" w:cs="楷体"/>
          <w:sz w:val="32"/>
          <w:szCs w:val="32"/>
        </w:rPr>
        <w:t>二、2026年财政预算（草案）</w:t>
      </w:r>
    </w:p>
    <w:p>
      <w:pPr>
        <w:widowControl w:val="0"/>
        <w:pBdr>
          <w:bottom w:val="single" w:color="FFFFFF" w:sz="4" w:space="31"/>
        </w:pBdr>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2026年是“十五五”规划的开局之年。我县财政工作将继续坚持以习近平新时代中国特色社会主义思想为指导，全面贯彻落实党的二十大和二十届历次全会精神，按照党中央决策部署和省、市、县委工作要求，坚持稳中求进工作总基调，合理确定预算支出规模，严格落实过紧日子要求，坚持尽力而为、量力而行，积极防控财政运行风险，全力以赴稳经济，集中精力抓发展，推动全县经济社会发展再上新台阶。</w:t>
      </w:r>
    </w:p>
    <w:p>
      <w:pPr>
        <w:widowControl w:val="0"/>
        <w:pBdr>
          <w:bottom w:val="single" w:color="FFFFFF" w:sz="4" w:space="31"/>
        </w:pBdr>
        <w:spacing w:after="0" w:line="600" w:lineRule="exact"/>
        <w:ind w:firstLine="643" w:firstLineChars="200"/>
        <w:jc w:val="both"/>
        <w:rPr>
          <w:rFonts w:ascii="楷体_GB2312" w:hAnsi="楷体" w:eastAsia="楷体_GB2312" w:cs="楷体"/>
          <w:b/>
          <w:sz w:val="32"/>
          <w:szCs w:val="32"/>
        </w:rPr>
      </w:pPr>
      <w:r>
        <w:rPr>
          <w:rFonts w:hint="eastAsia" w:ascii="楷体_GB2312" w:hAnsi="楷体" w:eastAsia="楷体_GB2312" w:cs="楷体"/>
          <w:b/>
          <w:sz w:val="32"/>
          <w:szCs w:val="32"/>
        </w:rPr>
        <w:t>（一）2026年全县预算</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1.一般公共预算。</w:t>
      </w:r>
      <w:r>
        <w:rPr>
          <w:rFonts w:hint="eastAsia" w:ascii="仿宋_GB2312" w:hAnsi="楷体" w:eastAsia="仿宋_GB2312" w:cs="楷体"/>
          <w:sz w:val="32"/>
          <w:szCs w:val="32"/>
        </w:rPr>
        <w:t>全年县本级一般公共预算收入安排82419万元（按上年预计完成数80018万元增长3%预算），加提前下达上级补助收入101413万元（其中：返还性收入6186万元、一般性转移支付收入95209万元、专项转移支付收入18万元）、调入资金74186万元、动用预算稳定调节基金10000万元、一般债务转贷收入12000万元、区域间转移性收入16800万元，收入总计296818万元。根据预算收支平衡原则，安排一般公共预算支出283240万元，加上解支出10326万元、一般债券还本支出3252万元，支出总计296818万元。全年收支预算平衡。</w:t>
      </w:r>
    </w:p>
    <w:p>
      <w:pPr>
        <w:widowControl w:val="0"/>
        <w:pBdr>
          <w:bottom w:val="single" w:color="FFFFFF" w:sz="4" w:space="31"/>
        </w:pBdr>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“三保”支出预算安排情况。结合我县实际情况，2026年预算安排“三保”支出152413万元，其中：保基本民生支出61522万元、保工资支出88774万元、保运转支出2117万元。</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2.政府性基金预算。</w:t>
      </w:r>
      <w:r>
        <w:rPr>
          <w:rFonts w:hint="eastAsia" w:ascii="仿宋_GB2312" w:hAnsi="楷体" w:eastAsia="仿宋_GB2312" w:cs="楷体"/>
          <w:sz w:val="32"/>
          <w:szCs w:val="32"/>
        </w:rPr>
        <w:t>全年政府性基金预算收入安排40000万元，加提前下达上级补助收入71万元，专项债务转贷收入50000万元，收入总计90071万元。根据预算收支平衡原则，安排政府性基金预算支出69071万元，加调出资金17890万元、专项债券还本支出3110万元，支出总计90071万元。全年收支预算平衡。</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3.国有资本经营预算。</w:t>
      </w:r>
      <w:r>
        <w:rPr>
          <w:rFonts w:hint="eastAsia" w:ascii="仿宋_GB2312" w:hAnsi="楷体" w:eastAsia="仿宋_GB2312" w:cs="楷体"/>
          <w:sz w:val="32"/>
          <w:szCs w:val="32"/>
        </w:rPr>
        <w:t>全年国有资本经营预算收入安排87万元。根据预算收支平衡原则，安排国有资本经营预算支出87万元，其中：国有资本经营预算支出20万元，加调出资金67万元。全年收支预算平衡。</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4.社会保险基金预算。</w:t>
      </w:r>
      <w:r>
        <w:rPr>
          <w:rFonts w:hint="eastAsia" w:ascii="仿宋_GB2312" w:hAnsi="楷体" w:eastAsia="仿宋_GB2312" w:cs="楷体"/>
          <w:sz w:val="32"/>
          <w:szCs w:val="32"/>
        </w:rPr>
        <w:t>全年社会保险基金预算收入安排59844万元，其中：城乡居民基本养老保险基金收入22842万元、机关事业单位基本养老保险基金收入37002万元；加上年结余资金44693万元，社会保险基金预算收入总计104537万元。安排社会保险基金预算支出51753万元，其中：城乡居民基本养老保险基金支出18409万元、机关事业单位基本养老保险基金支出33344万元。收支相抵，社会保险基金预算滚存结余52784万元，结转下年使用。</w:t>
      </w:r>
    </w:p>
    <w:p>
      <w:pPr>
        <w:widowControl w:val="0"/>
        <w:pBdr>
          <w:bottom w:val="single" w:color="FFFFFF" w:sz="4" w:space="31"/>
        </w:pBdr>
        <w:spacing w:after="0" w:line="600" w:lineRule="exact"/>
        <w:ind w:firstLine="643" w:firstLineChars="200"/>
        <w:jc w:val="both"/>
        <w:rPr>
          <w:rFonts w:ascii="楷体_GB2312" w:hAnsi="楷体" w:eastAsia="楷体_GB2312" w:cs="楷体"/>
          <w:b/>
          <w:sz w:val="32"/>
          <w:szCs w:val="32"/>
        </w:rPr>
      </w:pPr>
      <w:r>
        <w:rPr>
          <w:rFonts w:hint="eastAsia" w:ascii="楷体_GB2312" w:hAnsi="楷体" w:eastAsia="楷体_GB2312" w:cs="楷体"/>
          <w:b/>
          <w:sz w:val="32"/>
          <w:szCs w:val="32"/>
        </w:rPr>
        <w:t>（二）2026年财政工作重点</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1.保障财政收支平稳运行。一是</w:t>
      </w:r>
      <w:r>
        <w:rPr>
          <w:rFonts w:hint="eastAsia" w:ascii="仿宋_GB2312" w:hAnsi="楷体" w:eastAsia="仿宋_GB2312" w:cs="楷体"/>
          <w:sz w:val="32"/>
          <w:szCs w:val="32"/>
        </w:rPr>
        <w:t>密切跟踪研判经济形势变化，健全收入组织协同征管机制，充分发挥部门合力，强化财税联动，做好收入测算，努力实现预期收入目标。</w:t>
      </w:r>
      <w:r>
        <w:rPr>
          <w:rFonts w:hint="eastAsia" w:ascii="仿宋_GB2312" w:hAnsi="楷体" w:eastAsia="仿宋_GB2312" w:cs="楷体"/>
          <w:b/>
          <w:sz w:val="32"/>
          <w:szCs w:val="32"/>
        </w:rPr>
        <w:t>二是</w:t>
      </w:r>
      <w:r>
        <w:rPr>
          <w:rFonts w:hint="eastAsia" w:ascii="仿宋_GB2312" w:hAnsi="楷体" w:eastAsia="仿宋_GB2312" w:cs="楷体"/>
          <w:sz w:val="32"/>
          <w:szCs w:val="32"/>
        </w:rPr>
        <w:t>坚持量入为出原则，强化预算刚性约束，落实落细党政机关习惯过“紧日子”要求，节约有限的财力用于保障基本民生和县委、县政府重大决策部署实施。</w:t>
      </w:r>
      <w:r>
        <w:rPr>
          <w:rFonts w:hint="eastAsia" w:ascii="仿宋_GB2312" w:hAnsi="楷体" w:eastAsia="仿宋_GB2312" w:cs="楷体"/>
          <w:b/>
          <w:sz w:val="32"/>
          <w:szCs w:val="32"/>
        </w:rPr>
        <w:t>三是</w:t>
      </w:r>
      <w:r>
        <w:rPr>
          <w:rFonts w:hint="eastAsia" w:ascii="仿宋_GB2312" w:hAnsi="楷体" w:eastAsia="仿宋_GB2312" w:cs="楷体"/>
          <w:sz w:val="32"/>
          <w:szCs w:val="32"/>
        </w:rPr>
        <w:t>聚焦收支平衡、健全预算执行动态调整机制和重大支出事项保障机制，按照“保重点、保基本”原则，严格做好财政资金调度，加强财政资源统筹利用，按照轻重缓急科学合理安排支出，将支出规模控制在适当区间。</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2.保障重点领域支出需要。一是</w:t>
      </w:r>
      <w:r>
        <w:rPr>
          <w:rFonts w:hint="eastAsia" w:ascii="仿宋_GB2312" w:hAnsi="楷体" w:eastAsia="仿宋_GB2312" w:cs="楷体"/>
          <w:sz w:val="32"/>
          <w:szCs w:val="32"/>
        </w:rPr>
        <w:t>坚持“三保”优先原则。严格落实基层“三保”工作责任，硬化“三保”专户约束，将“三保”支出摆在财力保障的最优先位置，足额安排“三保”支出。</w:t>
      </w:r>
      <w:r>
        <w:rPr>
          <w:rFonts w:hint="eastAsia" w:ascii="仿宋_GB2312" w:hAnsi="楷体" w:eastAsia="仿宋_GB2312" w:cs="楷体"/>
          <w:b/>
          <w:sz w:val="32"/>
          <w:szCs w:val="32"/>
        </w:rPr>
        <w:t>二是</w:t>
      </w:r>
      <w:r>
        <w:rPr>
          <w:rFonts w:hint="eastAsia" w:ascii="仿宋_GB2312" w:hAnsi="楷体" w:eastAsia="仿宋_GB2312" w:cs="楷体"/>
          <w:sz w:val="32"/>
          <w:szCs w:val="32"/>
        </w:rPr>
        <w:t>全力办好民生实事。加强基础性、普惠性、兜底性民生建设，集中财力重点支持教育、医疗、交通、乡村振兴等领域发展，着力补齐我县公共服务领域短板。</w:t>
      </w:r>
      <w:r>
        <w:rPr>
          <w:rFonts w:hint="eastAsia" w:ascii="仿宋_GB2312" w:hAnsi="楷体" w:eastAsia="仿宋_GB2312" w:cs="楷体"/>
          <w:b/>
          <w:sz w:val="32"/>
          <w:szCs w:val="32"/>
        </w:rPr>
        <w:t>三是</w:t>
      </w:r>
      <w:r>
        <w:rPr>
          <w:rFonts w:hint="eastAsia" w:ascii="仿宋_GB2312" w:hAnsi="楷体" w:eastAsia="仿宋_GB2312" w:cs="楷体"/>
          <w:sz w:val="32"/>
          <w:szCs w:val="32"/>
        </w:rPr>
        <w:t>兜住兜牢民生底线。足额安排困难群体救助补助资金，推动完善困难群众救助补助政策；落实好提高退休人员基本养老金、提高城乡居民基础养老金、提高城乡居民医疗保险财政补助标准等政策。</w:t>
      </w:r>
      <w:r>
        <w:rPr>
          <w:rFonts w:hint="eastAsia" w:ascii="仿宋_GB2312" w:hAnsi="楷体" w:eastAsia="仿宋_GB2312" w:cs="楷体"/>
          <w:b/>
          <w:sz w:val="32"/>
          <w:szCs w:val="32"/>
        </w:rPr>
        <w:t>四是</w:t>
      </w:r>
      <w:r>
        <w:rPr>
          <w:rFonts w:hint="eastAsia" w:ascii="仿宋_GB2312" w:hAnsi="楷体" w:eastAsia="仿宋_GB2312" w:cs="楷体"/>
          <w:sz w:val="32"/>
          <w:szCs w:val="32"/>
        </w:rPr>
        <w:t>坚持加大项目谋、引、建力度，抢抓政策机遇，全方位、多渠道争取更多上级专项、新增债券、超长期特别国债等资金支持，不断做大财力“蛋糕”，保障民生、重点项目资金需要，充分发挥财政资金对地方扩内需、稳增长、惠民生的促进作用。</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3.提高财政服务企业能力。一是</w:t>
      </w:r>
      <w:r>
        <w:rPr>
          <w:rFonts w:hint="eastAsia" w:ascii="仿宋_GB2312" w:hAnsi="楷体" w:eastAsia="仿宋_GB2312" w:cs="楷体"/>
          <w:sz w:val="32"/>
          <w:szCs w:val="32"/>
        </w:rPr>
        <w:t>继续实施更加积极的财政政策，聚焦支持科技创新、消费提振、企业技术改造等方面，落实研发投入分段补助、商贸流通业发展奖励等各类涉企财政奖补资金兑付工作，推动各项惠企政策全面落地，保护市场主体“源头活水”，助力市场迸发更大活力。</w:t>
      </w:r>
      <w:r>
        <w:rPr>
          <w:rFonts w:hint="eastAsia" w:ascii="仿宋_GB2312" w:hAnsi="楷体" w:eastAsia="仿宋_GB2312" w:cs="楷体"/>
          <w:b/>
          <w:sz w:val="32"/>
          <w:szCs w:val="32"/>
        </w:rPr>
        <w:t>二是</w:t>
      </w:r>
      <w:r>
        <w:rPr>
          <w:rFonts w:hint="eastAsia" w:ascii="仿宋_GB2312" w:hAnsi="楷体" w:eastAsia="仿宋_GB2312" w:cs="楷体"/>
          <w:sz w:val="32"/>
          <w:szCs w:val="32"/>
        </w:rPr>
        <w:t>继续落实政府采购支持节能环保、脱贫助力、国产替代、扶持中小企业发展等政策，强化政府采购意向公开、合同签订与公告、项目验收等流程管理，积极营造公平、透明、高效的采购营商环境，最大限度发挥采购政策功能。</w:t>
      </w:r>
    </w:p>
    <w:p>
      <w:pPr>
        <w:widowControl w:val="0"/>
        <w:pBdr>
          <w:bottom w:val="single" w:color="FFFFFF" w:sz="4" w:space="31"/>
        </w:pBdr>
        <w:spacing w:after="0" w:line="600" w:lineRule="exact"/>
        <w:ind w:firstLine="643" w:firstLineChars="200"/>
        <w:jc w:val="both"/>
        <w:rPr>
          <w:rFonts w:ascii="仿宋_GB2312" w:hAnsi="楷体" w:eastAsia="仿宋_GB2312" w:cs="楷体"/>
          <w:sz w:val="32"/>
          <w:szCs w:val="32"/>
        </w:rPr>
      </w:pPr>
      <w:r>
        <w:rPr>
          <w:rFonts w:hint="eastAsia" w:ascii="仿宋_GB2312" w:hAnsi="楷体" w:eastAsia="仿宋_GB2312" w:cs="楷体"/>
          <w:b/>
          <w:sz w:val="32"/>
          <w:szCs w:val="32"/>
        </w:rPr>
        <w:t>4.坚决防范财政领域风险。一是</w:t>
      </w:r>
      <w:r>
        <w:rPr>
          <w:rFonts w:hint="eastAsia" w:ascii="仿宋_GB2312" w:hAnsi="楷体" w:eastAsia="仿宋_GB2312" w:cs="楷体"/>
          <w:sz w:val="32"/>
          <w:szCs w:val="32"/>
        </w:rPr>
        <w:t>强化暂付款管理。按照“消化存量、严控增量”原则，合理制定暂付款消化方案，完善回收机制，加大暂付款清理消化力度，严格管控新增借款。</w:t>
      </w:r>
      <w:r>
        <w:rPr>
          <w:rFonts w:hint="eastAsia" w:ascii="仿宋_GB2312" w:hAnsi="楷体" w:eastAsia="仿宋_GB2312" w:cs="楷体"/>
          <w:b/>
          <w:sz w:val="32"/>
          <w:szCs w:val="32"/>
        </w:rPr>
        <w:t>二是</w:t>
      </w:r>
      <w:r>
        <w:rPr>
          <w:rFonts w:hint="eastAsia" w:ascii="仿宋_GB2312" w:hAnsi="楷体" w:eastAsia="仿宋_GB2312" w:cs="楷体"/>
          <w:sz w:val="32"/>
          <w:szCs w:val="32"/>
        </w:rPr>
        <w:t>健全库款管理机制。聚焦库款保障风险，加强对库款的分析和监测，严格执行库款保障倍数，加强对财政资金的安全管理，切实保障财政资金安全、规范、高效运行。</w:t>
      </w:r>
      <w:r>
        <w:rPr>
          <w:rFonts w:hint="eastAsia" w:ascii="仿宋_GB2312" w:hAnsi="楷体" w:eastAsia="仿宋_GB2312" w:cs="楷体"/>
          <w:b/>
          <w:sz w:val="32"/>
          <w:szCs w:val="32"/>
        </w:rPr>
        <w:t>三是</w:t>
      </w:r>
      <w:r>
        <w:rPr>
          <w:rFonts w:hint="eastAsia" w:ascii="仿宋_GB2312" w:hAnsi="楷体" w:eastAsia="仿宋_GB2312" w:cs="楷体"/>
          <w:sz w:val="32"/>
          <w:szCs w:val="32"/>
        </w:rPr>
        <w:t>管好用好地方政府债券资金，根据财力状况测算债务空间并强化债务限额管理，在限额空间内合理申报债券项目；完善防范化解地方债务风险长效机制，落实好化债方案，积极稳妥推动化解地方政府债务风险。</w:t>
      </w:r>
    </w:p>
    <w:p>
      <w:pPr>
        <w:widowControl w:val="0"/>
        <w:pBdr>
          <w:bottom w:val="single" w:color="FFFFFF" w:sz="4" w:space="31"/>
        </w:pBdr>
        <w:spacing w:after="0" w:line="600" w:lineRule="exact"/>
        <w:ind w:firstLine="640" w:firstLineChars="200"/>
        <w:jc w:val="both"/>
        <w:rPr>
          <w:rFonts w:ascii="仿宋_GB2312" w:hAnsi="楷体" w:eastAsia="仿宋_GB2312" w:cs="楷体"/>
          <w:sz w:val="32"/>
          <w:szCs w:val="32"/>
        </w:rPr>
      </w:pPr>
      <w:r>
        <w:rPr>
          <w:rFonts w:hint="eastAsia" w:ascii="仿宋_GB2312" w:hAnsi="楷体" w:eastAsia="仿宋_GB2312" w:cs="楷体"/>
          <w:sz w:val="32"/>
          <w:szCs w:val="32"/>
        </w:rPr>
        <w:t>各位代表，笃志前行，虽远必达。新的一年我们将继续以习近平新时代中国特色社会主义思想为指导，自觉接受县人大</w:t>
      </w:r>
      <w:r>
        <w:rPr>
          <w:rFonts w:hint="eastAsia" w:ascii="仿宋_GB2312" w:hAnsi="楷体" w:eastAsia="仿宋_GB2312" w:cs="楷体"/>
          <w:sz w:val="32"/>
          <w:szCs w:val="32"/>
          <w:lang w:eastAsia="zh-CN"/>
        </w:rPr>
        <w:t>及其</w:t>
      </w:r>
      <w:bookmarkStart w:id="0" w:name="_GoBack"/>
      <w:bookmarkEnd w:id="0"/>
      <w:r>
        <w:rPr>
          <w:rFonts w:hint="eastAsia" w:ascii="仿宋_GB2312" w:hAnsi="楷体" w:eastAsia="仿宋_GB2312" w:cs="楷体"/>
          <w:sz w:val="32"/>
          <w:szCs w:val="32"/>
          <w:lang w:eastAsia="zh-CN"/>
        </w:rPr>
        <w:t>常委会</w:t>
      </w:r>
      <w:r>
        <w:rPr>
          <w:rFonts w:hint="eastAsia" w:ascii="仿宋_GB2312" w:hAnsi="楷体" w:eastAsia="仿宋_GB2312" w:cs="楷体"/>
          <w:sz w:val="32"/>
          <w:szCs w:val="32"/>
        </w:rPr>
        <w:t>监督，</w:t>
      </w:r>
      <w:r>
        <w:rPr>
          <w:rFonts w:hint="eastAsia" w:ascii="仿宋_GB2312" w:hAnsi="楷体" w:eastAsia="仿宋_GB2312" w:cs="楷体"/>
          <w:sz w:val="32"/>
          <w:szCs w:val="32"/>
          <w:lang w:eastAsia="zh-CN"/>
        </w:rPr>
        <w:t>主动接受</w:t>
      </w:r>
      <w:r>
        <w:rPr>
          <w:rFonts w:hint="eastAsia" w:ascii="仿宋_GB2312" w:hAnsi="楷体" w:eastAsia="仿宋_GB2312" w:cs="楷体"/>
          <w:sz w:val="32"/>
          <w:szCs w:val="32"/>
        </w:rPr>
        <w:t>县政协</w:t>
      </w:r>
      <w:r>
        <w:rPr>
          <w:rFonts w:hint="eastAsia" w:ascii="仿宋_GB2312" w:hAnsi="楷体" w:eastAsia="仿宋_GB2312" w:cs="楷体"/>
          <w:sz w:val="32"/>
          <w:szCs w:val="32"/>
          <w:lang w:eastAsia="zh-CN"/>
        </w:rPr>
        <w:t>民主监督</w:t>
      </w:r>
      <w:r>
        <w:rPr>
          <w:rFonts w:hint="eastAsia" w:ascii="仿宋_GB2312" w:hAnsi="楷体" w:eastAsia="仿宋_GB2312" w:cs="楷体"/>
          <w:sz w:val="32"/>
          <w:szCs w:val="32"/>
        </w:rPr>
        <w:t>，充分发挥好财政逆周期调节作用，积极应对、顶压前行，扎实做好财政改革发展各项任务，以实干实绩实效为加快建设三明革命老区高质量发展示范先行区贡献财政力量！</w:t>
      </w:r>
    </w:p>
    <w:sectPr>
      <w:footerReference r:id="rId4" w:type="default"/>
      <w:footerReference r:id="rId5" w:type="even"/>
      <w:pgSz w:w="11906" w:h="16838"/>
      <w:pgMar w:top="1701" w:right="1474" w:bottom="1701" w:left="147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94818"/>
    </w:sdtPr>
    <w:sdtEndPr>
      <w:rPr>
        <w:rFonts w:hint="eastAsia" w:ascii="仿宋_GB2312" w:eastAsia="仿宋_GB2312"/>
        <w:sz w:val="30"/>
        <w:szCs w:val="30"/>
      </w:rPr>
    </w:sdtEndPr>
    <w:sdtContent>
      <w:p>
        <w:pPr>
          <w:pStyle w:val="13"/>
          <w:jc w:val="right"/>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15 -</w:t>
        </w:r>
        <w:r>
          <w:rPr>
            <w:rFonts w:hint="eastAsia" w:ascii="仿宋_GB2312" w:eastAsia="仿宋_GB2312"/>
            <w:sz w:val="30"/>
            <w:szCs w:val="30"/>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996625"/>
    </w:sdtPr>
    <w:sdtEndPr>
      <w:rPr>
        <w:rFonts w:hint="eastAsia" w:ascii="仿宋_GB2312" w:eastAsia="仿宋_GB2312"/>
        <w:sz w:val="30"/>
        <w:szCs w:val="30"/>
      </w:rPr>
    </w:sdtEndPr>
    <w:sdtContent>
      <w:p>
        <w:pPr>
          <w:pStyle w:val="13"/>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16 -</w:t>
        </w:r>
        <w:r>
          <w:rPr>
            <w:rFonts w:hint="eastAsia" w:ascii="仿宋_GB2312" w:eastAsia="仿宋_GB2312"/>
            <w:sz w:val="30"/>
            <w:szCs w:val="30"/>
          </w:rP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TgyZjE4NzY0YThkZDM5MGI2NTU5YjU0YzFkNzVhNDAifQ=="/>
  </w:docVars>
  <w:rsids>
    <w:rsidRoot w:val="00172A27"/>
    <w:rsid w:val="00011BF5"/>
    <w:rsid w:val="000770E6"/>
    <w:rsid w:val="0008705B"/>
    <w:rsid w:val="00112F34"/>
    <w:rsid w:val="001165AD"/>
    <w:rsid w:val="00123A29"/>
    <w:rsid w:val="00123F27"/>
    <w:rsid w:val="0014438F"/>
    <w:rsid w:val="00172A27"/>
    <w:rsid w:val="00174145"/>
    <w:rsid w:val="001859AB"/>
    <w:rsid w:val="001B424F"/>
    <w:rsid w:val="001C36D9"/>
    <w:rsid w:val="001D3571"/>
    <w:rsid w:val="002134C2"/>
    <w:rsid w:val="00215A1C"/>
    <w:rsid w:val="00224934"/>
    <w:rsid w:val="00233748"/>
    <w:rsid w:val="00281483"/>
    <w:rsid w:val="00284DF3"/>
    <w:rsid w:val="002A02F8"/>
    <w:rsid w:val="002D39AB"/>
    <w:rsid w:val="002E5CA0"/>
    <w:rsid w:val="00302C0A"/>
    <w:rsid w:val="0031236A"/>
    <w:rsid w:val="00323B43"/>
    <w:rsid w:val="003240CD"/>
    <w:rsid w:val="00325E6E"/>
    <w:rsid w:val="00337B72"/>
    <w:rsid w:val="003516F1"/>
    <w:rsid w:val="00356B00"/>
    <w:rsid w:val="00361086"/>
    <w:rsid w:val="00365C81"/>
    <w:rsid w:val="00374D25"/>
    <w:rsid w:val="003B5E64"/>
    <w:rsid w:val="003C140D"/>
    <w:rsid w:val="003D2B2D"/>
    <w:rsid w:val="003D37D8"/>
    <w:rsid w:val="003D7045"/>
    <w:rsid w:val="004008F6"/>
    <w:rsid w:val="0040323D"/>
    <w:rsid w:val="00421C89"/>
    <w:rsid w:val="00426133"/>
    <w:rsid w:val="00426F1C"/>
    <w:rsid w:val="004335EA"/>
    <w:rsid w:val="004358AB"/>
    <w:rsid w:val="004429DC"/>
    <w:rsid w:val="0046378B"/>
    <w:rsid w:val="00464EE6"/>
    <w:rsid w:val="004876E7"/>
    <w:rsid w:val="00494D32"/>
    <w:rsid w:val="00496411"/>
    <w:rsid w:val="00497A30"/>
    <w:rsid w:val="004A1C12"/>
    <w:rsid w:val="004D12E9"/>
    <w:rsid w:val="004D2609"/>
    <w:rsid w:val="004F2A9D"/>
    <w:rsid w:val="004F6F9C"/>
    <w:rsid w:val="005207B5"/>
    <w:rsid w:val="00543FF1"/>
    <w:rsid w:val="00545BDE"/>
    <w:rsid w:val="00567CBD"/>
    <w:rsid w:val="00597115"/>
    <w:rsid w:val="005A06F2"/>
    <w:rsid w:val="005C7710"/>
    <w:rsid w:val="005D26A2"/>
    <w:rsid w:val="005E1F7C"/>
    <w:rsid w:val="005F5C39"/>
    <w:rsid w:val="00675A5B"/>
    <w:rsid w:val="006839D7"/>
    <w:rsid w:val="006849CB"/>
    <w:rsid w:val="006B1C05"/>
    <w:rsid w:val="006C6BFD"/>
    <w:rsid w:val="006D799B"/>
    <w:rsid w:val="006E0486"/>
    <w:rsid w:val="006E177B"/>
    <w:rsid w:val="006E6AE7"/>
    <w:rsid w:val="00706589"/>
    <w:rsid w:val="00722B03"/>
    <w:rsid w:val="00731C20"/>
    <w:rsid w:val="007424AA"/>
    <w:rsid w:val="00750DC7"/>
    <w:rsid w:val="00757ACB"/>
    <w:rsid w:val="007709FA"/>
    <w:rsid w:val="00774D53"/>
    <w:rsid w:val="00784F72"/>
    <w:rsid w:val="007A0097"/>
    <w:rsid w:val="007A645F"/>
    <w:rsid w:val="007A738A"/>
    <w:rsid w:val="007B2935"/>
    <w:rsid w:val="007B61E5"/>
    <w:rsid w:val="007C7F63"/>
    <w:rsid w:val="007D627E"/>
    <w:rsid w:val="007E24D7"/>
    <w:rsid w:val="00805EF6"/>
    <w:rsid w:val="00815791"/>
    <w:rsid w:val="00841F8B"/>
    <w:rsid w:val="008440FD"/>
    <w:rsid w:val="0088409B"/>
    <w:rsid w:val="008934A8"/>
    <w:rsid w:val="008952B1"/>
    <w:rsid w:val="008A48C9"/>
    <w:rsid w:val="008A4C09"/>
    <w:rsid w:val="008A5E8C"/>
    <w:rsid w:val="008B7726"/>
    <w:rsid w:val="008C51EE"/>
    <w:rsid w:val="008E1D23"/>
    <w:rsid w:val="0090019E"/>
    <w:rsid w:val="009521F9"/>
    <w:rsid w:val="00962694"/>
    <w:rsid w:val="0096778D"/>
    <w:rsid w:val="00994575"/>
    <w:rsid w:val="009B2A1C"/>
    <w:rsid w:val="009C53A2"/>
    <w:rsid w:val="009D09E7"/>
    <w:rsid w:val="009D3A6F"/>
    <w:rsid w:val="009D7A65"/>
    <w:rsid w:val="009E7616"/>
    <w:rsid w:val="00A03FB9"/>
    <w:rsid w:val="00A15FEE"/>
    <w:rsid w:val="00A47679"/>
    <w:rsid w:val="00A47EE6"/>
    <w:rsid w:val="00A52BC3"/>
    <w:rsid w:val="00A5717B"/>
    <w:rsid w:val="00A600A1"/>
    <w:rsid w:val="00A63043"/>
    <w:rsid w:val="00A63F76"/>
    <w:rsid w:val="00A97667"/>
    <w:rsid w:val="00AA5C96"/>
    <w:rsid w:val="00AB0AEF"/>
    <w:rsid w:val="00AB73F4"/>
    <w:rsid w:val="00AC6210"/>
    <w:rsid w:val="00AC7067"/>
    <w:rsid w:val="00AE2375"/>
    <w:rsid w:val="00AF47B7"/>
    <w:rsid w:val="00B11362"/>
    <w:rsid w:val="00B159A0"/>
    <w:rsid w:val="00B21173"/>
    <w:rsid w:val="00B3379E"/>
    <w:rsid w:val="00B358BC"/>
    <w:rsid w:val="00B41B5F"/>
    <w:rsid w:val="00B616A3"/>
    <w:rsid w:val="00B77FC5"/>
    <w:rsid w:val="00B940BC"/>
    <w:rsid w:val="00B959DD"/>
    <w:rsid w:val="00BC3F75"/>
    <w:rsid w:val="00BD5FFD"/>
    <w:rsid w:val="00BE632B"/>
    <w:rsid w:val="00C0761B"/>
    <w:rsid w:val="00C11583"/>
    <w:rsid w:val="00C35F8E"/>
    <w:rsid w:val="00C6035B"/>
    <w:rsid w:val="00C7103C"/>
    <w:rsid w:val="00C76182"/>
    <w:rsid w:val="00C7688C"/>
    <w:rsid w:val="00C85846"/>
    <w:rsid w:val="00C96EC2"/>
    <w:rsid w:val="00CB122D"/>
    <w:rsid w:val="00CC14CA"/>
    <w:rsid w:val="00CC6E31"/>
    <w:rsid w:val="00CD1C3D"/>
    <w:rsid w:val="00CD4BB0"/>
    <w:rsid w:val="00CD6BCC"/>
    <w:rsid w:val="00CE5106"/>
    <w:rsid w:val="00CF27E4"/>
    <w:rsid w:val="00D31679"/>
    <w:rsid w:val="00D31D50"/>
    <w:rsid w:val="00D36359"/>
    <w:rsid w:val="00D5087B"/>
    <w:rsid w:val="00D52E72"/>
    <w:rsid w:val="00D73257"/>
    <w:rsid w:val="00D91A30"/>
    <w:rsid w:val="00D956A4"/>
    <w:rsid w:val="00DA216D"/>
    <w:rsid w:val="00DA5DD7"/>
    <w:rsid w:val="00DB597E"/>
    <w:rsid w:val="00DB71BF"/>
    <w:rsid w:val="00DB77EB"/>
    <w:rsid w:val="00DD2ED8"/>
    <w:rsid w:val="00DE3081"/>
    <w:rsid w:val="00DF2A2A"/>
    <w:rsid w:val="00E176AA"/>
    <w:rsid w:val="00E47918"/>
    <w:rsid w:val="00EC588F"/>
    <w:rsid w:val="00F23BEC"/>
    <w:rsid w:val="00F35054"/>
    <w:rsid w:val="00F354A9"/>
    <w:rsid w:val="00F6532C"/>
    <w:rsid w:val="00FC7717"/>
    <w:rsid w:val="00FE2E24"/>
    <w:rsid w:val="00FF228A"/>
    <w:rsid w:val="0109294C"/>
    <w:rsid w:val="01352127"/>
    <w:rsid w:val="01591960"/>
    <w:rsid w:val="01924994"/>
    <w:rsid w:val="02AE7EB7"/>
    <w:rsid w:val="037D2A21"/>
    <w:rsid w:val="03830B82"/>
    <w:rsid w:val="03980BC7"/>
    <w:rsid w:val="03B33683"/>
    <w:rsid w:val="03D20A55"/>
    <w:rsid w:val="040608F9"/>
    <w:rsid w:val="04B74DEB"/>
    <w:rsid w:val="04D543AB"/>
    <w:rsid w:val="05054C83"/>
    <w:rsid w:val="050E356D"/>
    <w:rsid w:val="05437D08"/>
    <w:rsid w:val="05A0206A"/>
    <w:rsid w:val="05B24A66"/>
    <w:rsid w:val="05FD6DF4"/>
    <w:rsid w:val="0615137E"/>
    <w:rsid w:val="06482BEC"/>
    <w:rsid w:val="07121881"/>
    <w:rsid w:val="076308C8"/>
    <w:rsid w:val="076E5443"/>
    <w:rsid w:val="077F0150"/>
    <w:rsid w:val="078A6CB7"/>
    <w:rsid w:val="0792253D"/>
    <w:rsid w:val="07CF509B"/>
    <w:rsid w:val="07D370B0"/>
    <w:rsid w:val="08183E8C"/>
    <w:rsid w:val="08844AFA"/>
    <w:rsid w:val="088F0913"/>
    <w:rsid w:val="08FB6ACC"/>
    <w:rsid w:val="09045F63"/>
    <w:rsid w:val="091421DD"/>
    <w:rsid w:val="09670686"/>
    <w:rsid w:val="09E71FB9"/>
    <w:rsid w:val="09F92E42"/>
    <w:rsid w:val="0A1466F7"/>
    <w:rsid w:val="0A6703F4"/>
    <w:rsid w:val="0A8C5D78"/>
    <w:rsid w:val="0AB952A7"/>
    <w:rsid w:val="0B47302B"/>
    <w:rsid w:val="0B625078"/>
    <w:rsid w:val="0BBC1455"/>
    <w:rsid w:val="0BDA1E34"/>
    <w:rsid w:val="0BF071E7"/>
    <w:rsid w:val="0CA22BC9"/>
    <w:rsid w:val="0D57556E"/>
    <w:rsid w:val="0D8B5E31"/>
    <w:rsid w:val="0DE05E30"/>
    <w:rsid w:val="0DEE6AB9"/>
    <w:rsid w:val="0E7004FD"/>
    <w:rsid w:val="0F2C35CA"/>
    <w:rsid w:val="0F8A1B6C"/>
    <w:rsid w:val="0FAD69EF"/>
    <w:rsid w:val="0FD51007"/>
    <w:rsid w:val="100D2B3D"/>
    <w:rsid w:val="102D641F"/>
    <w:rsid w:val="10B912AC"/>
    <w:rsid w:val="10B95A22"/>
    <w:rsid w:val="10F5155D"/>
    <w:rsid w:val="11055F32"/>
    <w:rsid w:val="11212AC5"/>
    <w:rsid w:val="11D34F5A"/>
    <w:rsid w:val="11E55741"/>
    <w:rsid w:val="12056F1B"/>
    <w:rsid w:val="1271237B"/>
    <w:rsid w:val="13B22AB4"/>
    <w:rsid w:val="13E31B76"/>
    <w:rsid w:val="140C21C5"/>
    <w:rsid w:val="143F4124"/>
    <w:rsid w:val="14444A48"/>
    <w:rsid w:val="1490186F"/>
    <w:rsid w:val="14AE6865"/>
    <w:rsid w:val="14B27FC9"/>
    <w:rsid w:val="14C3755F"/>
    <w:rsid w:val="14F73201"/>
    <w:rsid w:val="150315CA"/>
    <w:rsid w:val="1566433F"/>
    <w:rsid w:val="158E5C27"/>
    <w:rsid w:val="15B04319"/>
    <w:rsid w:val="15B96965"/>
    <w:rsid w:val="161B636F"/>
    <w:rsid w:val="162D1FB0"/>
    <w:rsid w:val="164B02C6"/>
    <w:rsid w:val="1671171B"/>
    <w:rsid w:val="17155A7E"/>
    <w:rsid w:val="175C27DD"/>
    <w:rsid w:val="178A65AB"/>
    <w:rsid w:val="17AC6144"/>
    <w:rsid w:val="17D0672D"/>
    <w:rsid w:val="17D83A2D"/>
    <w:rsid w:val="17E60C8C"/>
    <w:rsid w:val="18C26AAD"/>
    <w:rsid w:val="19224E24"/>
    <w:rsid w:val="198F11AC"/>
    <w:rsid w:val="19C544AD"/>
    <w:rsid w:val="1A0D3256"/>
    <w:rsid w:val="1A2864BC"/>
    <w:rsid w:val="1ACC4F08"/>
    <w:rsid w:val="1B3D71AE"/>
    <w:rsid w:val="1BD35A0B"/>
    <w:rsid w:val="1C083F57"/>
    <w:rsid w:val="1C836FA7"/>
    <w:rsid w:val="1CB84C4D"/>
    <w:rsid w:val="1D2D55D5"/>
    <w:rsid w:val="1D3559D1"/>
    <w:rsid w:val="1D370D76"/>
    <w:rsid w:val="1D855649"/>
    <w:rsid w:val="1D874EDC"/>
    <w:rsid w:val="1E215243"/>
    <w:rsid w:val="1E4335FD"/>
    <w:rsid w:val="1E5453D5"/>
    <w:rsid w:val="1EC04088"/>
    <w:rsid w:val="1F8B19CE"/>
    <w:rsid w:val="1FA379A6"/>
    <w:rsid w:val="20AF629F"/>
    <w:rsid w:val="20DA3A95"/>
    <w:rsid w:val="20DE42F3"/>
    <w:rsid w:val="21355F84"/>
    <w:rsid w:val="214271F4"/>
    <w:rsid w:val="215056A9"/>
    <w:rsid w:val="216F4B60"/>
    <w:rsid w:val="221E2869"/>
    <w:rsid w:val="223030E8"/>
    <w:rsid w:val="22E638B7"/>
    <w:rsid w:val="23594688"/>
    <w:rsid w:val="236620D9"/>
    <w:rsid w:val="23BB21E9"/>
    <w:rsid w:val="23F07684"/>
    <w:rsid w:val="2457602E"/>
    <w:rsid w:val="253D0DC7"/>
    <w:rsid w:val="255625A1"/>
    <w:rsid w:val="255D73FE"/>
    <w:rsid w:val="25FF200A"/>
    <w:rsid w:val="26230974"/>
    <w:rsid w:val="26B237EB"/>
    <w:rsid w:val="26C75D57"/>
    <w:rsid w:val="27060406"/>
    <w:rsid w:val="270C7A7A"/>
    <w:rsid w:val="271A77A2"/>
    <w:rsid w:val="27917FF7"/>
    <w:rsid w:val="27CE4079"/>
    <w:rsid w:val="27EE6682"/>
    <w:rsid w:val="28083EA2"/>
    <w:rsid w:val="28723260"/>
    <w:rsid w:val="28931068"/>
    <w:rsid w:val="28FA60DC"/>
    <w:rsid w:val="29B92495"/>
    <w:rsid w:val="2A986506"/>
    <w:rsid w:val="2AD13543"/>
    <w:rsid w:val="2AF42113"/>
    <w:rsid w:val="2AFB391C"/>
    <w:rsid w:val="2AFC3239"/>
    <w:rsid w:val="2BEA4F26"/>
    <w:rsid w:val="2C30560B"/>
    <w:rsid w:val="2CCE5347"/>
    <w:rsid w:val="2CE4703C"/>
    <w:rsid w:val="2D3751FA"/>
    <w:rsid w:val="2DC378EB"/>
    <w:rsid w:val="2E4F5083"/>
    <w:rsid w:val="2E9B5941"/>
    <w:rsid w:val="2EB03E82"/>
    <w:rsid w:val="2ED768CE"/>
    <w:rsid w:val="31A126F0"/>
    <w:rsid w:val="31AD2EB5"/>
    <w:rsid w:val="31FA3D95"/>
    <w:rsid w:val="323A19B8"/>
    <w:rsid w:val="32771258"/>
    <w:rsid w:val="329769CA"/>
    <w:rsid w:val="32DF3206"/>
    <w:rsid w:val="32EA417B"/>
    <w:rsid w:val="333A08D6"/>
    <w:rsid w:val="340161EC"/>
    <w:rsid w:val="346855BD"/>
    <w:rsid w:val="348020B1"/>
    <w:rsid w:val="35163537"/>
    <w:rsid w:val="358F0D59"/>
    <w:rsid w:val="36006DBD"/>
    <w:rsid w:val="36007F99"/>
    <w:rsid w:val="367330FF"/>
    <w:rsid w:val="36E91C75"/>
    <w:rsid w:val="36F059F5"/>
    <w:rsid w:val="371C726F"/>
    <w:rsid w:val="37705203"/>
    <w:rsid w:val="377C036E"/>
    <w:rsid w:val="37D02392"/>
    <w:rsid w:val="37ED7F1A"/>
    <w:rsid w:val="382058C4"/>
    <w:rsid w:val="389E151D"/>
    <w:rsid w:val="390C1BF7"/>
    <w:rsid w:val="391E4597"/>
    <w:rsid w:val="394F45B7"/>
    <w:rsid w:val="399D66FB"/>
    <w:rsid w:val="39B51AAA"/>
    <w:rsid w:val="39DF3558"/>
    <w:rsid w:val="3A1964CC"/>
    <w:rsid w:val="3C0B4561"/>
    <w:rsid w:val="3C225E54"/>
    <w:rsid w:val="3C421638"/>
    <w:rsid w:val="3C4613FB"/>
    <w:rsid w:val="3C707849"/>
    <w:rsid w:val="3D040AC2"/>
    <w:rsid w:val="3D580AFC"/>
    <w:rsid w:val="3DEC1F65"/>
    <w:rsid w:val="3DF61A9C"/>
    <w:rsid w:val="3E27368A"/>
    <w:rsid w:val="3E6F1FAB"/>
    <w:rsid w:val="3F814090"/>
    <w:rsid w:val="3F975149"/>
    <w:rsid w:val="3FEA185F"/>
    <w:rsid w:val="40272FA7"/>
    <w:rsid w:val="404D4CBE"/>
    <w:rsid w:val="404E2006"/>
    <w:rsid w:val="40871CFC"/>
    <w:rsid w:val="40A80FCC"/>
    <w:rsid w:val="40E93DE4"/>
    <w:rsid w:val="40F96C5D"/>
    <w:rsid w:val="4137593C"/>
    <w:rsid w:val="41401602"/>
    <w:rsid w:val="415623D4"/>
    <w:rsid w:val="41B96ABA"/>
    <w:rsid w:val="41EE2590"/>
    <w:rsid w:val="41FE797E"/>
    <w:rsid w:val="432418B7"/>
    <w:rsid w:val="440F29D9"/>
    <w:rsid w:val="44592F49"/>
    <w:rsid w:val="44C97DF7"/>
    <w:rsid w:val="44CC73F2"/>
    <w:rsid w:val="4542136B"/>
    <w:rsid w:val="46E0450A"/>
    <w:rsid w:val="47103341"/>
    <w:rsid w:val="47423036"/>
    <w:rsid w:val="48102D98"/>
    <w:rsid w:val="48886249"/>
    <w:rsid w:val="488F4529"/>
    <w:rsid w:val="48986781"/>
    <w:rsid w:val="49784F95"/>
    <w:rsid w:val="49D97502"/>
    <w:rsid w:val="49E2219A"/>
    <w:rsid w:val="49EF05DE"/>
    <w:rsid w:val="4A452448"/>
    <w:rsid w:val="4A944BE6"/>
    <w:rsid w:val="4BD30206"/>
    <w:rsid w:val="4BE94881"/>
    <w:rsid w:val="4C0632B2"/>
    <w:rsid w:val="4C085E25"/>
    <w:rsid w:val="4C794866"/>
    <w:rsid w:val="4C8C6132"/>
    <w:rsid w:val="4CC43BFD"/>
    <w:rsid w:val="4D543555"/>
    <w:rsid w:val="4D6E1D44"/>
    <w:rsid w:val="4DC97003"/>
    <w:rsid w:val="4DCE0BF6"/>
    <w:rsid w:val="4EA31A4F"/>
    <w:rsid w:val="4EDD494B"/>
    <w:rsid w:val="4EDD4C47"/>
    <w:rsid w:val="4EF96B99"/>
    <w:rsid w:val="4EFF48BE"/>
    <w:rsid w:val="4F467E09"/>
    <w:rsid w:val="504A7FCE"/>
    <w:rsid w:val="50B734F6"/>
    <w:rsid w:val="50FA5510"/>
    <w:rsid w:val="51303ECC"/>
    <w:rsid w:val="516C795F"/>
    <w:rsid w:val="518917AD"/>
    <w:rsid w:val="51967619"/>
    <w:rsid w:val="51D47AB1"/>
    <w:rsid w:val="51F32BFF"/>
    <w:rsid w:val="52443CA3"/>
    <w:rsid w:val="52604C2B"/>
    <w:rsid w:val="528E6A62"/>
    <w:rsid w:val="52CA1C4C"/>
    <w:rsid w:val="53163AFE"/>
    <w:rsid w:val="53324234"/>
    <w:rsid w:val="53CA6415"/>
    <w:rsid w:val="542E2CB6"/>
    <w:rsid w:val="545E321A"/>
    <w:rsid w:val="5484633D"/>
    <w:rsid w:val="54F873CD"/>
    <w:rsid w:val="550F22C6"/>
    <w:rsid w:val="55197F3F"/>
    <w:rsid w:val="55997E7C"/>
    <w:rsid w:val="55BD1336"/>
    <w:rsid w:val="55FE6DAD"/>
    <w:rsid w:val="56952D73"/>
    <w:rsid w:val="56D87DEA"/>
    <w:rsid w:val="57420004"/>
    <w:rsid w:val="57852873"/>
    <w:rsid w:val="580A5330"/>
    <w:rsid w:val="5833045D"/>
    <w:rsid w:val="58470BB5"/>
    <w:rsid w:val="587B590B"/>
    <w:rsid w:val="58F2163B"/>
    <w:rsid w:val="59143FA4"/>
    <w:rsid w:val="59203F6F"/>
    <w:rsid w:val="5925171A"/>
    <w:rsid w:val="593800C7"/>
    <w:rsid w:val="597B2CA5"/>
    <w:rsid w:val="59AF6E47"/>
    <w:rsid w:val="59B46CB3"/>
    <w:rsid w:val="59E71E55"/>
    <w:rsid w:val="5B336C05"/>
    <w:rsid w:val="5B4A2988"/>
    <w:rsid w:val="5B6F680B"/>
    <w:rsid w:val="5B762EF2"/>
    <w:rsid w:val="5B8F2814"/>
    <w:rsid w:val="5BBB49BE"/>
    <w:rsid w:val="5BBC49F9"/>
    <w:rsid w:val="5BBF55E2"/>
    <w:rsid w:val="5C0927B9"/>
    <w:rsid w:val="5CDC03E2"/>
    <w:rsid w:val="5D067945"/>
    <w:rsid w:val="5D2205E9"/>
    <w:rsid w:val="5D3E2BA2"/>
    <w:rsid w:val="5D725ECD"/>
    <w:rsid w:val="5E5F2A13"/>
    <w:rsid w:val="5E6C7B76"/>
    <w:rsid w:val="5E8F07EB"/>
    <w:rsid w:val="5EBF7B0F"/>
    <w:rsid w:val="5F735941"/>
    <w:rsid w:val="60252C0C"/>
    <w:rsid w:val="60B85359"/>
    <w:rsid w:val="63322539"/>
    <w:rsid w:val="634D7B5B"/>
    <w:rsid w:val="635B1986"/>
    <w:rsid w:val="63C608F4"/>
    <w:rsid w:val="63E23B61"/>
    <w:rsid w:val="63E86F09"/>
    <w:rsid w:val="64516291"/>
    <w:rsid w:val="64914C6B"/>
    <w:rsid w:val="6519140C"/>
    <w:rsid w:val="658B2FA1"/>
    <w:rsid w:val="66200315"/>
    <w:rsid w:val="66A06668"/>
    <w:rsid w:val="66E32B2E"/>
    <w:rsid w:val="67154652"/>
    <w:rsid w:val="67445204"/>
    <w:rsid w:val="67CD06E8"/>
    <w:rsid w:val="680D67C2"/>
    <w:rsid w:val="68B60F13"/>
    <w:rsid w:val="68C861A0"/>
    <w:rsid w:val="68E8161B"/>
    <w:rsid w:val="690205C7"/>
    <w:rsid w:val="6929351C"/>
    <w:rsid w:val="6A365877"/>
    <w:rsid w:val="6ACB2C8B"/>
    <w:rsid w:val="6B004A2E"/>
    <w:rsid w:val="6B177D53"/>
    <w:rsid w:val="6B4C7D87"/>
    <w:rsid w:val="6B95180D"/>
    <w:rsid w:val="6B984B15"/>
    <w:rsid w:val="6B9928A6"/>
    <w:rsid w:val="6BE4181E"/>
    <w:rsid w:val="6C4D1962"/>
    <w:rsid w:val="6C9229A4"/>
    <w:rsid w:val="6CA80237"/>
    <w:rsid w:val="6D1768B6"/>
    <w:rsid w:val="6D723C44"/>
    <w:rsid w:val="6D8674BC"/>
    <w:rsid w:val="6E6900AD"/>
    <w:rsid w:val="6E9B3CB8"/>
    <w:rsid w:val="6EFB3FE8"/>
    <w:rsid w:val="6F66400C"/>
    <w:rsid w:val="6FB4149D"/>
    <w:rsid w:val="6FC72B4C"/>
    <w:rsid w:val="6FD37761"/>
    <w:rsid w:val="70C10E12"/>
    <w:rsid w:val="710C5C6B"/>
    <w:rsid w:val="71941507"/>
    <w:rsid w:val="71EB7FCF"/>
    <w:rsid w:val="72777BF3"/>
    <w:rsid w:val="728D0D6D"/>
    <w:rsid w:val="730533A5"/>
    <w:rsid w:val="73A150A4"/>
    <w:rsid w:val="73C3675B"/>
    <w:rsid w:val="74035032"/>
    <w:rsid w:val="741C7F2A"/>
    <w:rsid w:val="74B90F79"/>
    <w:rsid w:val="74DD6D82"/>
    <w:rsid w:val="74E81B9D"/>
    <w:rsid w:val="750A2943"/>
    <w:rsid w:val="752A0A4A"/>
    <w:rsid w:val="753514EC"/>
    <w:rsid w:val="755D5799"/>
    <w:rsid w:val="75F96862"/>
    <w:rsid w:val="7655127D"/>
    <w:rsid w:val="7698536E"/>
    <w:rsid w:val="76AE7600"/>
    <w:rsid w:val="7705201A"/>
    <w:rsid w:val="771C2A85"/>
    <w:rsid w:val="78654F6E"/>
    <w:rsid w:val="794258B0"/>
    <w:rsid w:val="7A746584"/>
    <w:rsid w:val="7AB2352B"/>
    <w:rsid w:val="7AE428C7"/>
    <w:rsid w:val="7B1C22A7"/>
    <w:rsid w:val="7BD84312"/>
    <w:rsid w:val="7C35329D"/>
    <w:rsid w:val="7C9F666A"/>
    <w:rsid w:val="7CAC7E4B"/>
    <w:rsid w:val="7D097E7F"/>
    <w:rsid w:val="7D307A5B"/>
    <w:rsid w:val="7D955C7F"/>
    <w:rsid w:val="7DB8396E"/>
    <w:rsid w:val="7E027255"/>
    <w:rsid w:val="7E617E40"/>
    <w:rsid w:val="7E7E4DAD"/>
    <w:rsid w:val="7EF9548A"/>
    <w:rsid w:val="7F2858FE"/>
    <w:rsid w:val="7FB77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2"/>
    <w:basedOn w:val="1"/>
    <w:next w:val="1"/>
    <w:semiHidden/>
    <w:unhideWhenUsed/>
    <w:qFormat/>
    <w:uiPriority w:val="9"/>
    <w:pPr>
      <w:spacing w:beforeAutospacing="1" w:after="0" w:afterAutospacing="1"/>
      <w:outlineLvl w:val="1"/>
    </w:pPr>
    <w:rPr>
      <w:rFonts w:hint="eastAsia" w:ascii="宋体" w:hAnsi="宋体" w:eastAsia="宋体" w:cs="Times New Roman"/>
      <w:b/>
      <w:bCs/>
      <w:sz w:val="36"/>
      <w:szCs w:val="36"/>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新正文"/>
    <w:basedOn w:val="3"/>
    <w:next w:val="4"/>
    <w:qFormat/>
    <w:uiPriority w:val="0"/>
    <w:pPr>
      <w:ind w:firstLine="200" w:firstLineChars="200"/>
    </w:pPr>
    <w:rPr>
      <w:rFonts w:ascii="仿宋_GB2312" w:eastAsia="仿宋_GB2312"/>
      <w:sz w:val="32"/>
    </w:rPr>
  </w:style>
  <w:style w:type="paragraph" w:styleId="3">
    <w:name w:val="Plain Text"/>
    <w:basedOn w:val="1"/>
    <w:qFormat/>
    <w:uiPriority w:val="0"/>
    <w:rPr>
      <w:rFonts w:ascii="宋体" w:hAnsi="Courier New" w:eastAsia="宋体" w:cs="Courier New"/>
      <w:szCs w:val="21"/>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paragraph" w:styleId="7">
    <w:name w:val="Normal Indent"/>
    <w:basedOn w:val="1"/>
    <w:qFormat/>
    <w:uiPriority w:val="99"/>
    <w:pPr>
      <w:ind w:firstLine="200" w:firstLineChars="200"/>
    </w:pPr>
    <w:rPr>
      <w:rFonts w:ascii="Times New Roman" w:hAnsi="Times New Roman" w:eastAsia="宋体"/>
      <w:sz w:val="24"/>
      <w:szCs w:val="20"/>
    </w:rPr>
  </w:style>
  <w:style w:type="paragraph" w:styleId="8">
    <w:name w:val="annotation text"/>
    <w:basedOn w:val="1"/>
    <w:semiHidden/>
    <w:unhideWhenUsed/>
    <w:qFormat/>
    <w:uiPriority w:val="99"/>
  </w:style>
  <w:style w:type="paragraph" w:styleId="9">
    <w:name w:val="Body Text"/>
    <w:basedOn w:val="1"/>
    <w:next w:val="10"/>
    <w:qFormat/>
    <w:uiPriority w:val="0"/>
  </w:style>
  <w:style w:type="paragraph" w:customStyle="1" w:styleId="10">
    <w:name w:val="正文首行缩进1"/>
    <w:basedOn w:val="9"/>
    <w:qFormat/>
    <w:uiPriority w:val="0"/>
    <w:pPr>
      <w:ind w:firstLine="420"/>
    </w:pPr>
  </w:style>
  <w:style w:type="paragraph" w:styleId="11">
    <w:name w:val="endnote text"/>
    <w:basedOn w:val="1"/>
    <w:qFormat/>
    <w:uiPriority w:val="0"/>
    <w:rPr>
      <w:rFonts w:ascii="Times New Roman" w:hAnsi="Times New Roman" w:eastAsia="宋体" w:cs="Times New Roman"/>
    </w:rPr>
  </w:style>
  <w:style w:type="paragraph" w:styleId="12">
    <w:name w:val="Balloon Text"/>
    <w:basedOn w:val="1"/>
    <w:next w:val="11"/>
    <w:link w:val="22"/>
    <w:unhideWhenUsed/>
    <w:qFormat/>
    <w:uiPriority w:val="99"/>
    <w:pPr>
      <w:spacing w:after="0"/>
    </w:pPr>
    <w:rPr>
      <w:sz w:val="18"/>
      <w:szCs w:val="18"/>
    </w:rPr>
  </w:style>
  <w:style w:type="paragraph" w:styleId="13">
    <w:name w:val="footer"/>
    <w:basedOn w:val="1"/>
    <w:link w:val="23"/>
    <w:unhideWhenUsed/>
    <w:qFormat/>
    <w:uiPriority w:val="99"/>
    <w:pPr>
      <w:tabs>
        <w:tab w:val="center" w:pos="4153"/>
        <w:tab w:val="right" w:pos="8306"/>
      </w:tabs>
    </w:pPr>
    <w:rPr>
      <w:sz w:val="18"/>
    </w:rPr>
  </w:style>
  <w:style w:type="paragraph" w:styleId="14">
    <w:name w:val="Normal (Web)"/>
    <w:basedOn w:val="1"/>
    <w:qFormat/>
    <w:uiPriority w:val="0"/>
    <w:pPr>
      <w:spacing w:before="100" w:beforeAutospacing="1" w:after="100" w:afterAutospacing="1"/>
    </w:pPr>
    <w:rPr>
      <w:rFonts w:ascii="仿宋_GB2312" w:hAnsi="宋体" w:eastAsia="仿宋_GB2312" w:cs="宋体"/>
      <w:sz w:val="32"/>
    </w:rPr>
  </w:style>
  <w:style w:type="character" w:styleId="17">
    <w:name w:val="Strong"/>
    <w:basedOn w:val="16"/>
    <w:qFormat/>
    <w:uiPriority w:val="0"/>
    <w:rPr>
      <w:b/>
      <w:bCs/>
    </w:rPr>
  </w:style>
  <w:style w:type="paragraph" w:customStyle="1" w:styleId="18">
    <w:name w:val="UserStyle_0"/>
    <w:basedOn w:val="19"/>
    <w:qFormat/>
    <w:uiPriority w:val="0"/>
    <w:pPr>
      <w:spacing w:after="0"/>
      <w:ind w:left="0" w:leftChars="0" w:firstLine="420" w:firstLineChars="200"/>
    </w:pPr>
    <w:rPr>
      <w:rFonts w:ascii="宋体" w:hAnsi="宋体"/>
      <w:kern w:val="2"/>
      <w:sz w:val="28"/>
      <w:szCs w:val="28"/>
    </w:rPr>
  </w:style>
  <w:style w:type="paragraph" w:customStyle="1" w:styleId="19">
    <w:name w:val="UserStyle_1"/>
    <w:next w:val="1"/>
    <w:qFormat/>
    <w:uiPriority w:val="0"/>
    <w:pPr>
      <w:spacing w:after="120"/>
      <w:ind w:left="420" w:leftChars="200"/>
      <w:jc w:val="both"/>
      <w:textAlignment w:val="baseline"/>
    </w:pPr>
    <w:rPr>
      <w:rFonts w:ascii="Times New Roman" w:hAnsi="Times New Roman" w:eastAsia="宋体" w:cs="Times New Roman"/>
      <w:sz w:val="21"/>
      <w:szCs w:val="22"/>
      <w:lang w:val="en-US" w:eastAsia="zh-CN" w:bidi="ar-SA"/>
    </w:rPr>
  </w:style>
  <w:style w:type="paragraph" w:customStyle="1" w:styleId="20">
    <w:name w:val="段"/>
    <w:next w:val="1"/>
    <w:qFormat/>
    <w:uiPriority w:val="99"/>
    <w:pPr>
      <w:autoSpaceDE w:val="0"/>
      <w:autoSpaceDN w:val="0"/>
      <w:ind w:firstLine="200" w:firstLineChars="200"/>
      <w:jc w:val="both"/>
    </w:pPr>
    <w:rPr>
      <w:rFonts w:ascii="宋体" w:hAnsi="Calibri" w:eastAsia="宋体" w:cs="宋体"/>
      <w:sz w:val="21"/>
      <w:szCs w:val="21"/>
      <w:lang w:val="en-US" w:eastAsia="zh-CN" w:bidi="ar-SA"/>
    </w:rPr>
  </w:style>
  <w:style w:type="character" w:customStyle="1" w:styleId="21">
    <w:name w:val="NormalCharacter"/>
    <w:qFormat/>
    <w:uiPriority w:val="99"/>
    <w:rPr>
      <w:rFonts w:ascii="Calibri" w:hAnsi="Calibri" w:eastAsia="宋体" w:cs="Times New Roman"/>
      <w:kern w:val="2"/>
      <w:sz w:val="21"/>
      <w:szCs w:val="24"/>
      <w:lang w:val="en-US" w:eastAsia="zh-CN" w:bidi="ar-SA"/>
    </w:rPr>
  </w:style>
  <w:style w:type="character" w:customStyle="1" w:styleId="22">
    <w:name w:val="批注框文本 Char"/>
    <w:basedOn w:val="16"/>
    <w:link w:val="12"/>
    <w:semiHidden/>
    <w:qFormat/>
    <w:uiPriority w:val="99"/>
    <w:rPr>
      <w:rFonts w:ascii="Tahoma" w:hAnsi="Tahoma" w:eastAsia="微软雅黑" w:cstheme="minorBidi"/>
      <w:sz w:val="18"/>
      <w:szCs w:val="18"/>
    </w:rPr>
  </w:style>
  <w:style w:type="character" w:customStyle="1" w:styleId="23">
    <w:name w:val="页脚 Char"/>
    <w:basedOn w:val="16"/>
    <w:link w:val="13"/>
    <w:qFormat/>
    <w:uiPriority w:val="99"/>
    <w:rPr>
      <w:rFonts w:ascii="Tahoma" w:hAnsi="Tahoma" w:eastAsia="微软雅黑" w:cstheme="minorBidi"/>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1338</Words>
  <Characters>7631</Characters>
  <Lines>63</Lines>
  <Paragraphs>17</Paragraphs>
  <TotalTime>78</TotalTime>
  <ScaleCrop>false</ScaleCrop>
  <LinksUpToDate>false</LinksUpToDate>
  <CharactersWithSpaces>8952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2022-12-21T10:51:00Z</dcterms:created>
  <dc:creator>Administrator</dc:creator>
  <cp:lastModifiedBy>Administrator</cp:lastModifiedBy>
  <cp:lastPrinted>2025-12-18T01:38:00Z</cp:lastPrinted>
  <dcterms:modified xsi:type="dcterms:W3CDTF">2025-12-18T10:33:59Z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2809566A9339468F94000FCBD2D34796_13</vt:lpwstr>
  </property>
  <property fmtid="{D5CDD505-2E9C-101B-9397-08002B2CF9AE}" pid="4" name="KSOTemplateDocerSaveRecord">
    <vt:lpwstr>eyJoZGlkIjoiYjFmNTg5ODEwNzcyN2E0OGZkODk4YWYxZDczNzJlZGQiLCJ1c2VySWQiOiI1MzMyMzE1NjEifQ==</vt:lpwstr>
  </property>
</Properties>
</file>