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2"/>
          <w:szCs w:val="32"/>
        </w:rPr>
        <w:t>附件2:</w:t>
      </w:r>
    </w:p>
    <w:p>
      <w:pPr>
        <w:tabs>
          <w:tab w:val="left" w:pos="300"/>
          <w:tab w:val="center" w:pos="4153"/>
          <w:tab w:val="right" w:pos="8306"/>
        </w:tabs>
        <w:spacing w:beforeLines="50" w:afterLines="50" w:line="540" w:lineRule="exact"/>
        <w:jc w:val="left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44"/>
          <w:szCs w:val="44"/>
        </w:rPr>
        <w:tab/>
      </w:r>
      <w:r>
        <w:rPr>
          <w:rFonts w:hint="eastAsia" w:ascii="宋体" w:hAnsi="宋体"/>
          <w:b/>
          <w:sz w:val="44"/>
          <w:szCs w:val="44"/>
        </w:rPr>
        <w:tab/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25</w:t>
      </w:r>
      <w:r>
        <w:rPr>
          <w:rFonts w:hint="eastAsia" w:ascii="宋体" w:hAnsi="宋体"/>
          <w:b/>
          <w:sz w:val="36"/>
          <w:szCs w:val="36"/>
        </w:rPr>
        <w:t>年度宁化县本级政府决算相关重要事项说明</w:t>
      </w:r>
      <w:r>
        <w:rPr>
          <w:rFonts w:hint="eastAsia" w:ascii="宋体" w:hAnsi="宋体"/>
          <w:b/>
          <w:sz w:val="36"/>
          <w:szCs w:val="36"/>
        </w:rPr>
        <w:tab/>
      </w:r>
    </w:p>
    <w:p>
      <w:pPr>
        <w:tabs>
          <w:tab w:val="left" w:pos="300"/>
          <w:tab w:val="center" w:pos="4153"/>
          <w:tab w:val="right" w:pos="8306"/>
        </w:tabs>
        <w:spacing w:beforeLines="50" w:afterLines="50" w:line="540" w:lineRule="exact"/>
        <w:jc w:val="left"/>
        <w:rPr>
          <w:rFonts w:ascii="宋体" w:hAnsi="宋体"/>
          <w:b/>
          <w:sz w:val="44"/>
          <w:szCs w:val="44"/>
        </w:rPr>
      </w:pP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一、县本级支出决算说明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年度宁化县本级一般公共决算支出数为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288153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减少11985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下降3.99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%。具体情况如下：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(一)201-一般公共服务支出科目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19680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882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增长4.69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%。其中: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20101-人大事务科目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增长26.19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主要是行政运行增加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273万元。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20102-政协事务科目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增长19.85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。主要是行政运行增加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69万元，其他政协事务支出增加67万元。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20103-政府办公厅(室)及相关机构事务科目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2064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减少161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下降7.24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一般行政管理事务减少了87万元，其他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政府办公厅(室)及相关机构事务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支出减少了90万元。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20104-发展与改革事务科目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减少843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下降41.86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其他发展与改革事务支出减少了855万元。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20105-统计信息事务科目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20106-财政事务科目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1679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270万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增长19.16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主要是行政运行增加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20107-税收事务科目797万元，较上年减少268万元，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下降25.16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行政运行减少了266万元。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20108-审计事务科目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942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增加370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增长64.69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主要是行政运行增加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251万元，其他审计事务支出增加160万元。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20111-纪检监察事务科目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2383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较上年增加774万元，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增长48.1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主要原因是行政运行费用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688万元。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20113-商贸事务科目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2.94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20123-民族事务科目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较上年减少16万元，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下降10.06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-港澳台事务科目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较上年增加53万元，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增长126.19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主要原因是台湾事务费用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41万元。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20126-档案事务科目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减少111万元，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下降28.83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其他档案事务支出减少129万元。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20128-民主党派及工商联事务科目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较上年减少14万元，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下降7.95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20129-群众团体事务科目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691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较上年减少11万元，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下降1.57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20131-党委办公厅(室)及相关机构事务科目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1648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较上年减少202万元，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下降10.92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20132-组织事务科目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1033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较上年增加90万元，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增长9.54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20133-宣传事务科目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较上年增加88万元，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增长15.02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20134-统战事务科目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9.16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20135-对外联络事务科目0元，较上年持平。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20136-其他共产党事务支出科目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11万元，下降2.61%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20137-网信事务科目0元，较上年持平。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20138-市场监督管理事务科目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较上年增加376万元，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增长21.58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主要是行政运行增加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433万元。</w:t>
      </w:r>
    </w:p>
    <w:p>
      <w:pPr>
        <w:pStyle w:val="2"/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-社会工作事务科目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316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较上年增加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225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</w:t>
      </w:r>
      <w:r>
        <w:rPr>
          <w:rFonts w:hint="eastAsia" w:hAnsi="仿宋_GB2312" w:cs="仿宋_GB2312"/>
          <w:kern w:val="0"/>
          <w:sz w:val="32"/>
          <w:szCs w:val="32"/>
          <w:highlight w:val="none"/>
          <w:lang w:val="en-US" w:eastAsia="zh-CN"/>
        </w:rPr>
        <w:t>247.25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主要是专项业务</w:t>
      </w:r>
      <w:r>
        <w:rPr>
          <w:rFonts w:hint="eastAsia" w:hAnsi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152万元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>
      <w:pPr>
        <w:pStyle w:val="2"/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-信访事务科目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146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较上年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减少22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万元，</w:t>
      </w:r>
      <w:r>
        <w:rPr>
          <w:rFonts w:hint="eastAsia" w:hAnsi="仿宋_GB2312" w:cs="仿宋_GB2312"/>
          <w:kern w:val="0"/>
          <w:sz w:val="32"/>
          <w:szCs w:val="32"/>
          <w:highlight w:val="none"/>
          <w:lang w:val="en-US" w:eastAsia="zh-CN"/>
        </w:rPr>
        <w:t>下降13.1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20199-其他一般公共服务支出科目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较上年减少120万元，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（二）202-外交支出科目0万元，较上年持平。其中：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20201-外交管理事务科目0万元，较上年持平。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20202-驻外机构科目0万元，较上年持平。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20203-对外援助科目0万元，较上年持平。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20204-国际组织科目0万元，较上年持平。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20205-对外合作与交流科目0万元，较上年持平。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20206-对外宣传科目0万元，较上年持平。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20207-边界勘界联检科目0万元，较上年持平。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20208-国际发展合作科目0万元，较上年持平。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20299-其他外交支出科目0万元，较上年持平。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）204-公共安全支出科目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14682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较上年增加504万元，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增长3.55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。其中：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20401-武装警察部队科目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较上年增加5万元，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增长5.49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20402-公安科目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13035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较上年增加461万元，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增长3.67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20404-检察科目0万元，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2040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-法院科目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20406-司法科目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1487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较上年增加23万元，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增长1.57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20407-监狱科目0万元，较上年持平。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20408-强制隔离戒毒科目0万元，较上年持平。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20409-国家保密科目0万元，较上年持平。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20410-缉私警察科目0万元，较上年持平。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20499-其他公共安全支出科目64万元，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39.13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其他公共安全支出增加了24万元。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）205-教育支出科目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80852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2834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3.63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%。其中：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20501-教育管理事务科目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1073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6.98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20502-普通教育科目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74324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4388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20503-职业教育科目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351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13.59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20504-成人教育科目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20505-广播电视教育科目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5.93%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20506-留学教育科目0万元，较上年持平。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20507-特殊教育科目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增长4.7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%。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20508-进修及培训科目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%。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20509-教育费附加安排的支出科目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62.86%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其他教育费附加安排的支出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307万元。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20599-其他教育支出科目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2102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1451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40.84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其他教育支出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1451万元。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）206-科学技术支出科目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增加366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增长39.1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%。其中：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20601-科学技术管理事务科目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下降4.69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20602-基础研究科目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20603-应用研究科目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20604-技术研究与开发科目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增加365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增长78.49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其他技术研究与开发支出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265万元。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20606-社会科学科目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20607-科学技术普及科目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10.64%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20608-科技交流与合作科目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20609-科技重大项目科目0万元，较上年持平。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20699-其他科学技术支出科目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增长94.92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其他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科学技术支出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56万元。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）207-文化旅游体育与传媒支出科目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7347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增加1404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增长23.62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%。其中：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20701-文化和旅游科目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3556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增加306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增长9.42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20702-文物科目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849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增长4.43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20703-体育科目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1545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增加780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增长101.96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体育场馆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780万元。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新闻出版电影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36.36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其他新闻出版电影支出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20708-广播电视科目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1067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31.24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其他广播电视支出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237万元。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20799-其他文化体育与传媒支出科目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增长8.25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）208-社会保障和就业支出科目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47804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减少2072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下降4.15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%。其中：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20801-人力资源和社会保障管理事务科目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1442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26.38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其他人力资源和社会保障管理事务支出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340万元。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20802-民政管理事务科目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967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593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38.01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其他民政管理事务支出支出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567万元。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20804-补充全国社会保障基金科目0万元，较上年持平。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20805-行政事业单位养老支出科目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15373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减少2443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下降13.71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20806-企业改革补助科目0万元，较上年持平。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20807-就业补助科目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减少482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下降48.15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其他就业补助支出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482万元。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20808-抚恤科目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减少859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下降28.78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主要是因为光荣院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减少了831万元。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20809-退役安置科目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下降1.08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20810-社会福利科目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减少41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下降3.03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20811-残疾人事业科目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2079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减少41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下降1.93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20816-红十字事业科目0万元，较上年持平。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20819-最低生活保障科目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4889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%。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20820-临时救助科目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减少53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下降12.65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20821-特困人员救助供养科目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1291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增加95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增长7.94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20824-补充道路交通事故社会救助基金科目0万元，较上年持平。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20825-其他生活救助科目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减少231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下降85.56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其他农村生活救助支出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230万元。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20826-财政对基本养老保险基金的补助科目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16267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增长12.69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20827-财政对其他社会保险基金的补助科目0万元，较上年持平。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20828-退役军人管理事务科目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增长19.05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其他退役军人事务管理支出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44万元。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20830-财政代缴社会保险费支出科目163万元，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4.12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20899-其他社会保障和就业支出科目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增长222.86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其他社会保障和就业支出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156万元。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）210-卫生健康支出科目2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4427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减少545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下降2.18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21001-卫生健康管理事务科目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591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下降4.06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21002-公立医院科目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2285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减少2727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下降54.41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主要是因为综合医院支出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减少了2633万元。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21003-基层医疗卫生机构科目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6601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增长5.04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21004-公共卫生科目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4797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下降1.15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21007-计划生育事务科目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1537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21011-行政事业单位医疗科目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21012-财政对基本医疗保险基金的补助科目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3542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1.37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21013-医疗救助科目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844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21014-优抚对象医疗科目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29.63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主要是因为优抚对象医疗补助支出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减少8万元。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21015-医疗保障管理事务科目0万元，较上年持平。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21016-老龄卫生健康事务科目0万元，较上年持平。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-中医药事务科目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19.35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中医(民族医)药专项支出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21018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-疾病预防控制事务科目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hAnsi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pStyle w:val="2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2101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-</w:t>
      </w:r>
      <w:r>
        <w:rPr>
          <w:rFonts w:hint="eastAsia" w:hAnsi="仿宋_GB2312" w:cs="仿宋_GB2312"/>
          <w:kern w:val="0"/>
          <w:sz w:val="32"/>
          <w:szCs w:val="32"/>
          <w:lang w:eastAsia="zh-CN"/>
        </w:rPr>
        <w:t>托育服务科目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2114</w:t>
      </w:r>
      <w:r>
        <w:rPr>
          <w:rFonts w:hint="eastAsia" w:hAnsi="仿宋_GB2312" w:cs="仿宋_GB2312"/>
          <w:kern w:val="0"/>
          <w:sz w:val="32"/>
          <w:szCs w:val="32"/>
          <w:lang w:eastAsia="zh-CN"/>
        </w:rPr>
        <w:t>万元，较上年增加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2114</w:t>
      </w:r>
      <w:r>
        <w:rPr>
          <w:rFonts w:hint="eastAsia" w:hAnsi="仿宋_GB2312" w:cs="仿宋_GB2312"/>
          <w:kern w:val="0"/>
          <w:sz w:val="32"/>
          <w:szCs w:val="32"/>
          <w:lang w:eastAsia="zh-CN"/>
        </w:rPr>
        <w:t>万元，增长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hAnsi="仿宋_GB2312" w:cs="仿宋_GB2312"/>
          <w:kern w:val="0"/>
          <w:sz w:val="32"/>
          <w:szCs w:val="32"/>
          <w:lang w:eastAsia="zh-CN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21099-其他卫生健康支出科目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337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26.92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主要是因为其他卫生健康支出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减少了337万元。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）211-节能环保支出科目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11910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5019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72.83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%。其中：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21101-环境保护管理事务科目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2110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-环境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监测与监察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100%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21103-污染防治科目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3975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12.27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21104-自然生态保护科目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减少186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下降77.5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农村环境保护支出减少了216万元。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21105-森林保护修复科目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5012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4472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828.15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中央财政林业草原生态保护恢复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资金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2379万元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2025年支出， 中央财政林业草原相关资金、天然商品林停伐管护补助等专项资金增加3216万元。</w:t>
      </w:r>
      <w:bookmarkStart w:id="0" w:name="_GoBack"/>
      <w:bookmarkEnd w:id="0"/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21107-风沙荒漠治理科目0万元，较上年持平。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21108-退牧还草科目0万元，较上年持平。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21109-已垦草原退耕还草科目0万元，较上年持平。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21110-能源节约利用科目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21111-污染减排科目0万元，较上年持平。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21113-循环经济科目0万元，较上年持平。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21114-能源管理事务科目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21199-其他节能环保支出科目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2775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增加1216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增长78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其他节能环保支出科目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省市专项资金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1216万元。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（十）212-城乡社区支出科目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7235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减少10374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下降58.91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。其中：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21201-城乡社区管理事务科目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3885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36.84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城管执法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支出增加了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1504万元。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21202-城乡社区规划与管理科目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70.84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城乡社区规划与管理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减少了277万元。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21203-城乡社区公共设施科目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1875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57.26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主要是其他城乡社区公共设施支出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减少了2299万元。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21205-城乡社区环境卫生科目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653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减少428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下降39.59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城乡社区环境卫生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支出428万元。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21206-建设市场管理与监督科目0万元，较上年持平。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-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其他城乡社区支出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减少8204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下降92.06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其他城乡社区支出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8204万元。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）213-农林水支出科目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37624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7032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15.75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%。其中：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21301-农业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农村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18053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3198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15.05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其他农业农村支出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3911万元。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21302-林业和草原科目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6554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减少82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下降1.24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21303-水利科目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7792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减少4513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下降36.68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主要是因为减少了防汛支出3864万元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21305-巩固脱贫衔接乡村振兴科目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4434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增加863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增长24.17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其他巩固脱贫攻坚成果衔接乡村振兴支出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761万元。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21307-农村综合改革科目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增长0.51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21308-普惠金融发展支出科目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545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减少120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下降18.05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。主要是因为创业担保贷款贴息及奖补减少了66万元，其他普惠金融发展支出减少了73万元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21309-目标价格补贴科目0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 xml:space="preserve">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21399-其他农林水支出科目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增长54.84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主要是因为其他农林水支出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增加了17万元。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）214-交通运输支出科目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9510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增加2046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增长27.41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%。其中：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21401-公路水路运输科目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9385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增加2728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增长40.98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公路建设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2079万元。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21402-铁路运输科目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21403-民用航空运输科目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0万元，较上年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21405-邮政业支出科目0万元，较上年持平。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21499-其他交通运输支出科目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减少682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下降96.46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主要是因为其他交通运输支出减少了530万元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）215-资源勘探信息等支出科目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2955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增加518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增长21.26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。其中：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21501-资源勘探开发科目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21502-制造业科目0万元，较上年持平。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21503-建筑业科目0万元，较上年持平。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21505-工业和信息产业科目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1841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增加315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增长20.64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主要是因为增加了行政运行支出315万元。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21507-国有资产监管科目0万元，较上年持平。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21508-支持中小企业发展和管理支出科目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891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增加53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增长6.32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21599-其他资源勘探工业信息等支出科目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增加150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205.48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主要是因为其他资源勘探工业信息等支出增加了180万元。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）216-商业服务业等支出科目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1593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减少1247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下降43.91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。其中：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21602-商业流通事务科目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1190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减少1142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下降48.97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主要是因为其他商业流通事务支出减少了1057万元。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21606-涉外发展服务支出科目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增加37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增长80.43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主要是因为增加了其他涉外发展服务支出37万元。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21699-其他商业服务业等支出科目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减少142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下降30.74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其他商业服务业等支出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162万元。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）217-金融支出科目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下降11.25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。其中：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21701-金融部门行政支出科目0万元，较上年持平。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21702-金融部门监管支出科目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21703-金融发展支出科目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31万元，增长100%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21704-金融调控支出科目0万元，较上年持平。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21799-其他金融支出科目0万元，较上年持平。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）219-援助其他地区支出科目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117万元，增长100%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 其中：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21901-一般公共服务科目0万元，较上年持平。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21902-教育科目0万元，较上年持平。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21903-文化体育与传媒科目0万元，较上年持平。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21904-医疗卫生科目0万元，较上年持平。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21905-节能环保科目0万元，较上年持平。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21906-农业科目0万元，较上年持平。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21907-交通运输科目0万元，较上年持平。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21908-住房保障科目0万元，较上年持平。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21999-其他支出科目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117万元，增长100%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）220-自然资源海洋气象等支出科目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5280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减少90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下降1.68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。其中：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22001-自然资源事务科目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4995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下降3.89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22005-气象事务科目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285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增加了112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增长64.74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主要是气象服务增加了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114万元。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22099-其他自然资源海洋气象等支出科目0万元，较上年持平。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）221-住房保障支出科目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1259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减少2156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下降63.13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。其中：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22101-保障性安居工程支出科目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1239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减少1478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下降54.4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老旧小区改造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减少了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1418万元。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22102-住房改革支出科目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减少698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下降100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22103-城乡社区住宅科目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20万元，增长100%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十九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)222-粮油物资储备支出科目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增加347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107.76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%。其中：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22201-粮油事务科目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增加347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107.76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主要是因为增加了其他粮油物资事务支出337万元。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22203-能源储备科目0万元，较上年持平。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22204-粮油储备科目0万元，较上年持平。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22205-重要商品储备科目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（二十）224-灾害防治及应急管理支出科目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25.24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其中：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22401-应急管理事务科目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5.83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22402-消防救援事务科目964万元，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增加93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增长10.68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22404-矿山安全科目0万元，较上年持平。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22405-地震事务科目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480%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地震预测预报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12万，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地震灾害预防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12万。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2406-自然灾害防治科目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减少590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下降85.14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地质灾害防治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543万元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22407-自然灾害救灾及恢复重建支出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减少316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下降86.34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自然灾害救灾补助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318万元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yellow"/>
          <w:lang w:val="en-U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-其他灾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害防治及应急管理支出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减少100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90.91%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。主要是其他灾害防治及应急管理支出减少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100万元。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）229-其他支出科目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减少1927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下降75.42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其中：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其他支出科目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减少1927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下降75.42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主要是其他支出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减少1927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）232-债务付息支出科目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10045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增加191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增长1.94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%。其中：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23201-中央政府国内债务付息支出科目0万元，较上年持平。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23202-中央政府国外债务付息支出科目0万元，较上年持平。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23203-地方政府一般债务付息支出科目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10045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增加191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增长1.94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（二十三）233-债务发行费用支出科目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。其中：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23301-中央政府国内债务发行费用支出科目0万元，较上年持平。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23302-中央政府国外债务发行费用支出科目0万元，较上年持平。 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23303-地方政府一般债务发行费用支出科目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万元，较上年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二、财政转移支付安排情况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年度宁化县对下税收返还和转移支付决算数为0万元，比20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年增加0万元，增长0%。原因是：宁化县所辖乡镇作为一级预算部门管理，未单独编制政府预算，为此没有一般公共预算对下税收返还和转移支付决算数据。具体情况如下：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(一)税收返还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年度宁化县对下税收返还决算数为0万元，比20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年增加0万元，增长0%。其中：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1.所得税基数返还收入0万元，比20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年增加0万元，增长0%。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2.成品油价格和税费改革税收返还收入0万元，比20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年增加0万元，增长0%。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3.增值税税收返还收入0万元，比20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年增加0万元，增长0%。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4.消费税税收返还收入0万元，比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增加0万元，增长0%。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5.增值税“五五分享”税收返还收入0万元，比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增加0万元，增长0%。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（二）一般性转移支付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年度宁化县对下一般转移支付决算数为0万元，比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增加0万元，增长0%。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（三）专项转移支付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年度宁化县对下专项转移支付决算数为0万元，比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增加0万元，增长0%。</w:t>
      </w:r>
    </w:p>
    <w:p>
      <w:pPr>
        <w:wordWrap/>
        <w:spacing w:before="0" w:after="0" w:line="600" w:lineRule="exact"/>
        <w:ind w:left="0" w:leftChars="0" w:right="0" w:firstLine="640" w:firstLineChars="200"/>
        <w:jc w:val="both"/>
        <w:outlineLvl w:val="9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三、</w:t>
      </w:r>
      <w:r>
        <w:rPr>
          <w:rFonts w:hint="eastAsia" w:ascii="黑体" w:hAnsi="黑体" w:eastAsia="黑体"/>
          <w:b/>
          <w:sz w:val="32"/>
          <w:szCs w:val="32"/>
          <w:highlight w:val="none"/>
        </w:rPr>
        <w:t>举借政府债务情况</w:t>
      </w:r>
    </w:p>
    <w:p>
      <w:pPr>
        <w:widowControl w:val="0"/>
        <w:numPr>
          <w:ilvl w:val="0"/>
          <w:numId w:val="0"/>
        </w:numPr>
        <w:wordWrap/>
        <w:adjustRightInd w:val="0"/>
        <w:snapToGrid w:val="0"/>
        <w:spacing w:before="0" w:after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  <w:t>（一）地方政府债务限额情况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截至202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年底，省财政厅核定我县地方政府债务限额为674,588万元，其中：一般债务限额345,159万元、专项债务限额329,429万元。</w:t>
      </w:r>
    </w:p>
    <w:p>
      <w:pPr>
        <w:widowControl w:val="0"/>
        <w:numPr>
          <w:ilvl w:val="0"/>
          <w:numId w:val="0"/>
        </w:numPr>
        <w:wordWrap/>
        <w:adjustRightInd w:val="0"/>
        <w:snapToGrid w:val="0"/>
        <w:spacing w:before="0" w:after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/>
          <w:highlight w:val="none"/>
        </w:rPr>
      </w:pPr>
      <w:r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  <w:t>（二）地方政府债务余额情况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截至202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年底，我县地方政府债务余额为650,346万元，其中：一般债务余额323,645万元、专项债务余额326,701万元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均未突破省上核定我县的债务限额。</w:t>
      </w:r>
    </w:p>
    <w:p>
      <w:pPr>
        <w:widowControl w:val="0"/>
        <w:numPr>
          <w:ilvl w:val="0"/>
          <w:numId w:val="0"/>
        </w:numPr>
        <w:wordWrap/>
        <w:adjustRightInd w:val="0"/>
        <w:snapToGrid w:val="0"/>
        <w:spacing w:before="0" w:after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  <w:t>（三）地方政府债券发行情况</w:t>
      </w:r>
    </w:p>
    <w:p>
      <w:pPr>
        <w:widowControl w:val="0"/>
        <w:numPr>
          <w:ilvl w:val="0"/>
          <w:numId w:val="0"/>
        </w:numPr>
        <w:wordWrap/>
        <w:adjustRightInd w:val="0"/>
        <w:snapToGrid w:val="0"/>
        <w:spacing w:before="0" w:after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eastAsia="zh-CN" w:bidi="ar-SA"/>
        </w:rPr>
        <w:t>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025年我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县发行地方政府债券81,931万元,其中一般债券44,669万元、专项债券37,262万元。</w:t>
      </w:r>
    </w:p>
    <w:p>
      <w:pPr>
        <w:widowControl w:val="0"/>
        <w:numPr>
          <w:ilvl w:val="0"/>
          <w:numId w:val="0"/>
        </w:numPr>
        <w:wordWrap/>
        <w:adjustRightInd w:val="0"/>
        <w:snapToGrid w:val="0"/>
        <w:spacing w:before="0" w:after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  <w:t>（四）地方政府债券还本付息情况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年，我县通过申请发行再融资债券、上级债券贴息专项补助和县本级预算安排资金，圆满完成法定债务还本付息计划，其中：偿还到期本金50,264万元，支付到期利息19,012.95万元。</w:t>
      </w:r>
    </w:p>
    <w:p>
      <w:pPr>
        <w:widowControl w:val="0"/>
        <w:numPr>
          <w:ilvl w:val="0"/>
          <w:numId w:val="0"/>
        </w:numPr>
        <w:wordWrap/>
        <w:adjustRightInd w:val="0"/>
        <w:snapToGrid w:val="0"/>
        <w:spacing w:before="0" w:after="0"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  <w:t>（五）新增地方政府债券安排使用情况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新增一般债券情况：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发行新增一般债券14,003万元，主要投向为：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交通运输支出6,283万元，安排用于城区市政道路提升项目2,830万元、道路安全整治提升项目1,500万元、国道G356线宁化城关何家园至城郊乡瓦庄村公路续建工程1,220万元、毓政路道路工程733万元。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教育支出5,220万元，安排用于翠城实验中学项目1,500万元、一中图书馆综合楼建设项目1,100万元、五中1#教学综合楼建设项目700万元、江下小学建设项目500万元、六中高中教学综合楼建设项目500万元、一中高中教学综合楼建设项目500万元、安远中心学校扩容建设项目420万元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乡村振兴支出2,000万元，安排用于宁化农旅融合乡村振兴示范带建设项目。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文化旅游体育与传媒支出500万元，安排用于赛事热身馆建设项目。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新增专项债券情况：一是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行用于项目建设的新增专项债券8,900万元，安排用于：华侨经济开发区智能制造产业园（二期）建设项目3,000万元、城区污水管网扩容改建及破损修复项目1,800万元、卫校产教融合实训基地项目1,700万元、东南片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西北片区乡镇污水处理设施及配套管网改造提升工程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,000万元、东方塅片区老旧小区改造项目400万元。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发行用于补充政府性基金财力专项债券11,791万元，安排用于：清理暂付款5,000万元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付政府存量投资项目6,491万元（县医院PPP特许经营可行性缺口补助项目5,656万元、泉湖灌区项目资金缺口835万元）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偿还新桥路安置小区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存量政府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债务300万元。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发行置换存量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债务的专项债券2,000万元，安排用于偿还新桥路安置小区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存量政府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债务（棚改债）。</w:t>
      </w:r>
    </w:p>
    <w:p>
      <w:pPr>
        <w:widowControl w:val="0"/>
        <w:numPr>
          <w:ilvl w:val="0"/>
          <w:numId w:val="0"/>
        </w:numPr>
        <w:pBdr>
          <w:bottom w:val="single" w:color="FFFFFF" w:sz="4" w:space="31"/>
        </w:pBdr>
        <w:wordWrap/>
        <w:adjustRightInd/>
        <w:snapToGrid/>
        <w:spacing w:before="0" w:after="0"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  <w:t>四、</w:t>
      </w:r>
      <w:r>
        <w:rPr>
          <w:rFonts w:hint="eastAsia" w:ascii="黑体" w:hAnsi="黑体" w:eastAsia="黑体"/>
          <w:b w:val="0"/>
          <w:bCs w:val="0"/>
          <w:sz w:val="32"/>
          <w:szCs w:val="32"/>
        </w:rPr>
        <w:t>预算绩效开展情况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为进一步加强预算绩效管理，切实提高财政资源配置效率和使用效益，组织各预算单位开展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2024年度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县级财政预算项目及部门整体绩效自评工作，覆盖所有县级预算单位（涉密单位除外），涉及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302个项目、43548.21万元。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bCs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根据工作要求，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按不低于绩效自评项目个数30%的比例,从202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年度开展绩效自评的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个项目中选取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个项目开展绩效自评抽查工作，涉及预算单位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35个、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3232.72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万元、省级资金145.28万元。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收回机关事务保障中心、民政局、长征遗址保护中心等5个单位6个项目9.27万元。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从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度县级预算项目中选取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7个项目，邀请有资质的第三方评价机构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开展重点绩效评价。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3.组织开展2025年88个部门整体绩效目标申报工作，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覆盖所有县级预算单位（涉密单位除外）。</w:t>
      </w:r>
    </w:p>
    <w:p>
      <w:pPr>
        <w:widowControl w:val="0"/>
        <w:numPr>
          <w:ilvl w:val="0"/>
          <w:numId w:val="0"/>
        </w:numPr>
        <w:pBdr>
          <w:bottom w:val="single" w:color="FFFFFF" w:sz="4" w:space="31"/>
        </w:pBdr>
        <w:wordWrap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ascii="仿宋" w:hAnsi="仿宋" w:eastAsia="仿宋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rPr>
        <w:lang w:val="zh-CN"/>
      </w:rPr>
      <w:fldChar w:fldCharType="end"/>
    </w:r>
  </w:p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2BF7127F"/>
    <w:rsid w:val="37FFAFCB"/>
    <w:rsid w:val="3FA77393"/>
    <w:rsid w:val="4EAFFD25"/>
    <w:rsid w:val="5AFFAE29"/>
    <w:rsid w:val="6AF7F211"/>
    <w:rsid w:val="7BDFF3C7"/>
    <w:rsid w:val="7CFEBC86"/>
    <w:rsid w:val="7D7A2F9B"/>
    <w:rsid w:val="7D7EF13C"/>
    <w:rsid w:val="7EFB6990"/>
    <w:rsid w:val="7FB7AE75"/>
    <w:rsid w:val="7FEFBAF5"/>
    <w:rsid w:val="CFDB795E"/>
    <w:rsid w:val="D6FF42BE"/>
    <w:rsid w:val="DDF13EFF"/>
    <w:rsid w:val="DFF7F3EB"/>
    <w:rsid w:val="EBB9450C"/>
    <w:rsid w:val="EBDDA4E0"/>
    <w:rsid w:val="EF7D9CAA"/>
    <w:rsid w:val="F6FFE2AB"/>
    <w:rsid w:val="F7C9C27D"/>
    <w:rsid w:val="FBBB9207"/>
    <w:rsid w:val="FDFF3A26"/>
    <w:rsid w:val="FF579FD8"/>
    <w:rsid w:val="FF6F21BA"/>
    <w:rsid w:val="FF7A25CC"/>
    <w:rsid w:val="FFFE22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qFormat="1"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新正文"/>
    <w:basedOn w:val="3"/>
    <w:next w:val="4"/>
    <w:qFormat/>
    <w:uiPriority w:val="0"/>
    <w:pPr>
      <w:widowControl/>
      <w:ind w:firstLine="200" w:firstLineChars="200"/>
    </w:pPr>
    <w:rPr>
      <w:rFonts w:ascii="仿宋_GB2312" w:hAnsi="Courier New" w:eastAsia="仿宋_GB2312"/>
      <w:sz w:val="32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"/>
    <w:basedOn w:val="1"/>
    <w:next w:val="6"/>
    <w:semiHidden/>
    <w:unhideWhenUsed/>
    <w:qFormat/>
    <w:uiPriority w:val="0"/>
    <w:pPr>
      <w:spacing w:after="120"/>
      <w:ind w:left="420" w:leftChars="200"/>
    </w:pPr>
  </w:style>
  <w:style w:type="paragraph" w:styleId="6">
    <w:name w:val="Body Text First Indent 2"/>
    <w:basedOn w:val="5"/>
    <w:next w:val="1"/>
    <w:semiHidden/>
    <w:unhideWhenUsed/>
    <w:qFormat/>
    <w:uiPriority w:val="0"/>
    <w:pPr>
      <w:ind w:firstLine="420" w:firstLineChars="200"/>
    </w:pPr>
    <w:rPr>
      <w:rFonts w:cs="Calibri"/>
      <w:szCs w:val="20"/>
    </w:rPr>
  </w:style>
  <w:style w:type="paragraph" w:styleId="7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1">
    <w:name w:val="Strong"/>
    <w:basedOn w:val="10"/>
    <w:qFormat/>
    <w:uiPriority w:val="22"/>
    <w:rPr>
      <w:b/>
      <w:bCs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p0"/>
    <w:basedOn w:val="1"/>
    <w:unhideWhenUsed/>
    <w:qFormat/>
    <w:uiPriority w:val="99"/>
    <w:pPr>
      <w:widowControl/>
    </w:pPr>
    <w:rPr>
      <w:rFonts w:hint="eastAsia" w:ascii="Calibri" w:hAnsi="Calibri"/>
    </w:rPr>
  </w:style>
  <w:style w:type="paragraph" w:customStyle="1" w:styleId="14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paragraph" w:customStyle="1" w:styleId="15">
    <w:name w:val="Default"/>
    <w:unhideWhenUsed/>
    <w:qFormat/>
    <w:uiPriority w:val="0"/>
    <w:pPr>
      <w:widowControl w:val="0"/>
      <w:autoSpaceDE w:val="0"/>
      <w:autoSpaceDN w:val="0"/>
      <w:adjustRightInd w:val="0"/>
      <w:spacing w:beforeLines="0"/>
    </w:pPr>
    <w:rPr>
      <w:rFonts w:hint="default" w:ascii="Times New Roman" w:hAnsi="Times New Roman" w:eastAsia="宋体" w:cs="Times New Roman"/>
      <w:color w:val="000000"/>
      <w:sz w:val="24"/>
      <w:szCs w:val="22"/>
      <w:lang w:val="en-US" w:eastAsia="zh-CN" w:bidi="ar-SA"/>
    </w:rPr>
  </w:style>
  <w:style w:type="character" w:customStyle="1" w:styleId="16">
    <w:name w:val="页眉 Char"/>
    <w:basedOn w:val="10"/>
    <w:link w:val="4"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8"/>
    <w:qFormat/>
    <w:uiPriority w:val="99"/>
    <w:rPr>
      <w:sz w:val="18"/>
      <w:szCs w:val="18"/>
    </w:rPr>
  </w:style>
  <w:style w:type="character" w:customStyle="1" w:styleId="18">
    <w:name w:val="批注框文本 Char"/>
    <w:basedOn w:val="10"/>
    <w:link w:val="7"/>
    <w:semiHidden/>
    <w:qFormat/>
    <w:uiPriority w:val="99"/>
    <w:rPr>
      <w:sz w:val="18"/>
      <w:szCs w:val="18"/>
    </w:rPr>
  </w:style>
  <w:style w:type="paragraph" w:customStyle="1" w:styleId="19">
    <w:name w:val="UserStyle_1"/>
    <w:basedOn w:val="1"/>
    <w:next w:val="1"/>
    <w:qFormat/>
    <w:uiPriority w:val="0"/>
    <w:pPr>
      <w:spacing w:after="120"/>
      <w:ind w:left="200" w:leftChars="200"/>
      <w:textAlignment w:val="baseline"/>
    </w:pPr>
    <w:rPr>
      <w:rFonts w:ascii="Times New Roman" w:hAnsi="Times New Roman"/>
    </w:rPr>
  </w:style>
  <w:style w:type="paragraph" w:customStyle="1" w:styleId="20">
    <w:name w:val="UserStyle_0"/>
    <w:basedOn w:val="19"/>
    <w:qFormat/>
    <w:uiPriority w:val="0"/>
    <w:pPr>
      <w:spacing w:after="0"/>
      <w:ind w:left="0" w:leftChars="0" w:firstLine="420" w:firstLineChars="200"/>
    </w:pPr>
    <w:rPr>
      <w:rFonts w:ascii="宋体" w:hAnsi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20</Pages>
  <Words>1674</Words>
  <Characters>9547</Characters>
  <Lines>79</Lines>
  <Paragraphs>22</Paragraphs>
  <TotalTime>16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2020-11-20T17:26:00Z</dcterms:created>
  <dc:creator>Administrator</dc:creator>
  <cp:lastModifiedBy>巫升炼</cp:lastModifiedBy>
  <cp:lastPrinted>2022-08-08T15:23:00Z</cp:lastPrinted>
  <dcterms:modified xsi:type="dcterms:W3CDTF">2026-08-07T09:13:49Z</dcterms:modified>
  <dc:title>附件2: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E95241C87F714167B2666C6A618D53C1</vt:lpwstr>
  </property>
</Properties>
</file>