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附件2:</w:t>
      </w:r>
    </w:p>
    <w:p>
      <w:pPr>
        <w:tabs>
          <w:tab w:val="left" w:pos="300"/>
          <w:tab w:val="center" w:pos="4153"/>
          <w:tab w:val="right" w:pos="8306"/>
        </w:tabs>
        <w:spacing w:beforeLines="50" w:afterLines="50" w:line="540" w:lineRule="exact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24</w:t>
      </w:r>
      <w:r>
        <w:rPr>
          <w:rFonts w:hint="eastAsia" w:ascii="宋体" w:hAnsi="宋体"/>
          <w:b/>
          <w:sz w:val="36"/>
          <w:szCs w:val="36"/>
        </w:rPr>
        <w:t>年度宁化县本级政府决算相关重要事项说明</w:t>
      </w:r>
      <w:r>
        <w:rPr>
          <w:rFonts w:hint="eastAsia" w:ascii="宋体" w:hAnsi="宋体"/>
          <w:b/>
          <w:sz w:val="36"/>
          <w:szCs w:val="36"/>
        </w:rPr>
        <w:tab/>
      </w:r>
    </w:p>
    <w:p>
      <w:pPr>
        <w:tabs>
          <w:tab w:val="left" w:pos="300"/>
          <w:tab w:val="center" w:pos="4153"/>
          <w:tab w:val="right" w:pos="8306"/>
        </w:tabs>
        <w:spacing w:beforeLines="50" w:afterLines="50" w:line="540" w:lineRule="exact"/>
        <w:jc w:val="left"/>
        <w:rPr>
          <w:rFonts w:ascii="宋体" w:hAnsi="宋体"/>
          <w:b/>
          <w:sz w:val="44"/>
          <w:szCs w:val="44"/>
        </w:rPr>
      </w:pP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一、县本级支出决算说明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年度宁化县本级一般公共决算支出数为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300138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增加17178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增长6.07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%。具体情况如下：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(一)201-一般公共服务支出科目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18798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4498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增长31.45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%。其中: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20101-人大事务科目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下降3.79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20102-政协事务科目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下降0.87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20103-政府办公厅(室)及相关机构事务科目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增加427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增长23.75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行政运行减少了629万元，其他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政府办公厅(室)及相关机构事务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支出减少了224万元。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20104-发展与改革事务科目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增加1533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增长318.71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增加了安可替代项目支出795万元。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20105-统计信息事务科目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20106-财政事务科目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169万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下降10.71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20107-税收事务科目1065万元，较上年增加887万元，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增长498.31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行政运行增加了1063万元。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20108-审计事务科目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20111-纪检监察事务科目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1609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较上年增加479万元，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增长42.39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主要原因是行政运行费用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458万元。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20113-商贸事务科目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万元，较上年较上年减少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35.85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主要原因是招商引资费用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120万元。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20123-民族事务科目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较上年增加16万元，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增长11.19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其他民族事务支出增加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-港澳台事务科目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较上年增加42万元，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主要原因是行政运行费用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20126-档案事务科目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385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增加167万元，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增长76.61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其他档案事务支出增加154万元。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20128-民主党派及工商联事务科目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较上年增加10万元，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增长6.02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20129-群众团体事务科目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较上年增加119万元，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增长20.41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主要原因是行政运行费用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118万元。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20131-党委办公厅(室)及相关机构事务科目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较上年增加661万元，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增长55.59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是增加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了综治视联网项目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支出343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20132-组织事务科目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较上年增加226万元，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增长31.52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主要原因是其他组织事务支出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166万元。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20133-宣传事务科目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较上年增加46万元，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增长8.52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20134-统战事务科目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20135-对外联络事务科目0元，较上年持平。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20136-其他共产党事务支出科目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20137-网信事务科目0元，较上年持平。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20138-市场监督管理事务科目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较上年增加89万元，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增长5.38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11"/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-社会工作事务科目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较上年增加91万元，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该科目是2024年新增科目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pStyle w:val="11"/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-信访事务科目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较上年增加168万元，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该科目是2024年新增科目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20199-其他一般公共服务支出科目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较上年增加3万元，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增长2.56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（二）202-外交支出科目0万元，较上年持平。其中：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20201-外交管理事务科目0万元，较上年持平。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20202-驻外机构科目0万元，较上年持平。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20203-对外援助科目0万元，较上年持平。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20204-国际组织科目0万元，较上年持平。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20205-对外合作与交流科目0万元，较上年持平。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20206-对外宣传科目0万元，较上年持平。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20207-边界勘界联检科目0万元，较上年持平。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20208-国际发展合作科目0万元，较上年持平。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20299-其他外交支出科目0万元，较上年持平。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）204-公共安全支出科目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14178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较上年增加2400万元，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增长20.38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。其中：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20401-武装警察部队科目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较上年增加45万元，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增长97.83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。主要是因为增加了武装警察部队支出29万元。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20402-公安科目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12574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较上年增加2260万元，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增长21.91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主要原因是行政运行费用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1613万元。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20404-检察科目0万元，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-法院科目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较上年增加3万元，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20406-司法科目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较上年增加213万元，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增长17.03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主要原因是行政运行费用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253万元。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20407-监狱科目0万元，较上年持平。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20408-强制隔离戒毒科目0万元，较上年持平。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20409-国家保密科目0万元，较上年持平。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20410-缉私警察科目0万元，较上年持平。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20411-海警科目0万元，较上年持平。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20499-其他公共安全支出科目46万元，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57.01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其他公共安全支出减少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89万元。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）205-教育支出科目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78018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4869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%。其中：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20501-教育管理事务科目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20502-普通教育科目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69936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20503-职业教育科目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20504-成人教育科目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20505-广播电视教育科目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11.94%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20506-留学教育科目0万元，较上年持平。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20507-特殊教育科目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增长7.89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%。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20508-进修及培训科目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%。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20509-教育费附加安排的支出科目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11.94%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其他教育费附加安排的支出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253万元。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20599-其他教育支出科目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3553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137.5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翠城实验中学建设项目支出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2348万元。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）206-科学技术支出科目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增长34.1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20601-科学技术管理事务科目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增长51.18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行政运行支出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64万元。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20602-基础研究科目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20603-应用研究科目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20604-技术研究与开发科目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增加277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增长147.34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六三种业加工仓储工程项目支出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229万元。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20606-社会科学科目0万元，较上年持平。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20607-科学技术普及科目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22.63%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机构运行支出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48万元。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20608-科技交流与合作科目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20609-科技重大项目科目0万元，较上年持平。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20699-其他科学技术支出科目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增长47.5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其他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科学技术支出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19万元。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）207-文化旅游体育与传媒支出科目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5943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减少1629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下降21.51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20701-文化和旅游科目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3250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减少866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下降21.04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其他文化和旅游支出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777万元。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20702-文物科目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减少1644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下降66.91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了长征精神现场教学点项目支出1500万元。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20703-体育科目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增加741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增长3087.5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赛事热身馆建设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550万元。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新闻出版电影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73.81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其他新闻出版电影支出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32万元。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20708-广播电视科目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20799-其他文化体育与传媒支出科目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增长142.5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增加了“春风计划”及全省“三下乡”活动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130万元。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）208-社会保障和就业支出科目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49876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增加8691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增长21.1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20801-人力资源和社会保障管理事务科目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%。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20802-民政管理事务科目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60.99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其他民政管理事务支出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598万元。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20804-补充全国社会保障基金科目0万元，较上年持平。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20805-行政事业单位养老支出科目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17816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增加6366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增长55.6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对机关事业单位基本养老保险基金的补助支出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7492万元。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20806-企业改革补助科目0万元，较上年持平。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20807-就业补助科目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减少238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下降19.21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其他就业补助支出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238万元。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20808-抚恤科目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2985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减少250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下降7.73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20809-退役安置科目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增长4.99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20810-社会福利科目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减少122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下降8.26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20811-残疾人事业科目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%。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20816-红十字事业科目0万元，较上年持平。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20819-最低生活保障科目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4644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%。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20820-临时救助科目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增长7.71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%。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20821-特困人员救助供养科目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1196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增长6.31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20824-补充道路交通事故社会救助基金科目0万元，较上年持平。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20825-其他生活救助科目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164.71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其他农村生活救助支出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167万元。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20826-财政对基本养老保险基金的补助科目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14435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增长15.13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20827-财政对其他社会保险基金的补助科目0万元，较上年持平。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20828-退役军人管理事务科目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下降10.81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20830-财政代缴社会保险费支出科目170万元，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20899-其他社会保障和就业支出科目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52.05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其他社会保障和就业支出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76万元。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）210-卫生健康支出科目2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4972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减少4961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下降16.57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21001-卫生健康管理事务科目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减少127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下降17.09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21002-公立医院科目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减少2492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下降33.21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其他公立医院支出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1463万元和综合医院支出1024万元。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21003-基层医疗卫生机构科目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6284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增长11.02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21004-公共卫生科目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4853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减少3116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下降39.1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突发公共卫生事件应急处理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支出3023万元。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21007-计划生育事务科目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21011-行政事业单位医疗科目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21012-财政对基本医疗保险基金的补助科目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21.36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财政对城乡居民基本医疗保险基金的补助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939万元。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21013-医疗救助科目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21014-优抚对象医疗科目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优抚对象医疗补助支出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12万元。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21015-医疗保障管理事务科目0万元，较上年持平。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21016-老龄卫生健康事务科目0万元，较上年持平。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-中医药事务科目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81.87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中医(民族医)药专项支出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140万元。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21099-其他卫生健康支出科目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1252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487.79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其他卫生健康支出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1039万元。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）211-节能环保支出科目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6891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69.44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21101-环境保护管理事务科目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2110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-环境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监测与监察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21103-污染防治科目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4531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78.18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水体支出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2009万元。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21104-自然生态保护科目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减少420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下降63.64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其他自然生态保护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支出660万元。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21105-天然林保护科目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21107-风沙荒漠治理科目0万元，较上年持平。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21108-退牧还草科目0万元，较上年持平。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21109-已垦草原退耕还草科目0万元，较上年持平。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21110-能源节约利用科目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21111-污染减排科目0万元，较上年持平。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-可再生能源科目0万元，较上年持平。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21113-循环经济科目0万元，较上年持平。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21114-能源管理事务科目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21199-其他节能环保支出科目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1559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增加1169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增长299.74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其他节能环保支出科目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省市专项资金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1169万元。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（十）212-城乡社区支出科目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17609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减少2582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下降12.79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。其中：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21201-城乡社区管理事务科目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5.97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21202-城乡社区规划与管理科目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31.21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城乡社区规划与管理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93万元。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21203-城乡社区公共设施科目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4387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21.02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主要是其他城乡社区公共设施支出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649万元。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21205-城乡社区环境卫生科目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下降23.33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城乡社区环境卫生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支出329万元。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21206-建设市场管理与监督科目0万元，较上年持平。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其他城乡社区支出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8912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减少3267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下降26.82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其他城乡社区支出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3267万元。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）213-农林水支出科目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44656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21301-农业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21251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21302-林业和草原科目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6636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减少737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21303-水利科目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12305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增加3594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增长41.26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主要是因为增加了防汛支出3487万元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21305-巩固脱贫衔接乡村振兴科目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3571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减少1940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下降35.2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21307-农村综合改革科目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下降25.66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21308-普惠金融发展支出科目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增加663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增长33150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。主要是因为增加了农业保险保费补贴支出492万元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21309-目标价格补贴科目0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21399-其他农林水支出科目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减少473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下降93.85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其他农林水支出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473万元。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）214-交通运输支出科目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7464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减少2938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下降28.24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%。其中：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21401-公路水路运输科目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6657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增长1.25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21402-铁路运输科目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减少3557万元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21403-民用航空运输科目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21405-邮政业支出科目0万元，较上年持平。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21499-其他交通运输支出科目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增加682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增长2728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主要是因为增加了其他交通运输支出530万元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）215-资源勘探信息等支出科目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增加367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增长17.73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。其中：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21501-资源勘探开发科目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21502-制造业科目0万元，较上年持平。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21503-建筑业科目0万元，较上年持平。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21505-工业和信息产业监管科目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1526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增长24.17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主要是因为增加了行政运行支出297万元。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21507-国有资产监管科目0万元，较上年持平。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21508-支持中小企业发展和管理支出科目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增长35.82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主要是因为增加了其他支持中小企业发展和管理支出298万元。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21599-其他资源勘探信息等支出科目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减少150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下降67.26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主要是因为减少了其他资源勘探工业信息等支出149万元。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）216-商业服务业等支出科目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增加1211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增长74.34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。其中：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21602-商业流通事务科目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增加1511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增长184.04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主要是因为增加了其他商业流通事务支出1509万元。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21606-涉外发展服务支出科目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减少581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下降92.66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主要是因为减少了其他涉外发展服务支出578万元。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21699-其他商业服务业等支出科目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增加281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增长155.25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其他商业服务业等支出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462万元。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）217-金融支出科目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下降20.79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。其中：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21701-金融部门行政支出科目0万元，较上年持平。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21702-金融部门监管支出科目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21703-金融发展支出科目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21704-金融调控支出科目0万元，较上年持平。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21799-其他金融支出科目0万元，较上年持平。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）219-援助其他地区支出科目0万元，较上年持平。其中：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21901-一般公共服务科目0万元，较上年持平。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21902-教育科目0万元，较上年持平。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21903-文化体育与传媒科目0万元，较上年持平。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21904-医疗卫生科目0万元，较上年持平。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21905-节能环保科目0万元，较上年持平。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21906-农业科目0万元，较上年持平。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21907-交通运输科目0万元，较上年持平。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21908-住房保障科目0万元，较上年持平。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21999-其他支出科目0万元，较上年持平。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）220-自然资源海洋气象等支出科目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5370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增加1608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增长42.74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。其中：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22001-自然资源事务科目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5197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增加1604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增长44.64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自然资源利用与保护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1503万元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22005-气象事务科目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增加了4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增长2.37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%。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22099-其他自然资源海洋气象等支出科目0万元，较上年持平。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）221-住房保障支出科目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减少1765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下降34.07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。其中：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22101-保障性安居工程支出科目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2717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减少752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下降21.68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22102-住房改革支出科目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减少1013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下降59.21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主要是因为减少了住房公积金支出657万元和购房补贴支出356万元。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22103-城乡社区住宅科目0万元，较上年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)222-粮油物资储备支出科目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减少467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下降59.19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%。其中：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22201-粮油事务科目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减少467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下降59.19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主要是因为减少了其他粮油物资事务支出560万元。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22203-能源储备科目0万元，较上年持平。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22204-粮油储备科目0万元，较上年持平。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22205-重要商品储备科目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（二十）224-灾害防治及应急管理支出科目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1185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57.52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22401-应急管理事务科目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1200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54.04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主要是因为增加了其他应急管理支出218万元。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22402-消防救援事务科目871万元，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下降4.5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22404-煤矿安全科目0万元，较上年持平。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22405-地震事务科目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70.59%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2406-自然灾害防治科目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增加390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增长128.71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地质灾害防治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333万元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22407-自然灾害救灾及恢复重建支出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366万元，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增加317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增长646.94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自然灾害救灾补助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317万元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-其他灾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害防治及应急管理支出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增加110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）229-其他支出科目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增加2521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增长7414.71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22999-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2555万元，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增加2521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增长7414.71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）232-债务付息支出科目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9854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增长0.19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%。其中：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23201-中央政府国内债务付息支出科目0万元，较上年持平。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23202-中央政府国外债务付息支出科目0万元，较上年持平。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23203-地方政府一般债务付息支出科目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9854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增长0.19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（二十三）233-债务发行费用支出科目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下降13.64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23301-中央政府国内债务发行费用支出科目0万元，较上年持平。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23302-中央政府国外债务发行费用支出科目0万元，较上年持平。 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23303-地方政府一般债务发行费用支出科目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下降13.64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二、财政转移支付安排情况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年度宁化县对下税收返还和转移支付决算数为0万元，比20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年增加0万元，增长0%。原因是：宁化县所辖乡镇作为一级预算部门管理，未单独编制政府预算，为此没有一般公共预算对下税收返还和转移支付决算数据。具体情况如下：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(一)税收返还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年度宁化县对下税收返还决算数为0万元，比20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年增加0万元，增长0%。其中：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1.所得税基数返还收入0万元，比20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年增加0万元，增长0%。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2.成品油价格和税费改革税收返还收入0万元，比20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年增加0万元，增长0%。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3.增值税税收返还收入0万元，比20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年增加0万元，增长0%。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4.消费税税收返还收入0万元，比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增加0万元，增长0%。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5.增值税“五五分享”税收返还收入0万元，比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增加0万元，增长0%。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（二）一般性转移支付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年度宁化县对下一般转移支付决算数为0万元，比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增加0万元，增长0%。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（三）专项转移支付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年度宁化县对下专项转移支付决算数为0万元，比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增加0万元，增长0%。</w:t>
      </w:r>
    </w:p>
    <w:p>
      <w:pPr>
        <w:wordWrap/>
        <w:spacing w:before="0" w:after="0" w:line="600" w:lineRule="exact"/>
        <w:ind w:left="0" w:leftChars="0" w:right="0" w:firstLine="640" w:firstLineChars="200"/>
        <w:jc w:val="both"/>
        <w:outlineLvl w:val="9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举借政府债务情况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  <w:t>（一）举借政府债务情况</w:t>
      </w:r>
    </w:p>
    <w:p>
      <w:pPr>
        <w:pStyle w:val="3"/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截至2024年12月末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我县地方政府债务限额为647,699万元，其中：一般债务限额340,091万元、专项债务限额307,608万元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highlight w:val="none"/>
        </w:rPr>
      </w:pPr>
      <w:r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  <w:t>（二）地方政府债务限额余额情况</w:t>
      </w:r>
    </w:p>
    <w:p>
      <w:pPr>
        <w:pStyle w:val="3"/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截至2024年12月末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地方政府债务系统债务余额619,687.28万元，其中：一般债务余额314,058.28万元、专项债务余额305,629万元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，均未突破省上核定我县的债务限额。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  <w:t>（三）地方政府债券发行情况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024年我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县发行地方政府债券117,262万元,其中一般债券40,696万元、专项债券76,566万元。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  <w:t>（四）地方政府债券还本付息情况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2024年，我县通过申请发行再融资债券、上级债券贴息专项补助和县本级预算安排资金，圆满完成法定债务还本付息计划，其中：偿还到期本金26,459万元，支付到期利息17,353.78万元。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  <w:t>（五）地方政府债券资金使用安排情况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2024年我县发行地方政府债券117,262万元,其中一般债券40,696万元、专项债券76,566万元。</w:t>
      </w:r>
    </w:p>
    <w:p>
      <w:pPr>
        <w:pStyle w:val="20"/>
        <w:widowControl w:val="0"/>
        <w:wordWrap/>
        <w:spacing w:before="0" w:after="0" w:line="600" w:lineRule="exact"/>
        <w:ind w:left="0" w:leftChars="0" w:right="0" w:firstLine="643" w:firstLineChars="200"/>
        <w:jc w:val="both"/>
        <w:outlineLvl w:val="9"/>
        <w:rPr>
          <w:rFonts w:hint="eastAsia" w:ascii="仿宋_GB2312" w:hAnsi="仿宋_GB2312" w:eastAsia="仿宋_GB2312" w:cs="仿宋_GB2312"/>
          <w:strike/>
          <w:dstrike w:val="0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一般债券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使用情况。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2024年发行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新增一般债券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11,726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，主要投向为：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交通运输支出5,332万元，用于国道G356宁化城郊镇瓦庄至淮土镇五里亭路面“白改黑”公路工程4,432万元、国道G356宁化城关何家园至城郊镇瓦庄村公路续建工程900万元。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2,806万元，用于赛事热身馆建设项目1,668万元、连冈学苑公园建设项目558万元、市民休闲活动中心建设项目300万元、伊秉绶(五星路）文化街改造项目280万元。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教育支出2,721万元，用于七中扩容建设项目1,460万元、安乐中心幼儿园建设项目325万元、江下小学建设项目260万元、河龙中心幼儿园建设项目236万元、第二实验小学综合艺体楼建设工程项目230万元、滨江实验学校建设项目210万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城乡社区支出867万元，用于老车站周边路网建设项目530万元、慈恩山周边路网建设项目337万元。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before="0" w:after="0"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专项债券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使用情况。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发行用于项目建设的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新增专项债券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194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，安排用于：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华侨经济开发区智能制造产业园（二期）建设项目8,100万元、2024年老旧小区改造项目4,434万元、城区污水管网扩容改建及破损修复项目4,000万元、智慧教育基础设施建设项目3,600万元、城南化工工业集中区基础设施建设项目2,200万元、华侨经济开发区基础设施（二期）建设项目1,800万元、电动汽车充电基础设施建设项目1,200万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殡葬服务中心建设项目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1,020万元、翠江流域综合生态治理项目1,000万元、农资仓储中心建设项目1,000万元、卫校产教融合实训基地1,000万元、翠江明珠老旧小区改造项目840万元。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/>
        <w:snapToGrid/>
        <w:spacing w:before="0" w:after="0"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b/>
          <w:bCs/>
          <w:sz w:val="32"/>
          <w:szCs w:val="32"/>
        </w:rPr>
        <w:t>预算绩效开展情况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为进一步加强预算绩效管理，切实提高财政资源配置效率和使用效益，组织各预算单位开展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县级财政预算项目及部门整体绩效自评工作，覆盖所有县级预算单位（涉密单位除外），涉及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284个项目、63488.38万元。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根据工作要求，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按不低于绩效自评项目个数30%的比例,从202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年度开展绩效自评的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个项目中选取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个项目开展绩效自评抽查工作，涉及预算单位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34个、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6609.4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万元、省级资金592.42万元。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收回文旅局、自然资源局等13个单位16个项目162.37万元。各种存在问题均已整改到位。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度县级预算项目中选取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10个项目，邀请有资质的第三方评价机构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开展重点绩效评价。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3.组织开展2024年88个部门整体绩效目标申报工作，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覆盖所有县级预算单位（涉密单位除外）。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E3136AB"/>
    <w:rsid w:val="237E6CAD"/>
    <w:rsid w:val="3E616104"/>
    <w:rsid w:val="45776EE9"/>
    <w:rsid w:val="4B1A4AAE"/>
    <w:rsid w:val="6A796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semiHidden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semiHidden/>
    <w:unhideWhenUsed/>
    <w:qFormat/>
    <w:uiPriority w:val="0"/>
    <w:pPr>
      <w:ind w:firstLine="420" w:firstLineChars="200"/>
    </w:pPr>
    <w:rPr>
      <w:rFonts w:cs="Calibri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新正文"/>
    <w:basedOn w:val="4"/>
    <w:next w:val="7"/>
    <w:qFormat/>
    <w:uiPriority w:val="0"/>
    <w:pPr>
      <w:widowControl/>
      <w:ind w:firstLine="200" w:firstLineChars="200"/>
    </w:pPr>
    <w:rPr>
      <w:rFonts w:ascii="仿宋_GB2312" w:hAnsi="Courier New" w:eastAsia="仿宋_GB2312"/>
      <w:sz w:val="32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unhideWhenUsed/>
    <w:qFormat/>
    <w:uiPriority w:val="99"/>
    <w:pPr>
      <w:widowControl/>
    </w:pPr>
    <w:rPr>
      <w:rFonts w:hint="eastAsia" w:ascii="Calibri" w:hAnsi="Calibri"/>
    </w:rPr>
  </w:style>
  <w:style w:type="paragraph" w:customStyle="1" w:styleId="14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/>
    </w:pPr>
    <w:rPr>
      <w:rFonts w:hint="default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6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9"/>
    <w:link w:val="5"/>
    <w:semiHidden/>
    <w:qFormat/>
    <w:uiPriority w:val="99"/>
    <w:rPr>
      <w:sz w:val="18"/>
      <w:szCs w:val="18"/>
    </w:rPr>
  </w:style>
  <w:style w:type="paragraph" w:customStyle="1" w:styleId="19">
    <w:name w:val="UserStyle_1"/>
    <w:basedOn w:val="1"/>
    <w:next w:val="1"/>
    <w:qFormat/>
    <w:uiPriority w:val="0"/>
    <w:pPr>
      <w:spacing w:after="120"/>
      <w:ind w:left="200" w:leftChars="200"/>
      <w:textAlignment w:val="baseline"/>
    </w:pPr>
    <w:rPr>
      <w:rFonts w:ascii="Times New Roman" w:hAnsi="Times New Roman"/>
    </w:rPr>
  </w:style>
  <w:style w:type="paragraph" w:customStyle="1" w:styleId="20">
    <w:name w:val="UserStyle_0"/>
    <w:basedOn w:val="19"/>
    <w:qFormat/>
    <w:uiPriority w:val="0"/>
    <w:pPr>
      <w:spacing w:after="0"/>
      <w:ind w:left="0" w:leftChars="0" w:firstLine="420" w:firstLineChars="200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1674</Words>
  <Characters>9547</Characters>
  <Lines>79</Lines>
  <Paragraphs>22</Paragraphs>
  <TotalTime>81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2020-11-19T17:26:00Z</dcterms:created>
  <dc:creator>Administrator</dc:creator>
  <cp:lastModifiedBy>吴永秀</cp:lastModifiedBy>
  <cp:lastPrinted>2022-08-07T15:23:00Z</cp:lastPrinted>
  <dcterms:modified xsi:type="dcterms:W3CDTF">2025-08-11T03:04:28Z</dcterms:modified>
  <dc:title>附件2: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E95241C87F714167B2666C6A618D53C1</vt:lpwstr>
  </property>
</Properties>
</file>