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附件2:</w:t>
      </w:r>
    </w:p>
    <w:p>
      <w:pPr>
        <w:tabs>
          <w:tab w:val="left" w:pos="300"/>
          <w:tab w:val="center" w:pos="4153"/>
          <w:tab w:val="right" w:pos="8306"/>
        </w:tabs>
        <w:spacing w:beforeLines="50" w:afterLines="50" w:line="54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年度宁化县本级政府决算相关重要事项说明</w:t>
      </w:r>
      <w:r>
        <w:rPr>
          <w:rFonts w:hint="eastAsia" w:ascii="宋体" w:hAnsi="宋体"/>
          <w:b/>
          <w:sz w:val="36"/>
          <w:szCs w:val="36"/>
        </w:rPr>
        <w:tab/>
      </w:r>
    </w:p>
    <w:p>
      <w:pPr>
        <w:tabs>
          <w:tab w:val="left" w:pos="300"/>
          <w:tab w:val="center" w:pos="4153"/>
          <w:tab w:val="right" w:pos="8306"/>
        </w:tabs>
        <w:spacing w:beforeLines="50" w:afterLines="50" w:line="540" w:lineRule="exact"/>
        <w:jc w:val="left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一、县本级支出决算说明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年度宁化县本级一般公共决算支出数为2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65362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17940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6.33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%。具体情况如下：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(一)201-一般公共服务支出科目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15613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0.39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%。其中: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20101-人大事务科目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6.28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20102-政协事务科目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10.95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20103-政府办公厅(室)及相关机构事务科目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2325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增长32.55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20104-发展与改革事务科目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522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11.22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20105-统计信息事务科目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25.36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20106-财政事务科目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25.36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20108-审计事务科目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10.97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20111-纪检监察事务科目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809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25.23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20113-商贸事务科目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5.58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20123-民族事务科目1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46.27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20126-档案事务科目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2.67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20128-民主党派及工商联事务科目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73.11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20129-群众团体事务科目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3.06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20131-党委办公厅(室)及相关机构事务科目1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559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50.63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20132-组织事务科目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24.96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20133-宣传事务科目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21.22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20134-统战事务科目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3.97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20135-对外联络事务科目0万元，较上年持平。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20136-其他共产党事务支出科目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10.66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20137-网信事务科目0万元，较上年持平。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20138-市场监督管理事务科目1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3.24%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20199-其他一般公共服务支出科目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（二）202-外交支出科目0万元，较上年持平。其中：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20201-外交管理事务科目0万元，较上年持平。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20202-驻外机构科目0万元，较上年持平。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20203-对外援助科目0万元，较上年持平。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20204-国际组织科目0万元，较上年持平。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20205-对外合作与交流科目0万元，较上年持平。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20206-对外宣传科目0万元，较上年持平。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20207-边界勘界联检科目0万元，较上年持平。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20208-国际发展合作科目0万元，较上年持平。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20299-其他外交支出科目0万元，较上年持平。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（三）204-公共安全支出科目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10740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2.44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20401-武装警察部队科目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万元，较上年持平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20402-公安科目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2.52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20406-司法科目13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1.95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20407-监狱科目0万元，较上年持平。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20408-强制隔离戒毒科目0万元，较上年持平。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20409-国家保密科目0万元，较上年持平。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20410-缉私警察科目0万元，较上年持平。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20411-海警科目0万元，较上年持平。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（四）205-教育支出科目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71712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5.06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20501-教育管理事务科目8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1.11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20502-普通教育科目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64488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1161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1.83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20503-职业教育科目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2872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1280.77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卫校综合实训中心建设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612万元、工贸学校基础设施建设2000万元。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20504-成人教育科目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20505-广播电视教育科目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20506-留学教育科目0万元，较上年持平。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20507-特殊教育科目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23.54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20508-进修及培训科目1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6.67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20509-教育费附加安排的支出科目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1.27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20599-其他教育支出科目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26.5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（五）206-科学技术支出科目3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3.63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20601-科学技术管理事务科目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60.87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20602-基础研究科目0万元，较上年持平。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20603-应用研究科目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20604-技术研究与开发科目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43.45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20606-社会科学科目0万元，较上年持平。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20607-科学技术普及科目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18.24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20608-科技交流与合作科目0万元，较上年持平。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20609-科技重大项目科目0万元，较上年持平。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20699-其他科学技术支出科目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4.95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（六）207-文化旅游体育与传媒支出科目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5563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3.32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20701-文化和旅游科目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0.81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20702-文物科目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659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28.37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20703-体育科目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67.19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-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新闻出版电影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20708-广播电视科目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759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1.88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20799-其他文化体育与传媒支出科目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452.44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增加凤凰山红军街项目建设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(七）208-社会保障和就业支出科目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38960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1659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4.45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20801-人力资源和社会保障管理事务科目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28.92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20802-民政管理事务科目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1348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28.41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20804-补充全国社会保障基金科目0万元，较上年持平。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20805-行政事业单位离退休科目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14468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0.17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20806-企业改革补助科目0万元，较上年持平。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20807-就业补助科目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33.49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20808-抚恤科目1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895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22.65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20809-退役安置科目3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19.28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Arial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20810-社会福利科目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132.66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增加困难群众救助资金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175万元、80岁以上高龄生活补贴623万元。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20811-残疾人事业科目1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695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10.14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20816-红十字事业科目0万元，较上年持平。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20819-最低生活保障科目3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3.13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20820-临时救助科目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2.82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20821-特困人员救助供养科目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34.63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20824-补充道路交通事故社会救助基金科目0万元，较上年持平。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20825-其他生活救助科目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84.33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 主要原因是20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比上年减少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</w:rPr>
        <w:t>城乡低保、特困人员物价补贴及优抚对象物价补贴。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20826-财政对基本养老保险基金的补助科目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10343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增长4.62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20827-财政对其他社会保险基金的补助科目0万元，较上年持平。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20828-退役军人管理事务科目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3.47%。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20899-其他社会保障和就业支出科目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385.71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（八）210-卫生健康支出科目2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2811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21001-卫生健康管理事务科目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7.73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21002-公立医院科目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52.09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21003-基层医疗卫生机构科目4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976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10.53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21004-公共卫生科目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4237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33.14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2021年比上年减少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</w:rPr>
        <w:t>新型冠状病毒感染肺炎疫情防治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补助</w:t>
      </w:r>
      <w:r>
        <w:rPr>
          <w:rFonts w:hint="eastAsia" w:ascii="仿宋" w:hAnsi="仿宋" w:eastAsia="仿宋" w:cs="Arial"/>
          <w:kern w:val="0"/>
          <w:sz w:val="32"/>
          <w:szCs w:val="32"/>
        </w:rPr>
        <w:t>工作经费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2642万元。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21006-中医药科目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21007-计划生育事务科目1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25.59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21011-行政事业单位医疗科目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 较上年持平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21012-财政对基本医疗保险基金的补助科目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22.80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21013-医疗救助科目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0.92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21014-优抚对象医疗科目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16.67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21015-医疗保障管理事务科目0万元，较上年持平。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21016-老龄卫生健康事务科目0万元，较上年持平。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21099-其他卫生健康支出科目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553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56.93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2021年比上年减少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了总医院新建支出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1100万元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（九）211-节能环保支出科目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53.50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21101-环境保护管理事务科目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269.23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增加了环保监测经费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-环境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监测与监察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21103-污染防治科目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1437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56.99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21104-自然生态保护科目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97.90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21105-天然林保护科目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72.84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2021年比上年减少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中央下达1480万元停伐专项补助资金。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21106-退耕还林科目0万元，较上年持平。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21107-风沙荒漠治理科目0万元，较上年持平。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21108-退牧还草科目0万元，较上年持平。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21109-已垦草原退耕还草科目0万元，较上年持平。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21110-能源节约利用科目1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6.45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21111-污染减排科目0万元，较上年持平。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21113-循环经济科目0万元，较上年持平。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21114-能源管理事务科目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21199-其他节能环保支出科目1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3.86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（十）212-城乡社区支出科目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13521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万元，较上年将减少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9302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40.76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21201-城乡社区管理事务科目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7099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78.99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%。主要原因是20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比上年减少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消化挂账支出。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21202-城乡社区规划与管理科目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634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万元。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21203-城乡社区公共设施科目1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11408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98.53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年城乡社区公共设施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10183万元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>调整至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其他城乡社区支出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科目中。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21205-城乡社区环境卫生科目1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21.18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21206-建设市场管理与监督科目0万元，较上年持平。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Arial"/>
          <w:kern w:val="0"/>
          <w:sz w:val="32"/>
          <w:szCs w:val="32"/>
        </w:rPr>
        <w:t>-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其他城乡社区支出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10183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10183万元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（十一）213-农林水支出科目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38177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21.67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21301-农业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20633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0.52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21302-林业和草原科目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5.42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21303-水利科目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7797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57.09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21305-扶贫科目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1487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25.79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21307-农村综合改革科目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21308-普惠金融发展支出科目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687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1090.48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增加了普惠金融专项资金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611万元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21309-目标价格补贴科目0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 xml:space="preserve">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21399-其他农林水支出科目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1117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 xml:space="preserve">万元。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（十二）214-交通运输支出科目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14800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9.67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21401-公路水路运输科目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3966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47.18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21402-铁路运输科目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1874万元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>。主要原因是20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增加了铁路</w:t>
      </w:r>
      <w:r>
        <w:rPr>
          <w:rFonts w:hint="eastAsia" w:ascii="仿宋" w:hAnsi="仿宋" w:eastAsia="仿宋" w:cs="Arial"/>
          <w:kern w:val="0"/>
          <w:sz w:val="32"/>
          <w:szCs w:val="32"/>
        </w:rPr>
        <w:t>建设资金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1565万元、线路运营亏损补贴资金309万元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21403-民用航空运输科目0万元，较上年持平。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21404-成品油价格改革对交通运输的补贴科目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41.07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21405-邮政业支出科目0万元，较上年持平。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21406-车辆购置税支出科目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8598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2.65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21499-其他交通运输支出科目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10.45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（十三）215-资源勘探信息等支出科目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8.41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21501- 资源勘探开发科目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21502-制造业科目0万元，较上年持平。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21503-建筑业科目0万元，较上年持平。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21505-工业和信息产业监管科目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27.97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21507-国有资产监管科目0万元，较上年持平。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21508-支持中小企业发展和管理支出科目1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69.83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2021年加大了对中小企业的扶持力度。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21599-其他资源勘探信息等支出科目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64.27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（十四）216-商业服务业等支出科目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44.29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default" w:ascii="仿宋" w:hAnsi="仿宋" w:eastAsia="仿宋" w:cs="Arial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21602-商业流通事务科目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1659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441.22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2021年比上年增加了省级扶贫开发工作重点县相关补助资金1304万元。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21606-涉外发展服务支出科目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38.30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21699-其他商业服务业等支出科目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74.42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全闽乐购消费券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（十五）217-金融支出科目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21701-金融部门行政支出科目0万元，较上年持平。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21702-金融部门监管支出科目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21703-金融发展支出科目0万元，较上年持平。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21704-金融调控支出科目0万元，较上年持平。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21799-其他金融支出科目0万元，较上年持平。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（十六）219-援助其他地区支出科目0万元，较上年持平。其中：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21901-一般公共服务科目0万元，较上年持平。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21902-教育科目0万元，较上年持平。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21903-文化体育与传媒科目0万元，较上年持平。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21904-医疗卫生科目0万元，较上年持平。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21905-节能环保科目0万元，较上年持平。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21906-农业科目0万元，较上年持平。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21907-交通运输科目0万元，较上年持平。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21908-住房保障科目0万元，较上年持平。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21999-其他支出科目0万元，较上年持平。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（十七）220-自然资源海洋气象等支出科目4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10.46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22001-自然资源事务科目4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11.76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22005-气象事务科目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35.94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22099-其他自然资源海洋气象等支出科目0万元，较上年持平。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（十八）221-住房保障支出科目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8257.35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default" w:ascii="仿宋" w:hAnsi="仿宋" w:eastAsia="仿宋" w:cs="Arial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22101-保障性安居工程支出科目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8257.35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比上年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增加了老旧小区改造资金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5597万元。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22102-住房改革支出科目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22103-城乡社区住宅科目0万元，较上年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(十九)222-粮油物资储备支出科目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44.60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22201-粮油事务科目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44.31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粮食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产业发展资金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312万元。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22203-能源储备科目0万元，较上年持平。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22204-粮油储备科目0万元，较上年持平。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22205-重要商品储备科目0万元，较上年持平。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（二十）224-灾害防治及应急管理支出科目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72.75</w:t>
      </w:r>
      <w:r>
        <w:rPr>
          <w:rFonts w:hint="eastAsia" w:ascii="仿宋" w:hAnsi="仿宋" w:eastAsia="仿宋" w:cs="Arial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</w:rPr>
        <w:t>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22401-应急管理事务科目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,降低16.69%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22403-森林消防事务科目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19万元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22404煤矿安全科目0万元，较上年持平。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22405-地震事务科目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79.41%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2021年比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Arial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减少地震应急救援支出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129万元。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2406-自然灾害防治科目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112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943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，降低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89.38%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主要原因是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2021年比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上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自然灾害防治补助资金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1055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22407- 自然灾害救灾及恢复重建支出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224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Arial"/>
          <w:kern w:val="0"/>
          <w:sz w:val="32"/>
          <w:szCs w:val="32"/>
        </w:rPr>
        <w:t>-其他灾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害防治及应急管理支出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（二十一）229-其他支出科目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22999-</w:t>
      </w:r>
      <w:r>
        <w:rPr>
          <w:rFonts w:hint="eastAsia" w:ascii="仿宋" w:hAnsi="仿宋" w:eastAsia="仿宋" w:cs="Arial"/>
          <w:kern w:val="0"/>
          <w:sz w:val="32"/>
          <w:szCs w:val="32"/>
        </w:rPr>
        <w:t>其他支出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103万元，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（二十二）232-债务付息支出科目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9401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0.55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%。其中：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23201-中央政府国内债务付息支出科目0万元，较上年持平。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23202-中央政府国外债务付息支出科目0万元，较上年持平。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23203-地方政府一般债务付息支出科目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9401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0.55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（二十三）233-债务发行费用支出科目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6.82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%。其中：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23301-中央政府国内债务发行费用支出科目0万元，较上年持平。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23302-中央政府国外债务发行费用支出科目0万元，较上年持平。 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23303-地方政府一般债务发行费用支出科目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6.82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年度宁化县对下税收返还和转移支付决算数为0万元，比20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年增加0万元，增长0%。原因是：宁化县所辖乡镇作为一级预算部门管理，未单独编制政府预算，为此没有一般公共预算对下税收返还和转移支付决算数据。具体情况如下：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(一)</w:t>
      </w:r>
      <w:r>
        <w:rPr>
          <w:rFonts w:hint="eastAsia" w:ascii="仿宋" w:hAnsi="仿宋" w:eastAsia="仿宋"/>
          <w:kern w:val="0"/>
          <w:sz w:val="32"/>
          <w:szCs w:val="32"/>
        </w:rPr>
        <w:t>税收返还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年度宁化县对下税收返还决算数为0万元，比20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年增加0万元，增长0%。其中：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1.所得税基数返还收入0万元，比20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2.成品油价格和税费改革税收返还收入0万元，比20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3.增值税税收返还收入0万元，比20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年增加0万元，增长0%。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4.消费税税收返还收入0万元，比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5.增值税“五五分享”税收返还收入0万元，比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（二）一般性转移支付</w:t>
      </w:r>
    </w:p>
    <w:p>
      <w:pPr>
        <w:spacing w:line="54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年度宁化县对下一般转移支付决算数为0万元，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增加0万元，增长0%。</w:t>
      </w:r>
    </w:p>
    <w:p>
      <w:pPr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（三）专项转移支付</w:t>
      </w:r>
    </w:p>
    <w:p>
      <w:pPr>
        <w:spacing w:line="540" w:lineRule="exact"/>
        <w:ind w:firstLine="640" w:firstLineChars="200"/>
      </w:pPr>
      <w:r>
        <w:rPr>
          <w:rFonts w:hint="eastAsia" w:ascii="仿宋" w:hAnsi="仿宋" w:eastAsia="仿宋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32"/>
        </w:rPr>
        <w:t>年度宁化县对下专项转移支付决算数为0万元，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增加0万元，增长0%。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b/>
          <w:sz w:val="32"/>
          <w:szCs w:val="32"/>
        </w:rPr>
        <w:t>举借政府债务情况</w:t>
      </w:r>
    </w:p>
    <w:p>
      <w:pPr>
        <w:pStyle w:val="9"/>
        <w:spacing w:line="580" w:lineRule="exact"/>
        <w:ind w:firstLine="592"/>
        <w:rPr>
          <w:rFonts w:hint="eastAsia" w:ascii="仿宋_GB2312" w:hAnsi="黑体" w:eastAsia="仿宋_GB2312" w:cs="仿宋"/>
          <w:spacing w:val="-6"/>
        </w:rPr>
      </w:pPr>
      <w:r>
        <w:rPr>
          <w:rFonts w:hint="eastAsia" w:ascii="仿宋_GB2312" w:hAnsi="黑体" w:eastAsia="仿宋_GB2312" w:cs="仿宋"/>
          <w:spacing w:val="-6"/>
        </w:rPr>
        <w:t>（一）举借政府债务情况</w:t>
      </w:r>
    </w:p>
    <w:p>
      <w:pPr>
        <w:pStyle w:val="9"/>
        <w:spacing w:line="580" w:lineRule="exact"/>
        <w:ind w:firstLine="592"/>
        <w:rPr>
          <w:rFonts w:hint="eastAsia" w:ascii="仿宋_GB2312" w:hAnsi="仿宋" w:eastAsia="仿宋_GB2312" w:cs="仿宋"/>
          <w:spacing w:val="-6"/>
          <w:highlight w:val="none"/>
        </w:rPr>
      </w:pPr>
      <w:r>
        <w:rPr>
          <w:rFonts w:hint="eastAsia" w:ascii="仿宋_GB2312" w:hAnsi="仿宋" w:eastAsia="仿宋_GB2312" w:cs="仿宋"/>
          <w:spacing w:val="-6"/>
          <w:highlight w:val="none"/>
        </w:rPr>
        <w:t>202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仿宋"/>
          <w:spacing w:val="-6"/>
          <w:highlight w:val="none"/>
        </w:rPr>
        <w:t>年全市新增政府债务限额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,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000万</w:t>
      </w:r>
      <w:r>
        <w:rPr>
          <w:rFonts w:hint="eastAsia" w:ascii="仿宋_GB2312" w:hAnsi="仿宋" w:eastAsia="仿宋_GB2312" w:cs="仿宋"/>
          <w:spacing w:val="-6"/>
          <w:highlight w:val="none"/>
        </w:rPr>
        <w:t>元，其中：</w:t>
      </w:r>
      <w:r>
        <w:rPr>
          <w:rFonts w:hint="eastAsia" w:ascii="仿宋_GB2312" w:hAnsi="仿宋" w:eastAsia="仿宋_GB2312" w:cs="仿宋"/>
          <w:spacing w:val="-6"/>
          <w:highlight w:val="none"/>
          <w:lang w:eastAsia="zh-CN"/>
        </w:rPr>
        <w:t>一般债务限额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,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146万元（含外债限额247万元）、</w:t>
      </w:r>
      <w:r>
        <w:rPr>
          <w:rFonts w:hint="eastAsia" w:ascii="仿宋_GB2312" w:hAnsi="仿宋" w:eastAsia="仿宋_GB2312" w:cs="仿宋"/>
          <w:spacing w:val="-6"/>
          <w:highlight w:val="none"/>
          <w:lang w:eastAsia="zh-CN"/>
        </w:rPr>
        <w:t>专项债务限额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,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854万元。</w:t>
      </w:r>
    </w:p>
    <w:p>
      <w:pPr>
        <w:pStyle w:val="9"/>
        <w:spacing w:line="580" w:lineRule="exact"/>
        <w:ind w:firstLine="616" w:firstLineChars="200"/>
        <w:rPr>
          <w:rFonts w:hint="eastAsia" w:ascii="仿宋_GB2312" w:hAnsi="黑体" w:eastAsia="仿宋_GB2312" w:cs="仿宋"/>
          <w:spacing w:val="-6"/>
          <w:highlight w:val="none"/>
        </w:rPr>
      </w:pPr>
      <w:r>
        <w:rPr>
          <w:rFonts w:hint="eastAsia" w:ascii="仿宋_GB2312" w:hAnsi="黑体" w:eastAsia="仿宋_GB2312" w:cs="仿宋"/>
          <w:spacing w:val="-6"/>
          <w:highlight w:val="none"/>
        </w:rPr>
        <w:t>（二）地方政府债务限额余额情况</w:t>
      </w:r>
    </w:p>
    <w:p>
      <w:pPr>
        <w:spacing w:line="600" w:lineRule="exact"/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截至202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年底，全县政府债务余额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475,392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万元（其中：一般债务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279,889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万元、专项债务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195,503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万元）。全县债务余额严格控制在省财政核定的限额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 w:eastAsia="zh-CN"/>
        </w:rPr>
        <w:t>556,929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万元内。</w:t>
      </w:r>
    </w:p>
    <w:p>
      <w:pPr>
        <w:pStyle w:val="9"/>
        <w:spacing w:line="580" w:lineRule="exact"/>
        <w:ind w:firstLine="616" w:firstLineChars="200"/>
        <w:rPr>
          <w:rFonts w:hint="eastAsia" w:ascii="仿宋_GB2312" w:hAnsi="黑体" w:eastAsia="仿宋_GB2312" w:cs="仿宋"/>
          <w:spacing w:val="-6"/>
          <w:highlight w:val="none"/>
        </w:rPr>
      </w:pPr>
      <w:r>
        <w:rPr>
          <w:rFonts w:hint="eastAsia" w:ascii="仿宋_GB2312" w:hAnsi="黑体" w:eastAsia="仿宋_GB2312" w:cs="仿宋"/>
          <w:spacing w:val="-6"/>
          <w:highlight w:val="none"/>
        </w:rPr>
        <w:t>（三）地方政府债券发行情况</w:t>
      </w:r>
    </w:p>
    <w:p>
      <w:pPr>
        <w:pStyle w:val="9"/>
        <w:spacing w:line="580" w:lineRule="exact"/>
        <w:ind w:firstLine="616" w:firstLineChars="200"/>
        <w:rPr>
          <w:rFonts w:hint="eastAsia" w:ascii="仿宋_GB2312" w:hAnsi="仿宋" w:eastAsia="仿宋_GB2312" w:cs="仿宋"/>
          <w:spacing w:val="-6"/>
          <w:highlight w:val="none"/>
        </w:rPr>
      </w:pPr>
      <w:r>
        <w:rPr>
          <w:rFonts w:hint="eastAsia" w:ascii="仿宋_GB2312" w:hAnsi="仿宋" w:eastAsia="仿宋_GB2312" w:cs="仿宋"/>
          <w:spacing w:val="-6"/>
          <w:highlight w:val="none"/>
        </w:rPr>
        <w:t>202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仿宋"/>
          <w:spacing w:val="-6"/>
          <w:highlight w:val="none"/>
        </w:rPr>
        <w:t>年省上代我</w:t>
      </w:r>
      <w:r>
        <w:rPr>
          <w:rFonts w:hint="eastAsia" w:ascii="仿宋_GB2312" w:hAnsi="仿宋" w:eastAsia="仿宋_GB2312" w:cs="仿宋"/>
          <w:spacing w:val="-6"/>
          <w:highlight w:val="none"/>
          <w:lang w:eastAsia="zh-CN"/>
        </w:rPr>
        <w:t>县</w:t>
      </w:r>
      <w:r>
        <w:rPr>
          <w:rFonts w:hint="eastAsia" w:ascii="仿宋_GB2312" w:hAnsi="仿宋" w:eastAsia="仿宋_GB2312" w:cs="仿宋"/>
          <w:spacing w:val="-6"/>
          <w:highlight w:val="none"/>
        </w:rPr>
        <w:t>发行地方政府债券</w:t>
      </w:r>
      <w:bookmarkStart w:id="0" w:name="_GoBack"/>
      <w:bookmarkEnd w:id="0"/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,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439万</w:t>
      </w:r>
      <w:r>
        <w:rPr>
          <w:rFonts w:hint="eastAsia" w:ascii="仿宋_GB2312" w:hAnsi="仿宋" w:eastAsia="仿宋_GB2312" w:cs="仿宋"/>
          <w:spacing w:val="-6"/>
          <w:highlight w:val="none"/>
        </w:rPr>
        <w:t>元</w:t>
      </w:r>
      <w:r>
        <w:rPr>
          <w:rFonts w:hint="eastAsia" w:ascii="仿宋_GB2312" w:hAnsi="仿宋" w:eastAsia="仿宋_GB2312" w:cs="仿宋"/>
          <w:spacing w:val="-6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spacing w:val="-6"/>
          <w:highlight w:val="none"/>
        </w:rPr>
        <w:t>按债券性质分：发行新增债券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70,753</w:t>
      </w:r>
      <w:r>
        <w:rPr>
          <w:rFonts w:hint="eastAsia" w:ascii="仿宋_GB2312" w:hAnsi="仿宋" w:eastAsia="仿宋_GB2312" w:cs="仿宋"/>
          <w:spacing w:val="-6"/>
          <w:highlight w:val="none"/>
        </w:rPr>
        <w:t>亿元、发行再融资债券</w:t>
      </w:r>
      <w:r>
        <w:rPr>
          <w:rFonts w:hint="eastAsia" w:ascii="仿宋_GB2312" w:hAnsi="仿宋" w:eastAsia="仿宋_GB2312" w:cs="仿宋"/>
          <w:spacing w:val="-6"/>
          <w:highlight w:val="none"/>
          <w:lang w:val="en-US" w:eastAsia="zh-CN"/>
        </w:rPr>
        <w:t>37,686</w:t>
      </w:r>
      <w:r>
        <w:rPr>
          <w:rFonts w:hint="eastAsia" w:ascii="仿宋_GB2312" w:hAnsi="仿宋" w:eastAsia="仿宋_GB2312" w:cs="仿宋"/>
          <w:spacing w:val="-6"/>
          <w:highlight w:val="none"/>
          <w:lang w:eastAsia="zh-CN"/>
        </w:rPr>
        <w:t>万</w:t>
      </w:r>
      <w:r>
        <w:rPr>
          <w:rFonts w:hint="eastAsia" w:ascii="仿宋_GB2312" w:hAnsi="仿宋" w:eastAsia="仿宋_GB2312" w:cs="仿宋"/>
          <w:spacing w:val="-6"/>
          <w:highlight w:val="none"/>
        </w:rPr>
        <w:t>元。</w:t>
      </w:r>
    </w:p>
    <w:p>
      <w:pPr>
        <w:pStyle w:val="9"/>
        <w:spacing w:line="580" w:lineRule="exact"/>
        <w:ind w:firstLine="616" w:firstLineChars="200"/>
        <w:rPr>
          <w:rFonts w:hint="eastAsia" w:ascii="仿宋_GB2312" w:hAnsi="黑体" w:eastAsia="仿宋_GB2312" w:cs="仿宋"/>
          <w:spacing w:val="-6"/>
          <w:highlight w:val="none"/>
        </w:rPr>
      </w:pPr>
      <w:r>
        <w:rPr>
          <w:rFonts w:hint="eastAsia" w:ascii="仿宋_GB2312" w:hAnsi="黑体" w:eastAsia="仿宋_GB2312" w:cs="仿宋"/>
          <w:spacing w:val="-6"/>
          <w:highlight w:val="none"/>
        </w:rPr>
        <w:t>（四）地方政府债券还本付息情况</w:t>
      </w:r>
    </w:p>
    <w:p>
      <w:pPr>
        <w:spacing w:line="600" w:lineRule="exact"/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年全县偿还到期地方政府债券本金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57,400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万元，债务付息支出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14,890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万元（其中：一般债务付息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9,401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万元、专项债务付息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5,489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万元）。</w:t>
      </w:r>
    </w:p>
    <w:p>
      <w:pPr>
        <w:pStyle w:val="9"/>
        <w:spacing w:line="580" w:lineRule="exact"/>
        <w:ind w:firstLine="616" w:firstLineChars="200"/>
        <w:rPr>
          <w:rFonts w:hint="eastAsia" w:ascii="仿宋_GB2312" w:hAnsi="黑体" w:eastAsia="仿宋_GB2312" w:cs="仿宋"/>
          <w:spacing w:val="-6"/>
          <w:highlight w:val="none"/>
        </w:rPr>
      </w:pPr>
      <w:r>
        <w:rPr>
          <w:rFonts w:hint="eastAsia" w:ascii="仿宋_GB2312" w:hAnsi="黑体" w:eastAsia="仿宋_GB2312" w:cs="仿宋"/>
          <w:spacing w:val="-6"/>
          <w:highlight w:val="none"/>
        </w:rPr>
        <w:t>（五）地方政府债券资金使用安排情况</w:t>
      </w:r>
    </w:p>
    <w:p>
      <w:pPr>
        <w:spacing w:line="600" w:lineRule="exact"/>
        <w:ind w:firstLine="616" w:firstLineChars="200"/>
        <w:rPr>
          <w:rFonts w:hint="eastAsia" w:ascii="仿宋_GB2312" w:hAnsi="仿宋" w:eastAsia="仿宋_GB2312" w:cs="仿宋"/>
          <w:spacing w:val="-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年全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地方政府新增债券资金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70753万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元，主要安排用于市政建设、公路、教育、文化等领域项目建设，其中：市政建设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万元、公路建设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万元、教育项目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899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万元、文化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万元、社会保障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11854万元、保障性住房5000万元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highlight w:val="none"/>
          <w:lang w:val="zh-CN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2021年，我县纳入预算绩效管理的项目192个、154984.26万元（其中：一般公共预算48449.72万元、政府性基金67864.54万元、社保基金38670万元、国有资本经营预算</w:t>
      </w:r>
      <w:r>
        <w:rPr>
          <w:rFonts w:hint="eastAsia" w:ascii="仿宋" w:hAnsi="仿宋" w:eastAsia="仿宋" w:cs="仿宋"/>
          <w:sz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</w:rPr>
        <w:t>万元）。将部门整体绩效管理范围扩大至所有部门，健全包括指标体系建立、绩效目标编制、绩效评价等在内的闭环管理体系，重点做好全县96个预算单位（涉密除外）整体绩效目标、整体绩效自评编报工作，进一步提升部门整体履职成效和核心业务实施效果。我县通过不断扩大绩效目标管理规模，开展项目绩效事前评估及会审工作，完善涵盖绩效目标管理、绩效运行“双监控”、绩效评价等各环节的工作流程，提升绩效管理系统操作的规范性，有效推进了预算绩效管理工作；实行预算绩效管理挂钩机制，加大评价结果应用，对绩效好的项目予以优先保障，对绩效一般的项目督促改进，对绩效差的项目予以调整、削减或取消当年及以后年度预算，切实提高了财政资金使用效益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</w:rPr>
        <w:t>2021年，县财政部门选取了9个资金规模较大、社会关注度较高的项目（涉及财政资金10226.4万元，其中含政府</w:t>
      </w:r>
      <w:r>
        <w:rPr>
          <w:rFonts w:hint="eastAsia" w:ascii="仿宋_GB2312" w:hAnsi="仿宋_GB2312" w:eastAsia="仿宋_GB2312"/>
          <w:sz w:val="32"/>
        </w:rPr>
        <w:t>债券项目3个、7000万元）</w:t>
      </w:r>
      <w:r>
        <w:rPr>
          <w:rFonts w:hint="eastAsia" w:ascii="仿宋_GB2312" w:eastAsia="仿宋_GB2312"/>
          <w:color w:val="000000"/>
          <w:sz w:val="32"/>
        </w:rPr>
        <w:t>，通过招投标方式</w:t>
      </w:r>
      <w:r>
        <w:rPr>
          <w:rFonts w:hint="eastAsia" w:ascii="仿宋_GB2312" w:hAnsi="仿宋_GB2312" w:eastAsia="仿宋_GB2312"/>
          <w:sz w:val="32"/>
        </w:rPr>
        <w:t>委托有资质的第三方机构开展重点绩效评价，以点带面进一步提升政策效能和资金效益。</w:t>
      </w:r>
    </w:p>
    <w:p>
      <w:pPr>
        <w:pStyle w:val="8"/>
        <w:spacing w:line="600" w:lineRule="atLeast"/>
        <w:ind w:firstLine="620"/>
        <w:rPr>
          <w:rFonts w:ascii="仿宋" w:hAnsi="仿宋" w:eastAsia="仿宋"/>
          <w:kern w:val="0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0"/>
    <w:basedOn w:val="1"/>
    <w:unhideWhenUsed/>
    <w:qFormat/>
    <w:uiPriority w:val="99"/>
    <w:pPr>
      <w:widowControl/>
    </w:pPr>
    <w:rPr>
      <w:rFonts w:hint="eastAsia" w:ascii="Calibri" w:hAnsi="Calibri"/>
    </w:rPr>
  </w:style>
  <w:style w:type="paragraph" w:customStyle="1" w:styleId="9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1674</Words>
  <Characters>9547</Characters>
  <Lines>79</Lines>
  <Paragraphs>22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2020-11-19T01:26:00Z</dcterms:created>
  <dc:creator>Administrator</dc:creator>
  <cp:lastModifiedBy>czj</cp:lastModifiedBy>
  <cp:lastPrinted>2022-08-06T23:23:00Z</cp:lastPrinted>
  <dcterms:modified xsi:type="dcterms:W3CDTF">2022-09-09T08:48:55Z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E95241C87F714167B2666C6A618D53C1</vt:lpwstr>
  </property>
</Properties>
</file>